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80"/>
        <w:spacing w:after="0"/>
        <w:rPr>
          <w:sz w:val="20"/>
          <w:szCs w:val="20"/>
          <w:color w:val="auto"/>
        </w:rPr>
      </w:pPr>
      <w:r>
        <w:rPr>
          <w:rFonts w:ascii="Arial" w:cs="Arial" w:eastAsia="Arial" w:hAnsi="Arial"/>
          <w:sz w:val="7"/>
          <w:szCs w:val="7"/>
          <w:color w:val="auto"/>
        </w:rPr>
        <w:t>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63" w:lineRule="exact"/>
        <w:rPr>
          <w:sz w:val="24"/>
          <w:szCs w:val="24"/>
          <w:color w:val="auto"/>
        </w:rPr>
      </w:pPr>
    </w:p>
    <w:p>
      <w:pPr>
        <w:ind w:left="40"/>
        <w:spacing w:after="0"/>
        <w:rPr>
          <w:sz w:val="20"/>
          <w:szCs w:val="20"/>
          <w:color w:val="auto"/>
        </w:rPr>
      </w:pPr>
      <w:r>
        <w:rPr>
          <w:rFonts w:ascii="Arial" w:cs="Arial" w:eastAsia="Arial" w:hAnsi="Arial"/>
          <w:sz w:val="11"/>
          <w:szCs w:val="11"/>
          <w:color w:val="auto"/>
        </w:rPr>
        <w:t>(Mark One)</w:t>
      </w:r>
    </w:p>
    <w:p>
      <w:pPr>
        <w:spacing w:after="0" w:line="40" w:lineRule="exact"/>
        <w:rPr>
          <w:sz w:val="24"/>
          <w:szCs w:val="24"/>
          <w:color w:val="auto"/>
        </w:rPr>
      </w:pPr>
    </w:p>
    <w:p>
      <w:pPr>
        <w:ind w:left="1180" w:hanging="679"/>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39" w:lineRule="exact"/>
        <w:rPr>
          <w:sz w:val="24"/>
          <w:szCs w:val="24"/>
          <w:color w:val="auto"/>
        </w:rPr>
      </w:pPr>
    </w:p>
    <w:p>
      <w:pPr>
        <w:ind w:left="1180"/>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1180" w:hanging="679"/>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20320</wp:posOffset>
            </wp:positionV>
            <wp:extent cx="192087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87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LivaNova PLC</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2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920" w:type="dxa"/>
            <w:vAlign w:val="bottom"/>
            <w:gridSpan w:val="6"/>
          </w:tcPr>
          <w:p>
            <w:pPr>
              <w:jc w:val="center"/>
              <w:ind w:left="22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2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6"/>
        </w:trPr>
        <w:tc>
          <w:tcPr>
            <w:tcW w:w="2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 xml:space="preserve">England and Wales </w:t>
            </w:r>
            <w:r>
              <w:rPr>
                <w:rFonts w:ascii="Arial" w:cs="Arial" w:eastAsia="Arial" w:hAnsi="Arial"/>
                <w:sz w:val="14"/>
                <w:szCs w:val="14"/>
                <w:i w:val="1"/>
                <w:iCs w:val="1"/>
                <w:color w:val="FFFFFF"/>
                <w:w w:val="92"/>
              </w:rPr>
              <w:t>...................</w:t>
            </w: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98-1268150</w:t>
            </w:r>
          </w:p>
        </w:tc>
        <w:tc>
          <w:tcPr>
            <w:tcW w:w="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62"/>
        </w:trPr>
        <w:tc>
          <w:tcPr>
            <w:tcW w:w="2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20" w:type="dxa"/>
            <w:vAlign w:val="bottom"/>
            <w:gridSpan w:val="3"/>
          </w:tcPr>
          <w:p>
            <w:pPr>
              <w:jc w:val="right"/>
              <w:spacing w:after="0"/>
              <w:rPr>
                <w:sz w:val="20"/>
                <w:szCs w:val="20"/>
                <w:color w:val="auto"/>
              </w:rPr>
            </w:pPr>
            <w:r>
              <w:rPr>
                <w:rFonts w:ascii="Arial" w:cs="Arial" w:eastAsia="Arial" w:hAnsi="Arial"/>
                <w:sz w:val="14"/>
                <w:szCs w:val="14"/>
                <w:i w:val="1"/>
                <w:iCs w:val="1"/>
                <w:color w:val="auto"/>
              </w:rPr>
              <w:t xml:space="preserve">(State or other jurisdiction of </w:t>
            </w:r>
            <w:r>
              <w:rPr>
                <w:rFonts w:ascii="Arial" w:cs="Arial" w:eastAsia="Arial" w:hAnsi="Arial"/>
                <w:sz w:val="14"/>
                <w:szCs w:val="14"/>
                <w:i w:val="1"/>
                <w:iCs w:val="1"/>
                <w:color w:val="FFFFFF"/>
              </w:rPr>
              <w:t>..........</w:t>
            </w:r>
          </w:p>
        </w:tc>
        <w:tc>
          <w:tcPr>
            <w:tcW w:w="1200" w:type="dxa"/>
            <w:vAlign w:val="bottom"/>
            <w:gridSpan w:val="3"/>
          </w:tcPr>
          <w:p>
            <w:pPr>
              <w:jc w:val="center"/>
              <w:ind w:right="188"/>
              <w:spacing w:after="0"/>
              <w:rPr>
                <w:sz w:val="20"/>
                <w:szCs w:val="20"/>
                <w:color w:val="auto"/>
              </w:rPr>
            </w:pPr>
            <w:r>
              <w:rPr>
                <w:rFonts w:ascii="Arial" w:cs="Arial" w:eastAsia="Arial" w:hAnsi="Arial"/>
                <w:sz w:val="14"/>
                <w:szCs w:val="14"/>
                <w:i w:val="1"/>
                <w:iCs w:val="1"/>
                <w:color w:val="auto"/>
                <w:w w:val="91"/>
              </w:rPr>
              <w:t>(I.R.S. Employer</w:t>
            </w:r>
          </w:p>
        </w:tc>
        <w:tc>
          <w:tcPr>
            <w:tcW w:w="22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2"/>
        </w:trPr>
        <w:tc>
          <w:tcPr>
            <w:tcW w:w="2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20" w:type="dxa"/>
            <w:vAlign w:val="bottom"/>
            <w:gridSpan w:val="3"/>
          </w:tcPr>
          <w:p>
            <w:pPr>
              <w:jc w:val="right"/>
              <w:ind w:right="28"/>
              <w:spacing w:after="0"/>
              <w:rPr>
                <w:sz w:val="20"/>
                <w:szCs w:val="20"/>
                <w:color w:val="auto"/>
              </w:rPr>
            </w:pPr>
            <w:r>
              <w:rPr>
                <w:rFonts w:ascii="Arial" w:cs="Arial" w:eastAsia="Arial" w:hAnsi="Arial"/>
                <w:sz w:val="14"/>
                <w:szCs w:val="14"/>
                <w:i w:val="1"/>
                <w:iCs w:val="1"/>
                <w:color w:val="auto"/>
              </w:rPr>
              <w:t xml:space="preserve">incorporation or organization) </w:t>
            </w:r>
            <w:r>
              <w:rPr>
                <w:rFonts w:ascii="Arial" w:cs="Arial" w:eastAsia="Arial" w:hAnsi="Arial"/>
                <w:sz w:val="14"/>
                <w:szCs w:val="14"/>
                <w:i w:val="1"/>
                <w:iCs w:val="1"/>
                <w:color w:val="FFFFFF"/>
              </w:rPr>
              <w:t>........</w:t>
            </w:r>
          </w:p>
        </w:tc>
        <w:tc>
          <w:tcPr>
            <w:tcW w:w="1200" w:type="dxa"/>
            <w:vAlign w:val="bottom"/>
            <w:gridSpan w:val="3"/>
          </w:tcPr>
          <w:p>
            <w:pPr>
              <w:jc w:val="center"/>
              <w:ind w:right="128"/>
              <w:spacing w:after="0"/>
              <w:rPr>
                <w:sz w:val="20"/>
                <w:szCs w:val="20"/>
                <w:color w:val="auto"/>
              </w:rPr>
            </w:pPr>
            <w:r>
              <w:rPr>
                <w:rFonts w:ascii="Arial" w:cs="Arial" w:eastAsia="Arial" w:hAnsi="Arial"/>
                <w:sz w:val="14"/>
                <w:szCs w:val="14"/>
                <w:i w:val="1"/>
                <w:iCs w:val="1"/>
                <w:color w:val="auto"/>
                <w:w w:val="91"/>
              </w:rPr>
              <w:t>Identification No.)</w:t>
            </w:r>
          </w:p>
        </w:tc>
        <w:tc>
          <w:tcPr>
            <w:tcW w:w="2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71"/>
        </w:trPr>
        <w:tc>
          <w:tcPr>
            <w:tcW w:w="2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20" w:type="dxa"/>
            <w:vAlign w:val="bottom"/>
            <w:gridSpan w:val="8"/>
          </w:tcPr>
          <w:p>
            <w:pPr>
              <w:jc w:val="center"/>
              <w:ind w:right="3580"/>
              <w:spacing w:after="0"/>
              <w:rPr>
                <w:sz w:val="20"/>
                <w:szCs w:val="20"/>
                <w:color w:val="auto"/>
              </w:rPr>
            </w:pPr>
            <w:r>
              <w:rPr>
                <w:rFonts w:ascii="Arial" w:cs="Arial" w:eastAsia="Arial" w:hAnsi="Arial"/>
                <w:sz w:val="14"/>
                <w:szCs w:val="14"/>
                <w:b w:val="1"/>
                <w:bCs w:val="1"/>
                <w:color w:val="auto"/>
                <w:w w:val="95"/>
              </w:rPr>
              <w:t>20 Eastbourne Terrace, London, United Kingdom</w:t>
            </w:r>
            <w:r>
              <w:rPr>
                <w:rFonts w:ascii="Arial" w:cs="Arial" w:eastAsia="Arial" w:hAnsi="Arial"/>
                <w:sz w:val="18"/>
                <w:szCs w:val="18"/>
                <w:color w:val="auto"/>
                <w:w w:val="95"/>
              </w:rPr>
              <w:t>,</w:t>
            </w:r>
            <w:r>
              <w:rPr>
                <w:rFonts w:ascii="Arial" w:cs="Arial" w:eastAsia="Arial" w:hAnsi="Arial"/>
                <w:sz w:val="14"/>
                <w:szCs w:val="14"/>
                <w:b w:val="1"/>
                <w:bCs w:val="1"/>
                <w:color w:val="auto"/>
                <w:w w:val="95"/>
              </w:rPr>
              <w:t xml:space="preserve"> W2 6LG</w:t>
            </w:r>
          </w:p>
        </w:tc>
      </w:tr>
      <w:tr>
        <w:trPr>
          <w:trHeight w:val="182"/>
        </w:trPr>
        <w:tc>
          <w:tcPr>
            <w:tcW w:w="2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20" w:type="dxa"/>
            <w:vAlign w:val="bottom"/>
            <w:gridSpan w:val="3"/>
          </w:tcPr>
          <w:p>
            <w:pPr>
              <w:jc w:val="right"/>
              <w:spacing w:after="0"/>
              <w:rPr>
                <w:sz w:val="20"/>
                <w:szCs w:val="20"/>
                <w:color w:val="auto"/>
              </w:rPr>
            </w:pPr>
            <w:r>
              <w:rPr>
                <w:rFonts w:ascii="Arial" w:cs="Arial" w:eastAsia="Arial" w:hAnsi="Arial"/>
                <w:sz w:val="14"/>
                <w:szCs w:val="14"/>
                <w:i w:val="1"/>
                <w:iCs w:val="1"/>
                <w:color w:val="auto"/>
                <w:w w:val="81"/>
              </w:rPr>
              <w:t xml:space="preserve">(Address of principal executive offices) </w:t>
            </w:r>
            <w:r>
              <w:rPr>
                <w:rFonts w:ascii="Arial" w:cs="Arial" w:eastAsia="Arial" w:hAnsi="Arial"/>
                <w:sz w:val="14"/>
                <w:szCs w:val="14"/>
                <w:i w:val="1"/>
                <w:iCs w:val="1"/>
                <w:color w:val="FFFFFF"/>
                <w:w w:val="81"/>
              </w:rPr>
              <w:t>.......................</w:t>
            </w:r>
          </w:p>
        </w:tc>
        <w:tc>
          <w:tcPr>
            <w:tcW w:w="60" w:type="dxa"/>
            <w:vAlign w:val="bottom"/>
          </w:tcPr>
          <w:p>
            <w:pPr>
              <w:spacing w:after="0"/>
              <w:rPr>
                <w:sz w:val="15"/>
                <w:szCs w:val="15"/>
                <w:color w:val="auto"/>
              </w:rPr>
            </w:pPr>
          </w:p>
        </w:tc>
        <w:tc>
          <w:tcPr>
            <w:tcW w:w="5040" w:type="dxa"/>
            <w:vAlign w:val="bottom"/>
            <w:gridSpan w:val="4"/>
          </w:tcPr>
          <w:p>
            <w:pPr>
              <w:ind w:left="600"/>
              <w:spacing w:after="0"/>
              <w:rPr>
                <w:sz w:val="20"/>
                <w:szCs w:val="20"/>
                <w:color w:val="auto"/>
              </w:rPr>
            </w:pPr>
            <w:r>
              <w:rPr>
                <w:rFonts w:ascii="Arial" w:cs="Arial" w:eastAsia="Arial" w:hAnsi="Arial"/>
                <w:sz w:val="14"/>
                <w:szCs w:val="14"/>
                <w:i w:val="1"/>
                <w:iCs w:val="1"/>
                <w:color w:val="auto"/>
              </w:rPr>
              <w:t>(Zip Code)</w:t>
            </w:r>
          </w:p>
        </w:tc>
      </w:tr>
      <w:tr>
        <w:trPr>
          <w:trHeight w:val="230"/>
        </w:trPr>
        <w:tc>
          <w:tcPr>
            <w:tcW w:w="2560" w:type="dxa"/>
            <w:vAlign w:val="bottom"/>
          </w:tcPr>
          <w:p>
            <w:pPr>
              <w:spacing w:after="0"/>
              <w:rPr>
                <w:sz w:val="19"/>
                <w:szCs w:val="19"/>
                <w:color w:val="auto"/>
              </w:rPr>
            </w:pPr>
          </w:p>
        </w:tc>
        <w:tc>
          <w:tcPr>
            <w:tcW w:w="8860" w:type="dxa"/>
            <w:vAlign w:val="bottom"/>
            <w:gridSpan w:val="9"/>
          </w:tcPr>
          <w:p>
            <w:pPr>
              <w:jc w:val="center"/>
              <w:ind w:right="2540"/>
              <w:spacing w:after="0"/>
              <w:rPr>
                <w:sz w:val="20"/>
                <w:szCs w:val="20"/>
                <w:color w:val="auto"/>
              </w:rPr>
            </w:pPr>
            <w:r>
              <w:rPr>
                <w:rFonts w:ascii="Arial" w:cs="Arial" w:eastAsia="Arial" w:hAnsi="Arial"/>
                <w:sz w:val="14"/>
                <w:szCs w:val="14"/>
                <w:i w:val="1"/>
                <w:iCs w:val="1"/>
                <w:color w:val="auto"/>
                <w:w w:val="93"/>
              </w:rPr>
              <w:t xml:space="preserve">Registrant’s telephone number, including area code: </w:t>
            </w:r>
            <w:r>
              <w:rPr>
                <w:rFonts w:ascii="Arial" w:cs="Arial" w:eastAsia="Arial" w:hAnsi="Arial"/>
                <w:sz w:val="14"/>
                <w:szCs w:val="14"/>
                <w:b w:val="1"/>
                <w:bCs w:val="1"/>
                <w:color w:val="auto"/>
                <w:w w:val="93"/>
              </w:rPr>
              <w:t>(44) (0) 203 325-0660</w:t>
            </w:r>
          </w:p>
        </w:tc>
      </w:tr>
      <w:tr>
        <w:trPr>
          <w:trHeight w:val="100"/>
        </w:trPr>
        <w:tc>
          <w:tcPr>
            <w:tcW w:w="25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gridSpan w:val="2"/>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gridSpan w:val="2"/>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r>
        <w:trPr>
          <w:trHeight w:val="258"/>
        </w:trPr>
        <w:tc>
          <w:tcPr>
            <w:tcW w:w="2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920" w:type="dxa"/>
            <w:vAlign w:val="bottom"/>
            <w:gridSpan w:val="6"/>
          </w:tcPr>
          <w:p>
            <w:pPr>
              <w:jc w:val="center"/>
              <w:ind w:left="24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363"/>
        </w:trPr>
        <w:tc>
          <w:tcPr>
            <w:tcW w:w="2560" w:type="dxa"/>
            <w:vAlign w:val="bottom"/>
          </w:tcPr>
          <w:p>
            <w:pPr>
              <w:spacing w:after="0"/>
              <w:rPr>
                <w:sz w:val="24"/>
                <w:szCs w:val="24"/>
                <w:color w:val="auto"/>
              </w:rPr>
            </w:pPr>
          </w:p>
        </w:tc>
        <w:tc>
          <w:tcPr>
            <w:tcW w:w="1840" w:type="dxa"/>
            <w:vAlign w:val="bottom"/>
            <w:gridSpan w:val="2"/>
          </w:tcPr>
          <w:p>
            <w:pPr>
              <w:jc w:val="center"/>
              <w:ind w:right="728"/>
              <w:spacing w:after="0"/>
              <w:rPr>
                <w:sz w:val="20"/>
                <w:szCs w:val="20"/>
                <w:color w:val="auto"/>
              </w:rPr>
            </w:pPr>
            <w:r>
              <w:rPr>
                <w:rFonts w:ascii="Arial" w:cs="Arial" w:eastAsia="Arial" w:hAnsi="Arial"/>
                <w:sz w:val="14"/>
                <w:szCs w:val="14"/>
                <w:color w:val="auto"/>
                <w:w w:val="92"/>
              </w:rPr>
              <w:t>Title of each class</w:t>
            </w:r>
          </w:p>
        </w:tc>
        <w:tc>
          <w:tcPr>
            <w:tcW w:w="8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w w:val="92"/>
              </w:rPr>
              <w:t>Trading Symbol(s)</w:t>
            </w:r>
          </w:p>
        </w:tc>
        <w:tc>
          <w:tcPr>
            <w:tcW w:w="820" w:type="dxa"/>
            <w:vAlign w:val="bottom"/>
          </w:tcPr>
          <w:p>
            <w:pPr>
              <w:spacing w:after="0"/>
              <w:rPr>
                <w:sz w:val="24"/>
                <w:szCs w:val="24"/>
                <w:color w:val="auto"/>
              </w:rPr>
            </w:pPr>
          </w:p>
        </w:tc>
        <w:tc>
          <w:tcPr>
            <w:tcW w:w="4220" w:type="dxa"/>
            <w:vAlign w:val="bottom"/>
            <w:gridSpan w:val="3"/>
          </w:tcPr>
          <w:p>
            <w:pPr>
              <w:jc w:val="center"/>
              <w:ind w:right="1680"/>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2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79"/>
        </w:trPr>
        <w:tc>
          <w:tcPr>
            <w:tcW w:w="4400" w:type="dxa"/>
            <w:vAlign w:val="bottom"/>
            <w:gridSpan w:val="3"/>
          </w:tcPr>
          <w:p>
            <w:pPr>
              <w:jc w:val="center"/>
              <w:ind w:left="1717"/>
              <w:spacing w:after="0"/>
              <w:rPr>
                <w:sz w:val="20"/>
                <w:szCs w:val="20"/>
                <w:color w:val="auto"/>
              </w:rPr>
            </w:pPr>
            <w:r>
              <w:rPr>
                <w:rFonts w:ascii="Arial" w:cs="Arial" w:eastAsia="Arial" w:hAnsi="Arial"/>
                <w:sz w:val="14"/>
                <w:szCs w:val="14"/>
                <w:color w:val="auto"/>
                <w:w w:val="91"/>
              </w:rPr>
              <w:t>Ordinary Shares - £1.00 par value per share</w:t>
            </w:r>
          </w:p>
        </w:tc>
        <w:tc>
          <w:tcPr>
            <w:tcW w:w="840" w:type="dxa"/>
            <w:vAlign w:val="bottom"/>
          </w:tcPr>
          <w:p>
            <w:pPr>
              <w:spacing w:after="0"/>
              <w:rPr>
                <w:sz w:val="24"/>
                <w:szCs w:val="24"/>
                <w:color w:val="auto"/>
              </w:rPr>
            </w:pP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LIVN</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00" w:type="dxa"/>
            <w:vAlign w:val="bottom"/>
            <w:gridSpan w:val="2"/>
          </w:tcPr>
          <w:p>
            <w:pPr>
              <w:jc w:val="center"/>
              <w:ind w:right="2020"/>
              <w:spacing w:after="0"/>
              <w:rPr>
                <w:sz w:val="20"/>
                <w:szCs w:val="20"/>
                <w:color w:val="auto"/>
              </w:rPr>
            </w:pPr>
            <w:r>
              <w:rPr>
                <w:rFonts w:ascii="Arial" w:cs="Arial" w:eastAsia="Arial" w:hAnsi="Arial"/>
                <w:sz w:val="14"/>
                <w:szCs w:val="14"/>
                <w:color w:val="auto"/>
                <w:w w:val="98"/>
              </w:rPr>
              <w:t>NASDAQ Global Market</w:t>
            </w:r>
          </w:p>
        </w:tc>
      </w:tr>
      <w:tr>
        <w:trPr>
          <w:trHeight w:val="243"/>
        </w:trPr>
        <w:tc>
          <w:tcPr>
            <w:tcW w:w="2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20" w:type="dxa"/>
            <w:vAlign w:val="bottom"/>
            <w:gridSpan w:val="8"/>
          </w:tcPr>
          <w:p>
            <w:pPr>
              <w:jc w:val="center"/>
              <w:ind w:right="3560"/>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r>
      <w:tr>
        <w:trPr>
          <w:trHeight w:val="100"/>
        </w:trPr>
        <w:tc>
          <w:tcPr>
            <w:tcW w:w="9740" w:type="dxa"/>
            <w:vAlign w:val="bottom"/>
            <w:gridSpan w:val="9"/>
          </w:tcPr>
          <w:p>
            <w:pPr>
              <w:jc w:val="center"/>
              <w:ind w:left="1637"/>
              <w:spacing w:after="0"/>
              <w:rPr>
                <w:sz w:val="20"/>
                <w:szCs w:val="20"/>
                <w:color w:val="auto"/>
              </w:rPr>
            </w:pPr>
            <w:r>
              <w:rPr>
                <w:rFonts w:ascii="Arial" w:cs="Arial" w:eastAsia="Arial" w:hAnsi="Arial"/>
                <w:sz w:val="7"/>
                <w:szCs w:val="7"/>
                <w:color w:val="auto"/>
                <w:w w:val="92"/>
              </w:rPr>
              <w:t>_________________________________________________________________________________________________________________________</w:t>
            </w:r>
          </w:p>
        </w:tc>
        <w:tc>
          <w:tcPr>
            <w:tcW w:w="1680" w:type="dxa"/>
            <w:vAlign w:val="bottom"/>
          </w:tcPr>
          <w:p>
            <w:pPr>
              <w:spacing w:after="0"/>
              <w:rPr>
                <w:sz w:val="8"/>
                <w:szCs w:val="8"/>
                <w:color w:val="auto"/>
              </w:rPr>
            </w:pPr>
          </w:p>
        </w:tc>
      </w:tr>
      <w:tr>
        <w:trPr>
          <w:trHeight w:val="204"/>
        </w:trPr>
        <w:tc>
          <w:tcPr>
            <w:tcW w:w="7520" w:type="dxa"/>
            <w:vAlign w:val="bottom"/>
            <w:gridSpan w:val="8"/>
          </w:tcPr>
          <w:p>
            <w:pPr>
              <w:ind w:left="180"/>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390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26"/>
        </w:trPr>
        <w:tc>
          <w:tcPr>
            <w:tcW w:w="7520" w:type="dxa"/>
            <w:vAlign w:val="bottom"/>
            <w:gridSpan w:val="8"/>
          </w:tcPr>
          <w:p>
            <w:pPr>
              <w:ind w:left="18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3900" w:type="dxa"/>
            <w:vAlign w:val="bottom"/>
            <w:gridSpan w:val="2"/>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-1103630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-1103630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5" w:lineRule="exact"/>
        <w:rPr>
          <w:sz w:val="24"/>
          <w:szCs w:val="24"/>
          <w:color w:val="auto"/>
        </w:rPr>
      </w:pPr>
    </w:p>
    <w:p>
      <w:pPr>
        <w:ind w:right="22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10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46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ind w:left="196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23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ind w:left="196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3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153" w:lineRule="exact"/>
        <w:rPr>
          <w:sz w:val="24"/>
          <w:szCs w:val="24"/>
          <w:color w:val="auto"/>
        </w:rPr>
      </w:pPr>
    </w:p>
    <w:p>
      <w:pPr>
        <w:ind w:firstLine="162"/>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180"/>
        <w:spacing w:after="0" w:line="161" w:lineRule="exact"/>
        <w:tabs>
          <w:tab w:leader="none" w:pos="66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9" w:lineRule="exact"/>
        <w:rPr>
          <w:sz w:val="24"/>
          <w:szCs w:val="24"/>
          <w:color w:val="auto"/>
        </w:rPr>
      </w:pPr>
    </w:p>
    <w:p>
      <w:pPr>
        <w:ind w:right="40" w:firstLine="162"/>
        <w:spacing w:after="0" w:line="308"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2019, the last business day of the most recently completed second fiscal quarter, based upon the last sales price reported for such dates on the NASDAQ Global Market was approximately $3.5 billion. For purposes of this disclosure, ordinary shares held by persons who hold more than 5% of the outstanding ordinary shares and shares held by executive officers and directors of the registrant have been excluded as such persons may be deemed to be affiliates.</w:t>
      </w:r>
    </w:p>
    <w:p>
      <w:pPr>
        <w:spacing w:after="0" w:line="5" w:lineRule="exact"/>
        <w:rPr>
          <w:sz w:val="24"/>
          <w:szCs w:val="24"/>
          <w:color w:val="auto"/>
        </w:rPr>
      </w:pPr>
    </w:p>
    <w:p>
      <w:pPr>
        <w:ind w:left="180"/>
        <w:spacing w:after="0"/>
        <w:rPr>
          <w:sz w:val="20"/>
          <w:szCs w:val="20"/>
          <w:color w:val="auto"/>
        </w:rPr>
      </w:pPr>
      <w:r>
        <w:rPr>
          <w:rFonts w:ascii="Arial" w:cs="Arial" w:eastAsia="Arial" w:hAnsi="Arial"/>
          <w:sz w:val="14"/>
          <w:szCs w:val="14"/>
          <w:color w:val="auto"/>
        </w:rPr>
        <w:t>As of February 27, 2020, 48,445,251 ordinary shares were outstanding.</w:t>
      </w:r>
    </w:p>
    <w:p>
      <w:pPr>
        <w:spacing w:after="0" w:line="119"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right="20" w:firstLine="162"/>
        <w:spacing w:after="0" w:line="293" w:lineRule="auto"/>
        <w:rPr>
          <w:sz w:val="20"/>
          <w:szCs w:val="20"/>
          <w:color w:val="auto"/>
        </w:rPr>
      </w:pPr>
      <w:r>
        <w:rPr>
          <w:rFonts w:ascii="Arial" w:cs="Arial" w:eastAsia="Arial" w:hAnsi="Arial"/>
          <w:sz w:val="14"/>
          <w:szCs w:val="14"/>
          <w:color w:val="auto"/>
        </w:rPr>
        <w:t>Portions of the definitive proxy statement of LivaNova PLC for the 2020 Annual General Meeting of Shareholders, which will be filed within 120 days of December 31, 2019, are incorporated by reference into Part III of this Annual Report on Form 10-K.</w:t>
      </w: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78" w:right="23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20"/>
          <w:szCs w:val="20"/>
          <w:b w:val="1"/>
          <w:bCs w:val="1"/>
          <w:color w:val="auto"/>
        </w:rPr>
        <w:t>LIVANOVA PLC</w:t>
      </w:r>
    </w:p>
    <w:p>
      <w:pPr>
        <w:spacing w:after="0" w:line="67"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TABLE OF CONTENTS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20" w:type="dxa"/>
            <w:vAlign w:val="bottom"/>
            <w:gridSpan w:val="7"/>
          </w:tcPr>
          <w:p>
            <w:pPr>
              <w:jc w:val="center"/>
              <w:ind w:right="3140"/>
              <w:spacing w:after="0"/>
              <w:rPr>
                <w:sz w:val="20"/>
                <w:szCs w:val="20"/>
                <w:color w:val="auto"/>
              </w:rPr>
            </w:pPr>
            <w:r>
              <w:rPr>
                <w:rFonts w:ascii="Arial" w:cs="Arial" w:eastAsia="Arial" w:hAnsi="Arial"/>
                <w:sz w:val="18"/>
                <w:szCs w:val="18"/>
                <w:b w:val="1"/>
                <w:bCs w:val="1"/>
                <w:color w:val="auto"/>
              </w:rPr>
              <w:t>PART I</w:t>
            </w:r>
          </w:p>
        </w:tc>
        <w:tc>
          <w:tcPr>
            <w:tcW w:w="158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5"/>
              </w:rPr>
              <w:t>PAGE NO.</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980" w:type="dxa"/>
            <w:vAlign w:val="bottom"/>
            <w:tcBorders>
              <w:right w:val="single" w:sz="8" w:color="CCEEFF"/>
            </w:tcBorders>
            <w:gridSpan w:val="2"/>
            <w:shd w:val="clear" w:color="auto" w:fill="CCEEFF"/>
          </w:tcPr>
          <w:p>
            <w:pPr>
              <w:jc w:val="center"/>
              <w:ind w:left="73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5"/>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Item 1A.</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Item 1B.</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20" w:type="dxa"/>
            <w:vAlign w:val="bottom"/>
            <w:gridSpan w:val="3"/>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320" w:type="dxa"/>
            <w:vAlign w:val="bottom"/>
            <w:gridSpan w:val="2"/>
          </w:tcPr>
          <w:p>
            <w:pPr>
              <w:spacing w:after="0"/>
              <w:rPr>
                <w:sz w:val="17"/>
                <w:szCs w:val="17"/>
                <w:color w:val="auto"/>
              </w:rPr>
            </w:pPr>
          </w:p>
        </w:tc>
        <w:tc>
          <w:tcPr>
            <w:tcW w:w="8860" w:type="dxa"/>
            <w:vAlign w:val="bottom"/>
            <w:gridSpan w:val="21"/>
          </w:tcPr>
          <w:p>
            <w:pPr>
              <w:ind w:left="32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5"/>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7"/>
            <w:shd w:val="clear" w:color="auto" w:fill="CCEEFF"/>
          </w:tcPr>
          <w:p>
            <w:pPr>
              <w:jc w:val="center"/>
              <w:ind w:right="3140"/>
              <w:spacing w:after="0"/>
              <w:rPr>
                <w:sz w:val="20"/>
                <w:szCs w:val="20"/>
                <w:color w:val="auto"/>
              </w:rPr>
            </w:pPr>
            <w:r>
              <w:rPr>
                <w:rFonts w:ascii="Arial" w:cs="Arial" w:eastAsia="Arial" w:hAnsi="Arial"/>
                <w:sz w:val="18"/>
                <w:szCs w:val="18"/>
                <w:b w:val="1"/>
                <w:bCs w:val="1"/>
                <w:color w:val="auto"/>
                <w:w w:val="99"/>
              </w:rPr>
              <w:t>PART II</w:t>
            </w:r>
          </w:p>
        </w:tc>
        <w:tc>
          <w:tcPr>
            <w:tcW w:w="8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940" w:type="dxa"/>
            <w:vAlign w:val="bottom"/>
            <w:gridSpan w:val="5"/>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8860" w:type="dxa"/>
            <w:vAlign w:val="bottom"/>
            <w:gridSpan w:val="21"/>
          </w:tcPr>
          <w:p>
            <w:pPr>
              <w:ind w:left="320"/>
              <w:spacing w:after="0" w:line="202"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Market for Registrant’s Common Equity, Related Stockholder Matters and Issuer Purchases of Equity Securities</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5"/>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Item 7.</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40" w:type="dxa"/>
            <w:vAlign w:val="bottom"/>
            <w:gridSpan w:val="4"/>
            <w:shd w:val="clear" w:color="auto" w:fill="CCEEFF"/>
          </w:tcPr>
          <w:p>
            <w:pPr>
              <w:spacing w:after="0" w:line="202"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Item 7A.</w:t>
              </w:r>
            </w:hyperlink>
          </w:p>
        </w:tc>
        <w:tc>
          <w:tcPr>
            <w:tcW w:w="300" w:type="dxa"/>
            <w:vAlign w:val="bottom"/>
            <w:shd w:val="clear" w:color="auto" w:fill="CCEEFF"/>
          </w:tcPr>
          <w:p>
            <w:pPr>
              <w:spacing w:after="0"/>
              <w:rPr>
                <w:sz w:val="17"/>
                <w:szCs w:val="17"/>
                <w:color w:val="auto"/>
              </w:rPr>
            </w:pPr>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40" w:type="dxa"/>
            <w:vAlign w:val="bottom"/>
            <w:gridSpan w:val="4"/>
          </w:tcPr>
          <w:p>
            <w:pPr>
              <w:spacing w:after="0" w:line="202" w:lineRule="exact"/>
              <w:rPr>
                <w:sz w:val="20"/>
                <w:szCs w:val="20"/>
                <w:color w:val="auto"/>
              </w:rPr>
            </w:pPr>
            <w:r>
              <w:rPr>
                <w:rFonts w:ascii="Arial" w:cs="Arial" w:eastAsia="Arial" w:hAnsi="Arial"/>
                <w:sz w:val="18"/>
                <w:szCs w:val="18"/>
                <w:color w:val="0000EE"/>
              </w:rPr>
              <w:t>Item 8.</w:t>
            </w:r>
          </w:p>
        </w:tc>
        <w:tc>
          <w:tcPr>
            <w:tcW w:w="300" w:type="dxa"/>
            <w:vAlign w:val="bottom"/>
          </w:tcPr>
          <w:p>
            <w:pPr>
              <w:spacing w:after="0"/>
              <w:rPr>
                <w:sz w:val="17"/>
                <w:szCs w:val="17"/>
                <w:color w:val="auto"/>
              </w:rPr>
            </w:pPr>
          </w:p>
        </w:tc>
        <w:tc>
          <w:tcPr>
            <w:tcW w:w="8860" w:type="dxa"/>
            <w:vAlign w:val="bottom"/>
            <w:gridSpan w:val="21"/>
          </w:tcPr>
          <w:p>
            <w:pPr>
              <w:ind w:left="320"/>
              <w:spacing w:after="0" w:line="202" w:lineRule="exact"/>
              <w:rPr>
                <w:sz w:val="20"/>
                <w:szCs w:val="20"/>
                <w:color w:val="auto"/>
              </w:rPr>
            </w:pPr>
            <w:r>
              <w:rPr>
                <w:rFonts w:ascii="Arial" w:cs="Arial" w:eastAsia="Arial" w:hAnsi="Arial"/>
                <w:sz w:val="18"/>
                <w:szCs w:val="18"/>
                <w:color w:val="0000EE"/>
              </w:rPr>
              <w:t>Financial Statements and Supplementary Data</w:t>
            </w:r>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0000EE"/>
              </w:rPr>
              <w:t>Item 9.</w:t>
            </w:r>
          </w:p>
        </w:tc>
        <w:tc>
          <w:tcPr>
            <w:tcW w:w="8860" w:type="dxa"/>
            <w:vAlign w:val="bottom"/>
            <w:gridSpan w:val="21"/>
            <w:shd w:val="clear" w:color="auto" w:fill="CCEEFF"/>
          </w:tcPr>
          <w:p>
            <w:pPr>
              <w:ind w:left="320"/>
              <w:spacing w:after="0" w:line="202"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5"/>
          </w:tcPr>
          <w:p>
            <w:pPr>
              <w:spacing w:after="0" w:line="202" w:lineRule="exact"/>
              <w:rPr>
                <w:sz w:val="20"/>
                <w:szCs w:val="20"/>
                <w:color w:val="auto"/>
              </w:rPr>
            </w:pPr>
            <w:r>
              <w:rPr>
                <w:rFonts w:ascii="Arial" w:cs="Arial" w:eastAsia="Arial" w:hAnsi="Arial"/>
                <w:sz w:val="18"/>
                <w:szCs w:val="18"/>
                <w:color w:val="0000EE"/>
              </w:rPr>
              <w:t>Item 9A.</w:t>
            </w:r>
          </w:p>
        </w:tc>
        <w:tc>
          <w:tcPr>
            <w:tcW w:w="8860" w:type="dxa"/>
            <w:vAlign w:val="bottom"/>
            <w:gridSpan w:val="21"/>
          </w:tcPr>
          <w:p>
            <w:pPr>
              <w:ind w:left="320"/>
              <w:spacing w:after="0" w:line="202" w:lineRule="exact"/>
              <w:rPr>
                <w:sz w:val="20"/>
                <w:szCs w:val="20"/>
                <w:color w:val="auto"/>
              </w:rPr>
            </w:pPr>
            <w:r>
              <w:rPr>
                <w:rFonts w:ascii="Arial" w:cs="Arial" w:eastAsia="Arial" w:hAnsi="Arial"/>
                <w:sz w:val="18"/>
                <w:szCs w:val="18"/>
                <w:color w:val="0000EE"/>
              </w:rPr>
              <w:t>Controls and Procedures</w:t>
            </w:r>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9B.</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60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5220" w:type="dxa"/>
            <w:vAlign w:val="bottom"/>
            <w:tcBorders>
              <w:top w:val="single" w:sz="8" w:color="CCEEFF"/>
            </w:tcBorders>
            <w:gridSpan w:val="7"/>
          </w:tcPr>
          <w:p>
            <w:pPr>
              <w:jc w:val="center"/>
              <w:ind w:right="3140"/>
              <w:spacing w:after="0"/>
              <w:rPr>
                <w:sz w:val="20"/>
                <w:szCs w:val="20"/>
                <w:color w:val="auto"/>
              </w:rPr>
            </w:pPr>
            <w:r>
              <w:rPr>
                <w:rFonts w:ascii="Arial" w:cs="Arial" w:eastAsia="Arial" w:hAnsi="Arial"/>
                <w:sz w:val="18"/>
                <w:szCs w:val="18"/>
                <w:b w:val="1"/>
                <w:bCs w:val="1"/>
                <w:color w:val="auto"/>
              </w:rPr>
              <w:t>PART III</w:t>
            </w:r>
          </w:p>
        </w:tc>
        <w:tc>
          <w:tcPr>
            <w:tcW w:w="86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2"/>
            <w:shd w:val="clear" w:color="auto" w:fill="CCEEFF"/>
          </w:tcPr>
          <w:p>
            <w:pPr>
              <w:spacing w:after="0" w:line="202" w:lineRule="exact"/>
              <w:rPr>
                <w:rFonts w:ascii="Arial" w:cs="Arial" w:eastAsia="Arial" w:hAnsi="Arial"/>
                <w:sz w:val="18"/>
                <w:szCs w:val="18"/>
                <w:color w:val="0000EE"/>
                <w:w w:val="86"/>
              </w:rPr>
            </w:pPr>
            <w:hyperlink w:anchor="page50">
              <w:r>
                <w:rPr>
                  <w:rFonts w:ascii="Arial" w:cs="Arial" w:eastAsia="Arial" w:hAnsi="Arial"/>
                  <w:sz w:val="18"/>
                  <w:szCs w:val="18"/>
                  <w:color w:val="0000EE"/>
                  <w:w w:val="86"/>
                </w:rPr>
                <w:t>Item 10.</w:t>
              </w:r>
            </w:hyperlink>
          </w:p>
        </w:tc>
        <w:tc>
          <w:tcPr>
            <w:tcW w:w="340" w:type="dxa"/>
            <w:vAlign w:val="bottom"/>
            <w:gridSpan w:val="3"/>
            <w:shd w:val="clear" w:color="auto" w:fill="CCEEFF"/>
          </w:tcPr>
          <w:p>
            <w:pPr>
              <w:spacing w:after="0"/>
              <w:rPr>
                <w:sz w:val="17"/>
                <w:szCs w:val="17"/>
                <w:color w:val="auto"/>
              </w:rPr>
            </w:pPr>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Directors, Executive Officers and Corporate Governance</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00" w:type="dxa"/>
            <w:vAlign w:val="bottom"/>
            <w:gridSpan w:val="2"/>
          </w:tcPr>
          <w:p>
            <w:pPr>
              <w:spacing w:after="0" w:line="202" w:lineRule="exact"/>
              <w:rPr>
                <w:rFonts w:ascii="Arial" w:cs="Arial" w:eastAsia="Arial" w:hAnsi="Arial"/>
                <w:sz w:val="18"/>
                <w:szCs w:val="18"/>
                <w:color w:val="0000EE"/>
                <w:w w:val="86"/>
              </w:rPr>
            </w:pPr>
            <w:hyperlink w:anchor="page50">
              <w:r>
                <w:rPr>
                  <w:rFonts w:ascii="Arial" w:cs="Arial" w:eastAsia="Arial" w:hAnsi="Arial"/>
                  <w:sz w:val="18"/>
                  <w:szCs w:val="18"/>
                  <w:color w:val="0000EE"/>
                  <w:w w:val="86"/>
                </w:rPr>
                <w:t>Item 11.</w:t>
              </w:r>
            </w:hyperlink>
          </w:p>
        </w:tc>
        <w:tc>
          <w:tcPr>
            <w:tcW w:w="340" w:type="dxa"/>
            <w:vAlign w:val="bottom"/>
            <w:gridSpan w:val="3"/>
          </w:tcPr>
          <w:p>
            <w:pPr>
              <w:spacing w:after="0"/>
              <w:rPr>
                <w:sz w:val="17"/>
                <w:szCs w:val="17"/>
                <w:color w:val="auto"/>
              </w:rPr>
            </w:pPr>
          </w:p>
        </w:tc>
        <w:tc>
          <w:tcPr>
            <w:tcW w:w="8860" w:type="dxa"/>
            <w:vAlign w:val="bottom"/>
            <w:gridSpan w:val="21"/>
          </w:tcPr>
          <w:p>
            <w:pPr>
              <w:ind w:left="3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Executive Compensation</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2"/>
            <w:shd w:val="clear" w:color="auto" w:fill="CCEEFF"/>
          </w:tcPr>
          <w:p>
            <w:pPr>
              <w:spacing w:after="0" w:line="202" w:lineRule="exact"/>
              <w:rPr>
                <w:rFonts w:ascii="Arial" w:cs="Arial" w:eastAsia="Arial" w:hAnsi="Arial"/>
                <w:sz w:val="18"/>
                <w:szCs w:val="18"/>
                <w:color w:val="0000EE"/>
                <w:w w:val="86"/>
              </w:rPr>
            </w:pPr>
            <w:hyperlink w:anchor="page50">
              <w:r>
                <w:rPr>
                  <w:rFonts w:ascii="Arial" w:cs="Arial" w:eastAsia="Arial" w:hAnsi="Arial"/>
                  <w:sz w:val="18"/>
                  <w:szCs w:val="18"/>
                  <w:color w:val="0000EE"/>
                  <w:w w:val="86"/>
                </w:rPr>
                <w:t>Item 12.</w:t>
              </w:r>
            </w:hyperlink>
          </w:p>
        </w:tc>
        <w:tc>
          <w:tcPr>
            <w:tcW w:w="340" w:type="dxa"/>
            <w:vAlign w:val="bottom"/>
            <w:gridSpan w:val="3"/>
            <w:shd w:val="clear" w:color="auto" w:fill="CCEEFF"/>
          </w:tcPr>
          <w:p>
            <w:pPr>
              <w:spacing w:after="0"/>
              <w:rPr>
                <w:sz w:val="17"/>
                <w:szCs w:val="17"/>
                <w:color w:val="auto"/>
              </w:rPr>
            </w:pPr>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Security Ownership of Certain Beneficial Owners and Management and Related Stockholder Matters</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00" w:type="dxa"/>
            <w:vAlign w:val="bottom"/>
            <w:gridSpan w:val="2"/>
          </w:tcPr>
          <w:p>
            <w:pPr>
              <w:spacing w:after="0" w:line="202" w:lineRule="exact"/>
              <w:rPr>
                <w:rFonts w:ascii="Arial" w:cs="Arial" w:eastAsia="Arial" w:hAnsi="Arial"/>
                <w:sz w:val="18"/>
                <w:szCs w:val="18"/>
                <w:color w:val="0000EE"/>
                <w:w w:val="86"/>
              </w:rPr>
            </w:pPr>
            <w:hyperlink w:anchor="page50">
              <w:r>
                <w:rPr>
                  <w:rFonts w:ascii="Arial" w:cs="Arial" w:eastAsia="Arial" w:hAnsi="Arial"/>
                  <w:sz w:val="18"/>
                  <w:szCs w:val="18"/>
                  <w:color w:val="0000EE"/>
                  <w:w w:val="86"/>
                </w:rPr>
                <w:t>Item 13.</w:t>
              </w:r>
            </w:hyperlink>
          </w:p>
        </w:tc>
        <w:tc>
          <w:tcPr>
            <w:tcW w:w="340" w:type="dxa"/>
            <w:vAlign w:val="bottom"/>
            <w:gridSpan w:val="3"/>
          </w:tcPr>
          <w:p>
            <w:pPr>
              <w:spacing w:after="0"/>
              <w:rPr>
                <w:sz w:val="17"/>
                <w:szCs w:val="17"/>
                <w:color w:val="auto"/>
              </w:rPr>
            </w:pPr>
          </w:p>
        </w:tc>
        <w:tc>
          <w:tcPr>
            <w:tcW w:w="8860" w:type="dxa"/>
            <w:vAlign w:val="bottom"/>
            <w:gridSpan w:val="21"/>
          </w:tcPr>
          <w:p>
            <w:pPr>
              <w:ind w:left="3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Certain Relationships and Related Transactions, and Director Independence</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14.</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Principal Accounting Fees and Services</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60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5220" w:type="dxa"/>
            <w:vAlign w:val="bottom"/>
            <w:tcBorders>
              <w:top w:val="single" w:sz="8" w:color="CCEEFF"/>
            </w:tcBorders>
            <w:gridSpan w:val="7"/>
          </w:tcPr>
          <w:p>
            <w:pPr>
              <w:jc w:val="center"/>
              <w:ind w:right="3140"/>
              <w:spacing w:after="0"/>
              <w:rPr>
                <w:sz w:val="20"/>
                <w:szCs w:val="20"/>
                <w:color w:val="auto"/>
              </w:rPr>
            </w:pPr>
            <w:r>
              <w:rPr>
                <w:rFonts w:ascii="Arial" w:cs="Arial" w:eastAsia="Arial" w:hAnsi="Arial"/>
                <w:sz w:val="18"/>
                <w:szCs w:val="18"/>
                <w:b w:val="1"/>
                <w:bCs w:val="1"/>
                <w:color w:val="auto"/>
              </w:rPr>
              <w:t>PART IV</w:t>
            </w:r>
          </w:p>
        </w:tc>
        <w:tc>
          <w:tcPr>
            <w:tcW w:w="86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2"/>
            <w:shd w:val="clear" w:color="auto" w:fill="CCEEFF"/>
          </w:tcPr>
          <w:p>
            <w:pPr>
              <w:spacing w:after="0" w:line="202" w:lineRule="exact"/>
              <w:rPr>
                <w:rFonts w:ascii="Arial" w:cs="Arial" w:eastAsia="Arial" w:hAnsi="Arial"/>
                <w:sz w:val="18"/>
                <w:szCs w:val="18"/>
                <w:color w:val="0000EE"/>
                <w:w w:val="86"/>
              </w:rPr>
            </w:pPr>
            <w:hyperlink w:anchor="page51">
              <w:r>
                <w:rPr>
                  <w:rFonts w:ascii="Arial" w:cs="Arial" w:eastAsia="Arial" w:hAnsi="Arial"/>
                  <w:sz w:val="18"/>
                  <w:szCs w:val="18"/>
                  <w:color w:val="0000EE"/>
                  <w:w w:val="86"/>
                </w:rPr>
                <w:t>Item 15.</w:t>
              </w:r>
            </w:hyperlink>
          </w:p>
        </w:tc>
        <w:tc>
          <w:tcPr>
            <w:tcW w:w="340" w:type="dxa"/>
            <w:vAlign w:val="bottom"/>
            <w:gridSpan w:val="3"/>
            <w:shd w:val="clear" w:color="auto" w:fill="CCEEFF"/>
          </w:tcPr>
          <w:p>
            <w:pPr>
              <w:spacing w:after="0"/>
              <w:rPr>
                <w:sz w:val="17"/>
                <w:szCs w:val="17"/>
                <w:color w:val="auto"/>
              </w:rPr>
            </w:pPr>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Exhibits, Financial Statement Schedules</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00" w:type="dxa"/>
            <w:vAlign w:val="bottom"/>
            <w:gridSpan w:val="2"/>
          </w:tcPr>
          <w:p>
            <w:pPr>
              <w:spacing w:after="0" w:line="202" w:lineRule="exact"/>
              <w:rPr>
                <w:rFonts w:ascii="Arial" w:cs="Arial" w:eastAsia="Arial" w:hAnsi="Arial"/>
                <w:sz w:val="18"/>
                <w:szCs w:val="18"/>
                <w:color w:val="0000EE"/>
                <w:w w:val="86"/>
              </w:rPr>
            </w:pPr>
            <w:hyperlink w:anchor="page57">
              <w:r>
                <w:rPr>
                  <w:rFonts w:ascii="Arial" w:cs="Arial" w:eastAsia="Arial" w:hAnsi="Arial"/>
                  <w:sz w:val="18"/>
                  <w:szCs w:val="18"/>
                  <w:color w:val="0000EE"/>
                  <w:w w:val="86"/>
                </w:rPr>
                <w:t>Item 16.</w:t>
              </w:r>
            </w:hyperlink>
          </w:p>
        </w:tc>
        <w:tc>
          <w:tcPr>
            <w:tcW w:w="340" w:type="dxa"/>
            <w:vAlign w:val="bottom"/>
            <w:gridSpan w:val="3"/>
          </w:tcPr>
          <w:p>
            <w:pPr>
              <w:spacing w:after="0"/>
              <w:rPr>
                <w:sz w:val="17"/>
                <w:szCs w:val="17"/>
                <w:color w:val="auto"/>
              </w:rPr>
            </w:pPr>
          </w:p>
        </w:tc>
        <w:tc>
          <w:tcPr>
            <w:tcW w:w="8860" w:type="dxa"/>
            <w:vAlign w:val="bottom"/>
            <w:gridSpan w:val="21"/>
          </w:tcPr>
          <w:p>
            <w:pPr>
              <w:ind w:left="3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Form 10-K Summary</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57</w:t>
              </w:r>
            </w:hyperlink>
          </w:p>
        </w:tc>
        <w:tc>
          <w:tcPr>
            <w:tcW w:w="60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35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Annual Report on Form 10-K, “LivaNova,” “the Company,” “we,” “us” and “our” refer to LivaNova PLC and its consolidated subsidiaries.</w:t>
      </w:r>
    </w:p>
    <w:p>
      <w:pPr>
        <w:spacing w:after="0" w:line="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45" w:lineRule="exact"/>
        <w:rPr>
          <w:sz w:val="20"/>
          <w:szCs w:val="20"/>
          <w:color w:val="auto"/>
        </w:rPr>
      </w:pPr>
    </w:p>
    <w:p>
      <w:pPr>
        <w:ind w:left="660" w:right="140" w:hanging="328"/>
        <w:spacing w:after="0" w:line="1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the VITARIA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and our proprietary pulse generator products: Model 102 (Pulse</w:t>
      </w:r>
      <w:r>
        <w:rPr>
          <w:rFonts w:ascii="Arial" w:cs="Arial" w:eastAsia="Arial" w:hAnsi="Arial"/>
          <w:sz w:val="28"/>
          <w:szCs w:val="28"/>
          <w:color w:val="auto"/>
          <w:vertAlign w:val="superscript"/>
        </w:rPr>
        <w:t>®</w:t>
      </w:r>
      <w:r>
        <w:rPr>
          <w:rFonts w:ascii="Arial" w:cs="Arial" w:eastAsia="Arial" w:hAnsi="Arial"/>
          <w:sz w:val="18"/>
          <w:szCs w:val="18"/>
          <w:color w:val="auto"/>
        </w:rPr>
        <w:t>), Model 102R (Pulse Duo</w:t>
      </w:r>
      <w:r>
        <w:rPr>
          <w:rFonts w:ascii="Arial" w:cs="Arial" w:eastAsia="Arial" w:hAnsi="Arial"/>
          <w:sz w:val="28"/>
          <w:szCs w:val="28"/>
          <w:color w:val="auto"/>
          <w:vertAlign w:val="superscript"/>
        </w:rPr>
        <w:t>®</w:t>
      </w:r>
      <w:r>
        <w:rPr>
          <w:rFonts w:ascii="Arial" w:cs="Arial" w:eastAsia="Arial" w:hAnsi="Arial"/>
          <w:sz w:val="18"/>
          <w:szCs w:val="18"/>
          <w:color w:val="auto"/>
        </w:rPr>
        <w:t>), Model 103 (Demipulse</w:t>
      </w:r>
      <w:r>
        <w:rPr>
          <w:rFonts w:ascii="Arial" w:cs="Arial" w:eastAsia="Arial" w:hAnsi="Arial"/>
          <w:sz w:val="28"/>
          <w:szCs w:val="28"/>
          <w:color w:val="auto"/>
          <w:vertAlign w:val="superscript"/>
        </w:rPr>
        <w:t>®</w:t>
      </w:r>
      <w:r>
        <w:rPr>
          <w:rFonts w:ascii="Arial" w:cs="Arial" w:eastAsia="Arial" w:hAnsi="Arial"/>
          <w:sz w:val="18"/>
          <w:szCs w:val="18"/>
          <w:color w:val="auto"/>
        </w:rPr>
        <w:t>), Model 104 (Demipulse Duo</w:t>
      </w:r>
      <w:r>
        <w:rPr>
          <w:rFonts w:ascii="Arial" w:cs="Arial" w:eastAsia="Arial" w:hAnsi="Arial"/>
          <w:sz w:val="28"/>
          <w:szCs w:val="28"/>
          <w:color w:val="auto"/>
          <w:vertAlign w:val="superscript"/>
        </w:rPr>
        <w:t>®</w:t>
      </w:r>
      <w:r>
        <w:rPr>
          <w:rFonts w:ascii="Arial" w:cs="Arial" w:eastAsia="Arial" w:hAnsi="Arial"/>
          <w:sz w:val="18"/>
          <w:szCs w:val="18"/>
          <w:color w:val="auto"/>
        </w:rPr>
        <w:t>), Model 105 (AspireHC</w:t>
      </w:r>
      <w:r>
        <w:rPr>
          <w:rFonts w:ascii="Arial" w:cs="Arial" w:eastAsia="Arial" w:hAnsi="Arial"/>
          <w:sz w:val="28"/>
          <w:szCs w:val="28"/>
          <w:color w:val="auto"/>
          <w:vertAlign w:val="superscript"/>
        </w:rPr>
        <w:t>®</w:t>
      </w:r>
      <w:r>
        <w:rPr>
          <w:rFonts w:ascii="Arial" w:cs="Arial" w:eastAsia="Arial" w:hAnsi="Arial"/>
          <w:sz w:val="18"/>
          <w:szCs w:val="18"/>
          <w:color w:val="auto"/>
        </w:rPr>
        <w:t>), Model 106 (AspireSR</w:t>
      </w:r>
      <w:r>
        <w:rPr>
          <w:rFonts w:ascii="Arial" w:cs="Arial" w:eastAsia="Arial" w:hAnsi="Arial"/>
          <w:sz w:val="28"/>
          <w:szCs w:val="28"/>
          <w:color w:val="auto"/>
          <w:vertAlign w:val="superscript"/>
        </w:rPr>
        <w:t>®</w:t>
      </w:r>
      <w:r>
        <w:rPr>
          <w:rFonts w:ascii="Arial" w:cs="Arial" w:eastAsia="Arial" w:hAnsi="Arial"/>
          <w:sz w:val="18"/>
          <w:szCs w:val="18"/>
          <w:color w:val="auto"/>
        </w:rPr>
        <w:t>) and Model 1000 (SenTiva™).</w:t>
      </w:r>
    </w:p>
    <w:p>
      <w:pPr>
        <w:spacing w:after="0" w:line="3" w:lineRule="exact"/>
        <w:rPr>
          <w:rFonts w:ascii="Arial" w:cs="Arial" w:eastAsia="Arial" w:hAnsi="Arial"/>
          <w:sz w:val="18"/>
          <w:szCs w:val="18"/>
          <w:color w:val="auto"/>
        </w:rPr>
      </w:pPr>
    </w:p>
    <w:p>
      <w:pPr>
        <w:ind w:left="660" w:right="78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Cardiopulmonary product systems: S5</w:t>
      </w:r>
      <w:r>
        <w:rPr>
          <w:rFonts w:ascii="Arial" w:cs="Arial" w:eastAsia="Arial" w:hAnsi="Arial"/>
          <w:sz w:val="28"/>
          <w:szCs w:val="28"/>
          <w:color w:val="auto"/>
          <w:vertAlign w:val="superscript"/>
        </w:rPr>
        <w:t>®</w:t>
      </w:r>
      <w:r>
        <w:rPr>
          <w:rFonts w:ascii="Arial" w:cs="Arial" w:eastAsia="Arial" w:hAnsi="Arial"/>
          <w:sz w:val="18"/>
          <w:szCs w:val="18"/>
          <w:color w:val="auto"/>
        </w:rPr>
        <w:t xml:space="preserve"> heart-lung machine, S3</w:t>
      </w:r>
      <w:r>
        <w:rPr>
          <w:rFonts w:ascii="Arial" w:cs="Arial" w:eastAsia="Arial" w:hAnsi="Arial"/>
          <w:sz w:val="28"/>
          <w:szCs w:val="28"/>
          <w:color w:val="auto"/>
          <w:vertAlign w:val="superscript"/>
        </w:rPr>
        <w:t>®</w:t>
      </w:r>
      <w:r>
        <w:rPr>
          <w:rFonts w:ascii="Arial" w:cs="Arial" w:eastAsia="Arial" w:hAnsi="Arial"/>
          <w:sz w:val="18"/>
          <w:szCs w:val="18"/>
          <w:color w:val="auto"/>
        </w:rPr>
        <w:t xml:space="preserve"> heart-lung machine, Inspire™, Heartlink™, XTRA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Autotransfusion System, 3T Heater-Cooler</w:t>
      </w:r>
      <w:r>
        <w:rPr>
          <w:rFonts w:ascii="Arial" w:cs="Arial" w:eastAsia="Arial" w:hAnsi="Arial"/>
          <w:sz w:val="28"/>
          <w:szCs w:val="28"/>
          <w:color w:val="auto"/>
          <w:vertAlign w:val="superscript"/>
        </w:rPr>
        <w:t>®</w:t>
      </w:r>
      <w:r>
        <w:rPr>
          <w:rFonts w:ascii="Arial" w:cs="Arial" w:eastAsia="Arial" w:hAnsi="Arial"/>
          <w:sz w:val="18"/>
          <w:szCs w:val="18"/>
          <w:color w:val="auto"/>
        </w:rPr>
        <w:t>, Connect™ and Revolution</w:t>
      </w:r>
      <w:r>
        <w:rPr>
          <w:rFonts w:ascii="Arial" w:cs="Arial" w:eastAsia="Arial" w:hAnsi="Arial"/>
          <w:sz w:val="28"/>
          <w:szCs w:val="28"/>
          <w:color w:val="auto"/>
          <w:vertAlign w:val="superscript"/>
        </w:rPr>
        <w:t>®</w:t>
      </w:r>
      <w:r>
        <w:rPr>
          <w:rFonts w:ascii="Arial" w:cs="Arial" w:eastAsia="Arial" w:hAnsi="Arial"/>
          <w:sz w:val="21"/>
          <w:szCs w:val="21"/>
          <w:color w:val="auto"/>
        </w:rPr>
        <w:t>.</w:t>
      </w:r>
    </w:p>
    <w:p>
      <w:pPr>
        <w:ind w:left="660" w:right="280" w:hanging="328"/>
        <w:spacing w:after="0" w:line="1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line of surgical tissue and mechanical valve replacements and repair products: Mitroflow</w:t>
      </w:r>
      <w:r>
        <w:rPr>
          <w:rFonts w:ascii="Arial" w:cs="Arial" w:eastAsia="Arial" w:hAnsi="Arial"/>
          <w:sz w:val="28"/>
          <w:szCs w:val="28"/>
          <w:color w:val="auto"/>
          <w:vertAlign w:val="superscript"/>
        </w:rPr>
        <w:t>®</w:t>
      </w:r>
      <w:r>
        <w:rPr>
          <w:rFonts w:ascii="Arial" w:cs="Arial" w:eastAsia="Arial" w:hAnsi="Arial"/>
          <w:sz w:val="18"/>
          <w:szCs w:val="18"/>
          <w:color w:val="auto"/>
        </w:rPr>
        <w:t>, Crown PRT</w:t>
      </w:r>
      <w:r>
        <w:rPr>
          <w:rFonts w:ascii="Arial" w:cs="Arial" w:eastAsia="Arial" w:hAnsi="Arial"/>
          <w:sz w:val="28"/>
          <w:szCs w:val="28"/>
          <w:color w:val="auto"/>
          <w:vertAlign w:val="superscript"/>
        </w:rPr>
        <w:t>®</w:t>
      </w:r>
      <w:r>
        <w:rPr>
          <w:rFonts w:ascii="Arial" w:cs="Arial" w:eastAsia="Arial" w:hAnsi="Arial"/>
          <w:sz w:val="18"/>
          <w:szCs w:val="18"/>
          <w:color w:val="auto"/>
        </w:rPr>
        <w:t>, Solo Smart™, Perceval</w:t>
      </w:r>
      <w:r>
        <w:rPr>
          <w:rFonts w:ascii="Arial" w:cs="Arial" w:eastAsia="Arial" w:hAnsi="Arial"/>
          <w:sz w:val="28"/>
          <w:szCs w:val="28"/>
          <w:color w:val="auto"/>
          <w:vertAlign w:val="superscript"/>
        </w:rPr>
        <w:t>®</w:t>
      </w:r>
      <w:r>
        <w:rPr>
          <w:rFonts w:ascii="Arial" w:cs="Arial" w:eastAsia="Arial" w:hAnsi="Arial"/>
          <w:sz w:val="18"/>
          <w:szCs w:val="18"/>
          <w:color w:val="auto"/>
        </w:rPr>
        <w:t>, Miami Instruments™, Top Hat</w:t>
      </w:r>
      <w:r>
        <w:rPr>
          <w:rFonts w:ascii="Arial" w:cs="Arial" w:eastAsia="Arial" w:hAnsi="Arial"/>
          <w:sz w:val="28"/>
          <w:szCs w:val="28"/>
          <w:color w:val="auto"/>
          <w:vertAlign w:val="superscript"/>
        </w:rPr>
        <w:t>®</w:t>
      </w:r>
      <w:r>
        <w:rPr>
          <w:rFonts w:ascii="Arial" w:cs="Arial" w:eastAsia="Arial" w:hAnsi="Arial"/>
          <w:sz w:val="18"/>
          <w:szCs w:val="18"/>
          <w:color w:val="auto"/>
        </w:rPr>
        <w:t>, Reduced Series Aortic Valves™, Carbomedics</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Carbo-Seal</w:t>
      </w:r>
      <w:r>
        <w:rPr>
          <w:rFonts w:ascii="Arial" w:cs="Arial" w:eastAsia="Arial" w:hAnsi="Arial"/>
          <w:sz w:val="28"/>
          <w:szCs w:val="28"/>
          <w:color w:val="auto"/>
          <w:vertAlign w:val="superscript"/>
        </w:rPr>
        <w:t>®</w:t>
      </w:r>
      <w:r>
        <w:rPr>
          <w:rFonts w:ascii="Arial" w:cs="Arial" w:eastAsia="Arial" w:hAnsi="Arial"/>
          <w:sz w:val="18"/>
          <w:szCs w:val="18"/>
          <w:color w:val="auto"/>
        </w:rPr>
        <w:t>, Carbo-Seal Valsalva</w:t>
      </w:r>
      <w:r>
        <w:rPr>
          <w:rFonts w:ascii="Arial" w:cs="Arial" w:eastAsia="Arial" w:hAnsi="Arial"/>
          <w:sz w:val="28"/>
          <w:szCs w:val="28"/>
          <w:color w:val="auto"/>
          <w:vertAlign w:val="superscript"/>
        </w:rPr>
        <w:t>®</w:t>
      </w:r>
      <w:r>
        <w:rPr>
          <w:rFonts w:ascii="Arial" w:cs="Arial" w:eastAsia="Arial" w:hAnsi="Arial"/>
          <w:sz w:val="18"/>
          <w:szCs w:val="18"/>
          <w:color w:val="auto"/>
        </w:rPr>
        <w:t>, Carbomedics</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Standard™, Orbis™ and Optiform</w:t>
      </w:r>
      <w:r>
        <w:rPr>
          <w:rFonts w:ascii="Arial" w:cs="Arial" w:eastAsia="Arial" w:hAnsi="Arial"/>
          <w:sz w:val="28"/>
          <w:szCs w:val="28"/>
          <w:color w:val="auto"/>
          <w:vertAlign w:val="superscript"/>
        </w:rPr>
        <w:t>®</w:t>
      </w:r>
      <w:r>
        <w:rPr>
          <w:rFonts w:ascii="Arial" w:cs="Arial" w:eastAsia="Arial" w:hAnsi="Arial"/>
          <w:sz w:val="18"/>
          <w:szCs w:val="18"/>
          <w:color w:val="auto"/>
        </w:rPr>
        <w:t>, Memo 3D</w:t>
      </w:r>
      <w:r>
        <w:rPr>
          <w:rFonts w:ascii="Arial" w:cs="Arial" w:eastAsia="Arial" w:hAnsi="Arial"/>
          <w:sz w:val="28"/>
          <w:szCs w:val="28"/>
          <w:color w:val="auto"/>
          <w:vertAlign w:val="superscript"/>
        </w:rPr>
        <w:t>®</w:t>
      </w:r>
      <w:r>
        <w:rPr>
          <w:rFonts w:ascii="Arial" w:cs="Arial" w:eastAsia="Arial" w:hAnsi="Arial"/>
          <w:sz w:val="18"/>
          <w:szCs w:val="18"/>
          <w:color w:val="auto"/>
        </w:rPr>
        <w:t>, Memo 3D</w:t>
      </w:r>
      <w:r>
        <w:rPr>
          <w:rFonts w:ascii="Arial" w:cs="Arial" w:eastAsia="Arial" w:hAnsi="Arial"/>
          <w:sz w:val="28"/>
          <w:szCs w:val="28"/>
          <w:color w:val="auto"/>
          <w:vertAlign w:val="superscript"/>
        </w:rPr>
        <w:t>®</w:t>
      </w:r>
      <w:r>
        <w:rPr>
          <w:rFonts w:ascii="Arial" w:cs="Arial" w:eastAsia="Arial" w:hAnsi="Arial"/>
          <w:sz w:val="18"/>
          <w:szCs w:val="18"/>
          <w:color w:val="auto"/>
        </w:rPr>
        <w:t xml:space="preserve"> ReChord™, MEMO 4D</w:t>
      </w:r>
      <w:r>
        <w:rPr>
          <w:rFonts w:ascii="Arial" w:cs="Arial" w:eastAsia="Arial" w:hAnsi="Arial"/>
          <w:sz w:val="28"/>
          <w:szCs w:val="28"/>
          <w:color w:val="auto"/>
          <w:vertAlign w:val="superscript"/>
        </w:rPr>
        <w:t>®</w:t>
      </w:r>
      <w:r>
        <w:rPr>
          <w:rFonts w:ascii="Arial" w:cs="Arial" w:eastAsia="Arial" w:hAnsi="Arial"/>
          <w:sz w:val="18"/>
          <w:szCs w:val="18"/>
          <w:color w:val="auto"/>
        </w:rPr>
        <w:t>, MEMO 4D</w:t>
      </w:r>
      <w:r>
        <w:rPr>
          <w:rFonts w:ascii="Arial" w:cs="Arial" w:eastAsia="Arial" w:hAnsi="Arial"/>
          <w:sz w:val="28"/>
          <w:szCs w:val="28"/>
          <w:color w:val="auto"/>
          <w:vertAlign w:val="superscript"/>
        </w:rPr>
        <w:t>®</w:t>
      </w:r>
      <w:r>
        <w:rPr>
          <w:rFonts w:ascii="Arial" w:cs="Arial" w:eastAsia="Arial" w:hAnsi="Arial"/>
          <w:sz w:val="18"/>
          <w:szCs w:val="18"/>
          <w:color w:val="auto"/>
        </w:rPr>
        <w:t xml:space="preserve"> ReChord™, AnnuloFlo</w:t>
      </w:r>
      <w:r>
        <w:rPr>
          <w:rFonts w:ascii="Arial" w:cs="Arial" w:eastAsia="Arial" w:hAnsi="Arial"/>
          <w:sz w:val="28"/>
          <w:szCs w:val="28"/>
          <w:color w:val="auto"/>
          <w:vertAlign w:val="superscript"/>
        </w:rPr>
        <w:t>®</w:t>
      </w:r>
      <w:r>
        <w:rPr>
          <w:rFonts w:ascii="Arial" w:cs="Arial" w:eastAsia="Arial" w:hAnsi="Arial"/>
          <w:sz w:val="18"/>
          <w:szCs w:val="18"/>
          <w:color w:val="auto"/>
        </w:rPr>
        <w:t>, AnnuloFlex</w:t>
      </w:r>
      <w:r>
        <w:rPr>
          <w:rFonts w:ascii="Arial" w:cs="Arial" w:eastAsia="Arial" w:hAnsi="Arial"/>
          <w:sz w:val="28"/>
          <w:szCs w:val="28"/>
          <w:color w:val="auto"/>
          <w:vertAlign w:val="superscript"/>
        </w:rPr>
        <w:t>®</w:t>
      </w:r>
      <w:r>
        <w:rPr>
          <w:rFonts w:ascii="Arial" w:cs="Arial" w:eastAsia="Arial" w:hAnsi="Arial"/>
          <w:sz w:val="18"/>
          <w:szCs w:val="18"/>
          <w:color w:val="auto"/>
        </w:rPr>
        <w:t>, Bicarbon Slimline™, Bicarbon Filtline™ and Bicarbon Overline</w:t>
      </w:r>
      <w:r>
        <w:rPr>
          <w:rFonts w:ascii="Arial" w:cs="Arial" w:eastAsia="Arial" w:hAnsi="Arial"/>
          <w:sz w:val="28"/>
          <w:szCs w:val="28"/>
          <w:color w:val="auto"/>
          <w:vertAlign w:val="superscript"/>
        </w:rPr>
        <w: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Trademarks for our advanced circulatory support systems: TandemLife</w:t>
      </w:r>
      <w:r>
        <w:rPr>
          <w:rFonts w:ascii="Arial" w:cs="Arial" w:eastAsia="Arial" w:hAnsi="Arial"/>
          <w:sz w:val="27"/>
          <w:szCs w:val="27"/>
          <w:color w:val="auto"/>
          <w:vertAlign w:val="superscript"/>
        </w:rPr>
        <w:t>®</w:t>
      </w:r>
      <w:r>
        <w:rPr>
          <w:rFonts w:ascii="Arial" w:cs="Arial" w:eastAsia="Arial" w:hAnsi="Arial"/>
          <w:sz w:val="17"/>
          <w:szCs w:val="17"/>
          <w:color w:val="auto"/>
        </w:rPr>
        <w:t>, TandemHeart</w:t>
      </w:r>
      <w:r>
        <w:rPr>
          <w:rFonts w:ascii="Arial" w:cs="Arial" w:eastAsia="Arial" w:hAnsi="Arial"/>
          <w:sz w:val="27"/>
          <w:szCs w:val="27"/>
          <w:color w:val="auto"/>
          <w:vertAlign w:val="superscript"/>
        </w:rPr>
        <w:t>®</w:t>
      </w:r>
      <w:r>
        <w:rPr>
          <w:rFonts w:ascii="Arial" w:cs="Arial" w:eastAsia="Arial" w:hAnsi="Arial"/>
          <w:sz w:val="17"/>
          <w:szCs w:val="17"/>
          <w:color w:val="auto"/>
        </w:rPr>
        <w:t>, TandemLung</w:t>
      </w:r>
      <w:r>
        <w:rPr>
          <w:rFonts w:ascii="Arial" w:cs="Arial" w:eastAsia="Arial" w:hAnsi="Arial"/>
          <w:sz w:val="27"/>
          <w:szCs w:val="27"/>
          <w:color w:val="auto"/>
          <w:vertAlign w:val="superscript"/>
        </w:rPr>
        <w:t>®</w:t>
      </w:r>
      <w:r>
        <w:rPr>
          <w:rFonts w:ascii="Arial" w:cs="Arial" w:eastAsia="Arial" w:hAnsi="Arial"/>
          <w:sz w:val="17"/>
          <w:szCs w:val="17"/>
          <w:color w:val="auto"/>
        </w:rPr>
        <w:t>, ProtekDuo</w:t>
      </w:r>
      <w:r>
        <w:rPr>
          <w:rFonts w:ascii="Arial" w:cs="Arial" w:eastAsia="Arial" w:hAnsi="Arial"/>
          <w:sz w:val="27"/>
          <w:szCs w:val="27"/>
          <w:color w:val="auto"/>
          <w:vertAlign w:val="superscript"/>
        </w:rPr>
        <w:t>®</w:t>
      </w:r>
      <w:r>
        <w:rPr>
          <w:rFonts w:ascii="Arial" w:cs="Arial" w:eastAsia="Arial" w:hAnsi="Arial"/>
          <w:sz w:val="17"/>
          <w:szCs w:val="17"/>
          <w:color w:val="auto"/>
        </w:rPr>
        <w:t>, and LifeSPARC™.</w:t>
      </w:r>
    </w:p>
    <w:p>
      <w:pPr>
        <w:ind w:left="660" w:hanging="328"/>
        <w:spacing w:after="0" w:line="21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obstructive sleep apnea system: ImThera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Aura6000</w:t>
      </w:r>
      <w:r>
        <w:rPr>
          <w:rFonts w:ascii="Arial" w:cs="Arial" w:eastAsia="Arial" w:hAnsi="Arial"/>
          <w:sz w:val="28"/>
          <w:szCs w:val="28"/>
          <w:color w:val="auto"/>
          <w:vertAlign w:val="superscript"/>
        </w:rPr>
        <w:t>®</w:t>
      </w:r>
      <w:r>
        <w:rPr>
          <w:rFonts w:ascii="Arial" w:cs="Arial" w:eastAsia="Arial" w:hAnsi="Arial"/>
          <w:sz w:val="18"/>
          <w:szCs w:val="18"/>
          <w:color w:val="auto"/>
        </w:rPr>
        <w:t>.</w:t>
      </w:r>
    </w:p>
    <w:p>
      <w:pPr>
        <w:spacing w:after="0" w:line="1" w:lineRule="exact"/>
        <w:rPr>
          <w:sz w:val="20"/>
          <w:szCs w:val="20"/>
          <w:color w:val="auto"/>
        </w:rPr>
      </w:pPr>
    </w:p>
    <w:p>
      <w:pPr>
        <w:ind w:right="280" w:firstLine="162"/>
        <w:spacing w:after="0" w:line="229" w:lineRule="auto"/>
        <w:rPr>
          <w:sz w:val="20"/>
          <w:szCs w:val="20"/>
          <w:color w:val="auto"/>
        </w:rPr>
      </w:pPr>
      <w:r>
        <w:rPr>
          <w:rFonts w:ascii="Arial" w:cs="Arial" w:eastAsia="Arial" w:hAnsi="Arial"/>
          <w:sz w:val="18"/>
          <w:szCs w:val="18"/>
          <w:color w:val="auto"/>
        </w:rPr>
        <w:t xml:space="preserve">These trademarks and trade names are the property of LivaNova or the property of our consolidated subsidiaries and are protected under applicable intellectual property laws. Solely for convenience, our trademarks and tradenames referred to in this Annual Report on Form 10-K may appear without the </w:t>
      </w:r>
      <w:r>
        <w:rPr>
          <w:rFonts w:ascii="Arial" w:cs="Arial" w:eastAsia="Arial" w:hAnsi="Arial"/>
          <w:sz w:val="28"/>
          <w:szCs w:val="28"/>
          <w:color w:val="auto"/>
          <w:vertAlign w:val="superscript"/>
        </w:rPr>
        <w:t>®</w:t>
      </w:r>
      <w:r>
        <w:rPr>
          <w:rFonts w:ascii="Arial" w:cs="Arial" w:eastAsia="Arial" w:hAnsi="Arial"/>
          <w:sz w:val="18"/>
          <w:szCs w:val="18"/>
          <w:color w:val="auto"/>
        </w:rPr>
        <w:t>or ™ symbols, but such references are not intended to indicate in any way that we will not assert, to the fullest extent under applicable law, our rights to these trademarks and tradenames.</w:t>
      </w:r>
    </w:p>
    <w:p>
      <w:pPr>
        <w:spacing w:after="0" w:line="4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________________________________________</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70"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121" w:lineRule="exact"/>
        <w:rPr>
          <w:sz w:val="20"/>
          <w:szCs w:val="20"/>
          <w:color w:val="auto"/>
        </w:rPr>
      </w:pPr>
    </w:p>
    <w:p>
      <w:pPr>
        <w:ind w:firstLine="162"/>
        <w:spacing w:after="0" w:line="286" w:lineRule="auto"/>
        <w:rPr>
          <w:sz w:val="20"/>
          <w:szCs w:val="20"/>
          <w:color w:val="auto"/>
        </w:rPr>
      </w:pPr>
      <w:r>
        <w:rPr>
          <w:rFonts w:ascii="Arial" w:cs="Arial" w:eastAsia="Arial" w:hAnsi="Arial"/>
          <w:sz w:val="16"/>
          <w:szCs w:val="16"/>
          <w:color w:val="auto"/>
        </w:rPr>
        <w:t>Certain statements in this Annual Report on Form 10-K, other than purely historical information, are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LivaNova’s plans, objectives, strategies, financial performance and outlook, trends,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Annual Report on Form 10-K. Such risks, uncertainties and other important factors include, among others: the risks, uncertainties and factors set forth in the “Risk Factors” section of this Annual Report on Form 10-K, previous or future Quarterly Reports on Form 10-Q and Annual or Transitional Reports on Form 10-K as well as other documents that we have filed or will file with the SEC.</w:t>
      </w:r>
    </w:p>
    <w:p>
      <w:pPr>
        <w:spacing w:after="0" w:line="64" w:lineRule="exact"/>
        <w:rPr>
          <w:sz w:val="20"/>
          <w:szCs w:val="20"/>
          <w:color w:val="auto"/>
        </w:rPr>
      </w:pPr>
    </w:p>
    <w:p>
      <w:pPr>
        <w:ind w:right="80" w:firstLine="162"/>
        <w:spacing w:after="0" w:line="291" w:lineRule="auto"/>
        <w:rPr>
          <w:sz w:val="20"/>
          <w:szCs w:val="20"/>
          <w:color w:val="auto"/>
        </w:rPr>
      </w:pPr>
      <w:r>
        <w:rPr>
          <w:rFonts w:ascii="Arial" w:cs="Arial" w:eastAsia="Arial" w:hAnsi="Arial"/>
          <w:sz w:val="16"/>
          <w:szCs w:val="16"/>
          <w:color w:val="auto"/>
        </w:rPr>
        <w:t>The afore-referenced risks and uncertainties are not necessarily all the important factors that could cause our actual financial results, performance, achievements or prospects to differ materially from those expressed in or implied by any of our forward-looking statements. Other unknown or unpredictable factors also could harm our results. All forward-looking statements attributable to us or persons acting on our behalf are expressly qualified in their entirety by the cautionary statements set forth above. Forward-looking statements speak only as of the date they are made, and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laws. If we update one or more forward-looking statements, no inference should be drawn that we will make additional updates with respect to those or other forward-looking statements.</w:t>
      </w:r>
    </w:p>
    <w:p>
      <w:pPr>
        <w:spacing w:after="0" w:line="59"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and are qualified in their entirety by reference to the discussions included in “Item 1A. Risk Factors,” “Item 7. Management’s Discussion and Analysis of Financial Condition and Results of Operations” and elsewhere in this Annual Report on Form 10-K.</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PART I</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Business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the Business and Background</w:t>
      </w:r>
    </w:p>
    <w:p>
      <w:pPr>
        <w:spacing w:after="0" w:line="116"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LivaNova PLC, headquartered in London, (collectively with its subsidiaries, the “Company,” “LivaNova,” “we” or “our”), is a global medical device company focused on the development and delivery of important therapeutic solutions for the benefit of patients, healthcare professionals and healthcare systems throughout the world. Working closely with a global team of medical professionals in the fields of cardiovascular disease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8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We were organized under the laws of England and Wales on February 20, 2015 for the purpose of facilitating the business combination of Cyberonics, Inc., a Delaware corporation, and Sorin S.p.A., a joint stock company organized under the laws of Italy. The business combination became effective in October 2015. LivaNova’s ordinary shares are listed for trading on the NASDAQ Global Market under the symbol “LIVN.”</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Franchises</w:t>
      </w:r>
    </w:p>
    <w:p>
      <w:pPr>
        <w:spacing w:after="0" w:line="125" w:lineRule="exact"/>
        <w:rPr>
          <w:sz w:val="20"/>
          <w:szCs w:val="20"/>
          <w:color w:val="auto"/>
        </w:rPr>
      </w:pPr>
    </w:p>
    <w:p>
      <w:pPr>
        <w:ind w:right="120" w:firstLine="162"/>
        <w:spacing w:after="0" w:line="312" w:lineRule="auto"/>
        <w:rPr>
          <w:sz w:val="20"/>
          <w:szCs w:val="20"/>
          <w:color w:val="auto"/>
        </w:rPr>
      </w:pPr>
      <w:r>
        <w:rPr>
          <w:rFonts w:ascii="Arial" w:cs="Arial" w:eastAsia="Arial" w:hAnsi="Arial"/>
          <w:sz w:val="16"/>
          <w:szCs w:val="16"/>
          <w:color w:val="auto"/>
        </w:rPr>
        <w:t>LivaNova is comprised of two principal business franchises, which are also our reportable segments: Cardiovascular and Neuromodulation, corresponding to our primary therapeutic areas. Other corporate activities include corporate shared service expenses for finance, legal, human resources, information technology and New Ventures. New Ventures is focused on new growth platforms and identification of other opportunities for expansion.</w:t>
      </w:r>
    </w:p>
    <w:p>
      <w:pPr>
        <w:spacing w:after="0" w:line="39" w:lineRule="exact"/>
        <w:rPr>
          <w:sz w:val="20"/>
          <w:szCs w:val="20"/>
          <w:color w:val="auto"/>
        </w:rPr>
      </w:pPr>
    </w:p>
    <w:p>
      <w:pPr>
        <w:ind w:right="400" w:firstLine="162"/>
        <w:spacing w:after="0" w:line="277" w:lineRule="auto"/>
        <w:rPr>
          <w:sz w:val="20"/>
          <w:szCs w:val="20"/>
          <w:color w:val="auto"/>
        </w:rPr>
      </w:pPr>
      <w:r>
        <w:rPr>
          <w:rFonts w:ascii="Arial" w:cs="Arial" w:eastAsia="Arial" w:hAnsi="Arial"/>
          <w:sz w:val="18"/>
          <w:szCs w:val="18"/>
          <w:color w:val="auto"/>
        </w:rPr>
        <w:t>For further information regarding our business segments, historical financial information and our methodology for the presentation of financial results, please refer to “Item 15. Exhibits, Financial Statement Schedules” of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Cardiovascular</w:t>
      </w:r>
    </w:p>
    <w:p>
      <w:pPr>
        <w:spacing w:after="0" w:line="119" w:lineRule="exact"/>
        <w:rPr>
          <w:sz w:val="20"/>
          <w:szCs w:val="20"/>
          <w:color w:val="auto"/>
        </w:rPr>
      </w:pPr>
    </w:p>
    <w:p>
      <w:pPr>
        <w:ind w:right="280" w:firstLine="162"/>
        <w:spacing w:after="0" w:line="257" w:lineRule="auto"/>
        <w:rPr>
          <w:sz w:val="20"/>
          <w:szCs w:val="20"/>
          <w:color w:val="auto"/>
        </w:rPr>
      </w:pPr>
      <w:r>
        <w:rPr>
          <w:rFonts w:ascii="Arial" w:cs="Arial" w:eastAsia="Arial" w:hAnsi="Arial"/>
          <w:sz w:val="18"/>
          <w:szCs w:val="18"/>
          <w:color w:val="auto"/>
        </w:rPr>
        <w:t>Our Cardiovascular business franchise is engaged in the development, production and sale of cardiopulmonary products, heart valves and advanced circulatory support products. Cardiopulmonary products include oxygenators, heart-lung machines, autotransfusion systems, perfusion tubing systems, cannulae and other related accessories. Heart valves include mechanical heart valves, tissue heart valves, related repair products and minimally invasive surgical instruments. Advanced circulatory support includes temporary life support product kits that can include a combination of pumps, oxygenators and cannulae.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Cardiopulmonary Products</w:t>
      </w:r>
    </w:p>
    <w:p>
      <w:pPr>
        <w:spacing w:after="0" w:line="110"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During conventional coronary artery bypass graft procedures and heart valve surgery, the patient’s heart is temporarily stopped, or arrested. The patient is placed on an extracorporeal circulatory support system that temporarily functions as the patient’s heart and lungs and provides blood flow to the body. Our products include systems to enable cardiopulmonary bypass, including heart-lung machines, oxygenators, perfusion tubing sets, cannulae and accessories, as well as related equipment and disposables for autotransfusion and autologous blood washing for neonatal, pediatric and adult patients. Our primary cardiopulmonary products include:</w:t>
      </w:r>
    </w:p>
    <w:p>
      <w:pPr>
        <w:spacing w:after="0" w:line="188" w:lineRule="exact"/>
        <w:rPr>
          <w:sz w:val="20"/>
          <w:szCs w:val="20"/>
          <w:color w:val="auto"/>
        </w:rPr>
      </w:pPr>
    </w:p>
    <w:p>
      <w:pPr>
        <w:ind w:left="660" w:right="600" w:hanging="323"/>
        <w:spacing w:after="0" w:line="277" w:lineRule="auto"/>
        <w:rPr>
          <w:sz w:val="20"/>
          <w:szCs w:val="20"/>
          <w:color w:val="auto"/>
        </w:rPr>
      </w:pPr>
      <w:r>
        <w:rPr>
          <w:rFonts w:ascii="Arial" w:cs="Arial" w:eastAsia="Arial" w:hAnsi="Arial"/>
          <w:sz w:val="18"/>
          <w:szCs w:val="18"/>
          <w:i w:val="1"/>
          <w:iCs w:val="1"/>
          <w:color w:val="auto"/>
        </w:rPr>
        <w:t>Heart-lung machines</w:t>
      </w:r>
      <w:r>
        <w:rPr>
          <w:rFonts w:ascii="Arial" w:cs="Arial" w:eastAsia="Arial" w:hAnsi="Arial"/>
          <w:sz w:val="18"/>
          <w:szCs w:val="18"/>
          <w:color w:val="auto"/>
        </w:rPr>
        <w:t>. The heart-lung machine product group includes heart-lung machines, heater coolers, related cardiac surgery equipment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services.</w:t>
      </w:r>
    </w:p>
    <w:p>
      <w:pPr>
        <w:spacing w:after="0" w:line="170" w:lineRule="exact"/>
        <w:rPr>
          <w:sz w:val="20"/>
          <w:szCs w:val="20"/>
          <w:color w:val="auto"/>
        </w:rPr>
      </w:pPr>
    </w:p>
    <w:p>
      <w:pPr>
        <w:ind w:left="660" w:right="120" w:hanging="323"/>
        <w:spacing w:after="0" w:line="264" w:lineRule="auto"/>
        <w:rPr>
          <w:sz w:val="20"/>
          <w:szCs w:val="20"/>
          <w:color w:val="auto"/>
        </w:rPr>
      </w:pPr>
      <w:r>
        <w:rPr>
          <w:rFonts w:ascii="Arial" w:cs="Arial" w:eastAsia="Arial" w:hAnsi="Arial"/>
          <w:sz w:val="18"/>
          <w:szCs w:val="18"/>
          <w:i w:val="1"/>
          <w:iCs w:val="1"/>
          <w:color w:val="auto"/>
        </w:rPr>
        <w:t>Oxygenators and perfusion tubing systems</w:t>
      </w:r>
      <w:r>
        <w:rPr>
          <w:rFonts w:ascii="Arial" w:cs="Arial" w:eastAsia="Arial" w:hAnsi="Arial"/>
          <w:sz w:val="18"/>
          <w:szCs w:val="18"/>
          <w:color w:val="auto"/>
        </w:rPr>
        <w:t>. The oxygenators product group, which includes oxygenators and other disposable devices for extracorporeal</w:t>
      </w:r>
      <w:r>
        <w:rPr>
          <w:rFonts w:ascii="Arial" w:cs="Arial" w:eastAsia="Arial" w:hAnsi="Arial"/>
          <w:sz w:val="18"/>
          <w:szCs w:val="18"/>
          <w:i w:val="1"/>
          <w:iCs w:val="1"/>
          <w:color w:val="auto"/>
        </w:rPr>
        <w:t xml:space="preserve"> </w:t>
      </w:r>
      <w:r>
        <w:rPr>
          <w:rFonts w:ascii="Arial" w:cs="Arial" w:eastAsia="Arial" w:hAnsi="Arial"/>
          <w:sz w:val="18"/>
          <w:szCs w:val="18"/>
          <w:color w:val="auto"/>
        </w:rPr>
        <w:t>circulation, includes the Inspire systems. The Inspire range of products, comprised of 12 models, provides perfusionists with a customizable approach for the benefit of patients.</w:t>
      </w:r>
    </w:p>
    <w:p>
      <w:pPr>
        <w:spacing w:after="0" w:line="181" w:lineRule="exact"/>
        <w:rPr>
          <w:sz w:val="20"/>
          <w:szCs w:val="20"/>
          <w:color w:val="auto"/>
        </w:rPr>
      </w:pPr>
    </w:p>
    <w:p>
      <w:pPr>
        <w:ind w:left="660" w:right="640" w:hanging="323"/>
        <w:spacing w:after="0" w:line="308" w:lineRule="auto"/>
        <w:rPr>
          <w:sz w:val="20"/>
          <w:szCs w:val="20"/>
          <w:color w:val="auto"/>
        </w:rPr>
      </w:pPr>
      <w:r>
        <w:rPr>
          <w:rFonts w:ascii="Arial" w:cs="Arial" w:eastAsia="Arial" w:hAnsi="Arial"/>
          <w:sz w:val="17"/>
          <w:szCs w:val="17"/>
          <w:i w:val="1"/>
          <w:iCs w:val="1"/>
          <w:color w:val="auto"/>
        </w:rPr>
        <w:t>Autotransfusion systems</w:t>
      </w:r>
      <w:r>
        <w:rPr>
          <w:rFonts w:ascii="Arial" w:cs="Arial" w:eastAsia="Arial" w:hAnsi="Arial"/>
          <w:sz w:val="17"/>
          <w:szCs w:val="17"/>
          <w:color w:val="auto"/>
        </w:rPr>
        <w:t>. One of the key elements for a complete blood management strategy is autologous blood transfusion, which involves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collection, processing and reinfusion of the patient’s own blood lost at the surgical site during the perioperative period.</w:t>
      </w:r>
    </w:p>
    <w:p>
      <w:pPr>
        <w:spacing w:after="0" w:line="147" w:lineRule="exact"/>
        <w:rPr>
          <w:sz w:val="20"/>
          <w:szCs w:val="20"/>
          <w:color w:val="auto"/>
        </w:rPr>
      </w:pPr>
    </w:p>
    <w:p>
      <w:pPr>
        <w:ind w:left="660" w:right="100" w:hanging="323"/>
        <w:spacing w:after="0" w:line="277" w:lineRule="auto"/>
        <w:rPr>
          <w:sz w:val="20"/>
          <w:szCs w:val="20"/>
          <w:color w:val="auto"/>
        </w:rPr>
      </w:pPr>
      <w:r>
        <w:rPr>
          <w:rFonts w:ascii="Arial" w:cs="Arial" w:eastAsia="Arial" w:hAnsi="Arial"/>
          <w:sz w:val="18"/>
          <w:szCs w:val="18"/>
          <w:i w:val="1"/>
          <w:iCs w:val="1"/>
          <w:color w:val="auto"/>
        </w:rPr>
        <w:t>Cannulae</w:t>
      </w:r>
      <w:r>
        <w:rPr>
          <w:rFonts w:ascii="Arial" w:cs="Arial" w:eastAsia="Arial" w:hAnsi="Arial"/>
          <w:sz w:val="18"/>
          <w:szCs w:val="18"/>
          <w:color w:val="auto"/>
        </w:rPr>
        <w:t>. Our cannulae product family, part of the oxygenator product group, is used to connect the extracorporeal circulation to the heart of the patient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cardiac surgery.</w:t>
      </w:r>
    </w:p>
    <w:p>
      <w:pPr>
        <w:spacing w:after="0" w:line="170" w:lineRule="exact"/>
        <w:rPr>
          <w:sz w:val="20"/>
          <w:szCs w:val="20"/>
          <w:color w:val="auto"/>
        </w:rPr>
      </w:pPr>
    </w:p>
    <w:p>
      <w:pPr>
        <w:ind w:left="660" w:right="160" w:hanging="323"/>
        <w:spacing w:after="0" w:line="277" w:lineRule="auto"/>
        <w:rPr>
          <w:sz w:val="20"/>
          <w:szCs w:val="20"/>
          <w:color w:val="auto"/>
        </w:rPr>
      </w:pPr>
      <w:r>
        <w:rPr>
          <w:rFonts w:ascii="Arial" w:cs="Arial" w:eastAsia="Arial" w:hAnsi="Arial"/>
          <w:sz w:val="18"/>
          <w:szCs w:val="18"/>
          <w:i w:val="1"/>
          <w:iCs w:val="1"/>
          <w:color w:val="auto"/>
        </w:rPr>
        <w:t>Connect</w:t>
      </w:r>
      <w:r>
        <w:rPr>
          <w:rFonts w:ascii="Arial" w:cs="Arial" w:eastAsia="Arial" w:hAnsi="Arial"/>
          <w:sz w:val="18"/>
          <w:szCs w:val="18"/>
          <w:color w:val="auto"/>
        </w:rPr>
        <w:t>. Connect is our perfusion charting system. Focused on real time and retrospective calculations and trending tools, Connect assists perfusionists</w:t>
      </w:r>
      <w:r>
        <w:rPr>
          <w:rFonts w:ascii="Arial" w:cs="Arial" w:eastAsia="Arial" w:hAnsi="Arial"/>
          <w:sz w:val="18"/>
          <w:szCs w:val="18"/>
          <w:i w:val="1"/>
          <w:iCs w:val="1"/>
          <w:color w:val="auto"/>
        </w:rPr>
        <w:t xml:space="preserve"> </w:t>
      </w:r>
      <w:r>
        <w:rPr>
          <w:rFonts w:ascii="Arial" w:cs="Arial" w:eastAsia="Arial" w:hAnsi="Arial"/>
          <w:sz w:val="18"/>
          <w:szCs w:val="18"/>
          <w:color w:val="auto"/>
        </w:rPr>
        <w:t>with data management during and after cardiopulmonary bypass.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66"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i w:val="1"/>
          <w:iCs w:val="1"/>
          <w:color w:val="auto"/>
        </w:rPr>
        <w:t>Heart Valves and Repair Products</w:t>
      </w:r>
    </w:p>
    <w:p>
      <w:pPr>
        <w:spacing w:after="0" w:line="110" w:lineRule="exact"/>
        <w:rPr>
          <w:sz w:val="20"/>
          <w:szCs w:val="20"/>
          <w:color w:val="auto"/>
        </w:rPr>
      </w:pPr>
    </w:p>
    <w:p>
      <w:pPr>
        <w:ind w:right="420" w:firstLine="162"/>
        <w:spacing w:after="0" w:line="308" w:lineRule="auto"/>
        <w:rPr>
          <w:sz w:val="20"/>
          <w:szCs w:val="20"/>
          <w:color w:val="auto"/>
        </w:rPr>
      </w:pPr>
      <w:r>
        <w:rPr>
          <w:rFonts w:ascii="Arial" w:cs="Arial" w:eastAsia="Arial" w:hAnsi="Arial"/>
          <w:sz w:val="17"/>
          <w:szCs w:val="17"/>
          <w:color w:val="auto"/>
        </w:rPr>
        <w:t>We offer a comprehensive line of products to treat a variety of heart valve disorders, including a complete line of surgical tissue and mechanical valve replacements and repair products for damaged or diseased heart valves. Our heart valves and repair product offerings include:</w:t>
      </w:r>
    </w:p>
    <w:p>
      <w:pPr>
        <w:spacing w:after="0" w:line="38" w:lineRule="exact"/>
        <w:rPr>
          <w:sz w:val="20"/>
          <w:szCs w:val="20"/>
          <w:color w:val="auto"/>
        </w:rPr>
      </w:pPr>
    </w:p>
    <w:p>
      <w:pPr>
        <w:ind w:left="660" w:right="60" w:hanging="323"/>
        <w:spacing w:after="0" w:line="259" w:lineRule="auto"/>
        <w:rPr>
          <w:sz w:val="20"/>
          <w:szCs w:val="20"/>
          <w:color w:val="auto"/>
        </w:rPr>
      </w:pPr>
      <w:r>
        <w:rPr>
          <w:rFonts w:ascii="Arial" w:cs="Arial" w:eastAsia="Arial" w:hAnsi="Arial"/>
          <w:sz w:val="18"/>
          <w:szCs w:val="18"/>
          <w:i w:val="1"/>
          <w:iCs w:val="1"/>
          <w:color w:val="auto"/>
        </w:rPr>
        <w:t>Self-anchoring tissue heart valves</w:t>
      </w:r>
      <w:r>
        <w:rPr>
          <w:rFonts w:ascii="Arial" w:cs="Arial" w:eastAsia="Arial" w:hAnsi="Arial"/>
          <w:sz w:val="18"/>
          <w:szCs w:val="18"/>
          <w:color w:val="auto"/>
        </w:rPr>
        <w:t>. Perceval is our sutureless bioprosthetic device designed to replace a diseased native valve or a malfunctioning</w:t>
      </w:r>
      <w:r>
        <w:rPr>
          <w:rFonts w:ascii="Arial" w:cs="Arial" w:eastAsia="Arial" w:hAnsi="Arial"/>
          <w:sz w:val="18"/>
          <w:szCs w:val="18"/>
          <w:i w:val="1"/>
          <w:iCs w:val="1"/>
          <w:color w:val="auto"/>
        </w:rPr>
        <w:t xml:space="preserve"> </w:t>
      </w:r>
      <w:r>
        <w:rPr>
          <w:rFonts w:ascii="Arial" w:cs="Arial" w:eastAsia="Arial" w:hAnsi="Arial"/>
          <w:sz w:val="18"/>
          <w:szCs w:val="18"/>
          <w:color w:val="auto"/>
        </w:rPr>
        <w:t>prosthetic aortic valve using either traditional or minimally invasive heart surgery techniques. Perceval incorporates a unique technology that allows 100% sutureless positioning and anchoring at the implantation site. This, in turn, offers the potential to reduce the time the patient spends in cardiopulmonary bypass.</w:t>
      </w:r>
    </w:p>
    <w:p>
      <w:pPr>
        <w:spacing w:after="0" w:line="79" w:lineRule="exact"/>
        <w:rPr>
          <w:sz w:val="20"/>
          <w:szCs w:val="20"/>
          <w:color w:val="auto"/>
        </w:rPr>
      </w:pPr>
    </w:p>
    <w:p>
      <w:pPr>
        <w:ind w:left="660" w:right="40" w:hanging="323"/>
        <w:spacing w:after="0" w:line="279" w:lineRule="auto"/>
        <w:rPr>
          <w:sz w:val="20"/>
          <w:szCs w:val="20"/>
          <w:color w:val="auto"/>
        </w:rPr>
      </w:pPr>
      <w:r>
        <w:rPr>
          <w:rFonts w:ascii="Arial" w:cs="Arial" w:eastAsia="Arial" w:hAnsi="Arial"/>
          <w:sz w:val="17"/>
          <w:szCs w:val="17"/>
          <w:i w:val="1"/>
          <w:iCs w:val="1"/>
          <w:color w:val="auto"/>
        </w:rPr>
        <w:t>Other tissue heart valves</w:t>
      </w:r>
      <w:r>
        <w:rPr>
          <w:rFonts w:ascii="Arial" w:cs="Arial" w:eastAsia="Arial" w:hAnsi="Arial"/>
          <w:sz w:val="17"/>
          <w:szCs w:val="17"/>
          <w:color w:val="auto"/>
        </w:rPr>
        <w:t>. Other tissue valves include the Mitroflow aortic pericardial tissue valve with phospholipid reduction treatment (“PRT”), which</w:t>
      </w:r>
      <w:r>
        <w:rPr>
          <w:rFonts w:ascii="Arial" w:cs="Arial" w:eastAsia="Arial" w:hAnsi="Arial"/>
          <w:sz w:val="17"/>
          <w:szCs w:val="17"/>
          <w:i w:val="1"/>
          <w:iCs w:val="1"/>
          <w:color w:val="auto"/>
        </w:rPr>
        <w:t xml:space="preserve"> </w:t>
      </w:r>
      <w:r>
        <w:rPr>
          <w:rFonts w:ascii="Arial" w:cs="Arial" w:eastAsia="Arial" w:hAnsi="Arial"/>
          <w:sz w:val="17"/>
          <w:szCs w:val="17"/>
          <w:color w:val="auto"/>
        </w:rPr>
        <w:t>is designed to mitigate valve calcification, and the Crown PRT and Solo Smart aortic pericardial tissue valves. Our Solo Smart aortic pericardial tissue valve is an innovative, completely biological aortic heart valve with no synthetic material and a removable stent. Solo Smart provides the ease of implantation of a stented valve with the hemodynamic performance of a stentless valve.</w:t>
      </w:r>
    </w:p>
    <w:p>
      <w:pPr>
        <w:spacing w:after="0" w:line="63" w:lineRule="exact"/>
        <w:rPr>
          <w:sz w:val="20"/>
          <w:szCs w:val="20"/>
          <w:color w:val="auto"/>
        </w:rPr>
      </w:pPr>
    </w:p>
    <w:p>
      <w:pPr>
        <w:ind w:left="660" w:right="100" w:hanging="323"/>
        <w:spacing w:after="0" w:line="286" w:lineRule="auto"/>
        <w:rPr>
          <w:sz w:val="20"/>
          <w:szCs w:val="20"/>
          <w:color w:val="auto"/>
        </w:rPr>
      </w:pPr>
      <w:r>
        <w:rPr>
          <w:rFonts w:ascii="Arial" w:cs="Arial" w:eastAsia="Arial" w:hAnsi="Arial"/>
          <w:sz w:val="17"/>
          <w:szCs w:val="17"/>
          <w:i w:val="1"/>
          <w:iCs w:val="1"/>
          <w:color w:val="auto"/>
        </w:rPr>
        <w:t>Mechanical heart valves</w:t>
      </w:r>
      <w:r>
        <w:rPr>
          <w:rFonts w:ascii="Arial" w:cs="Arial" w:eastAsia="Arial" w:hAnsi="Arial"/>
          <w:sz w:val="17"/>
          <w:szCs w:val="17"/>
          <w:color w:val="auto"/>
        </w:rPr>
        <w:t>. Our wide range of mechanical valve offerings includes the Carbomedics Standard, Top Hat and Reduced Series Aortic Valves,</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the Carbomedics Carbo-Seal and Carbo-Seal Valsalva aortic prostheses. We also offer the Carbomedics Standard, Orbis and Optiform mechanical mitral valves and Bicarbon Slimline, Bicarbon Fitline and Bicarbon Overline aortic and mitral valves.</w:t>
      </w:r>
    </w:p>
    <w:p>
      <w:pPr>
        <w:spacing w:after="0" w:line="57" w:lineRule="exact"/>
        <w:rPr>
          <w:sz w:val="20"/>
          <w:szCs w:val="20"/>
          <w:color w:val="auto"/>
        </w:rPr>
      </w:pPr>
    </w:p>
    <w:p>
      <w:pPr>
        <w:ind w:left="660" w:right="520" w:hanging="323"/>
        <w:spacing w:after="0" w:line="264" w:lineRule="auto"/>
        <w:rPr>
          <w:sz w:val="20"/>
          <w:szCs w:val="20"/>
          <w:color w:val="auto"/>
        </w:rPr>
      </w:pPr>
      <w:r>
        <w:rPr>
          <w:rFonts w:ascii="Arial" w:cs="Arial" w:eastAsia="Arial" w:hAnsi="Arial"/>
          <w:sz w:val="18"/>
          <w:szCs w:val="18"/>
          <w:i w:val="1"/>
          <w:iCs w:val="1"/>
          <w:color w:val="auto"/>
        </w:rPr>
        <w:t>Heart valve repair products</w:t>
      </w:r>
      <w:r>
        <w:rPr>
          <w:rFonts w:ascii="Arial" w:cs="Arial" w:eastAsia="Arial" w:hAnsi="Arial"/>
          <w:sz w:val="18"/>
          <w:szCs w:val="18"/>
          <w:color w:val="auto"/>
        </w:rPr>
        <w:t>. Mitral valve repair is a well-established solution for patients suffering from a leaky mitral valve, or mitral valve</w:t>
      </w:r>
      <w:r>
        <w:rPr>
          <w:rFonts w:ascii="Arial" w:cs="Arial" w:eastAsia="Arial" w:hAnsi="Arial"/>
          <w:sz w:val="18"/>
          <w:szCs w:val="18"/>
          <w:i w:val="1"/>
          <w:iCs w:val="1"/>
          <w:color w:val="auto"/>
        </w:rPr>
        <w:t xml:space="preserve"> </w:t>
      </w:r>
      <w:r>
        <w:rPr>
          <w:rFonts w:ascii="Arial" w:cs="Arial" w:eastAsia="Arial" w:hAnsi="Arial"/>
          <w:sz w:val="18"/>
          <w:szCs w:val="18"/>
          <w:color w:val="auto"/>
        </w:rPr>
        <w:t>regurgitation (“MR”). We offer a wide range of mitral valve repair products, including the Memo 3D and Memo 3D ReChord, AnnuloFlo and AnnuloFlex.</w:t>
      </w:r>
    </w:p>
    <w:p>
      <w:pPr>
        <w:spacing w:after="0" w:line="73" w:lineRule="exact"/>
        <w:rPr>
          <w:sz w:val="20"/>
          <w:szCs w:val="20"/>
          <w:color w:val="auto"/>
        </w:rPr>
      </w:pPr>
    </w:p>
    <w:p>
      <w:pPr>
        <w:ind w:left="660" w:right="300" w:hanging="323"/>
        <w:spacing w:after="0" w:line="342" w:lineRule="auto"/>
        <w:rPr>
          <w:sz w:val="20"/>
          <w:szCs w:val="20"/>
          <w:color w:val="auto"/>
        </w:rPr>
      </w:pPr>
      <w:r>
        <w:rPr>
          <w:rFonts w:ascii="Arial" w:cs="Arial" w:eastAsia="Arial" w:hAnsi="Arial"/>
          <w:sz w:val="16"/>
          <w:szCs w:val="16"/>
          <w:i w:val="1"/>
          <w:iCs w:val="1"/>
          <w:color w:val="auto"/>
        </w:rPr>
        <w:t xml:space="preserve">Minimally invasive surgical instruments. </w:t>
      </w:r>
      <w:r>
        <w:rPr>
          <w:rFonts w:ascii="Arial" w:cs="Arial" w:eastAsia="Arial" w:hAnsi="Arial"/>
          <w:sz w:val="16"/>
          <w:szCs w:val="16"/>
          <w:color w:val="auto"/>
        </w:rPr>
        <w:t>Through the acquisition of the minimally invasive cardiac surgery business from Miami Instruments in June</w:t>
      </w:r>
      <w:r>
        <w:rPr>
          <w:rFonts w:ascii="Arial" w:cs="Arial" w:eastAsia="Arial" w:hAnsi="Arial"/>
          <w:sz w:val="16"/>
          <w:szCs w:val="16"/>
          <w:i w:val="1"/>
          <w:iCs w:val="1"/>
          <w:color w:val="auto"/>
        </w:rPr>
        <w:t xml:space="preserve"> </w:t>
      </w:r>
      <w:r>
        <w:rPr>
          <w:rFonts w:ascii="Arial" w:cs="Arial" w:eastAsia="Arial" w:hAnsi="Arial"/>
          <w:sz w:val="16"/>
          <w:szCs w:val="16"/>
          <w:color w:val="auto"/>
        </w:rPr>
        <w:t>2019, we offer minimally invasive cardiac surgery instruments that support the implantation of our heart valve products during surgery.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Advanced Circulatory Support Products</w:t>
      </w:r>
    </w:p>
    <w:p>
      <w:pPr>
        <w:spacing w:after="0" w:line="110"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In 2018, we acquired the TandemLife business, which simplifies temporary extracorporeal cardiopulmonary life support solutions for critically ill patients. Built around a common compact console and pump, LifeSPARC provides temporary support for emergent rescue patients in a variety of settings. Designed for ease of use, the system offers power and versatility for multi-disciplinary programs to support more patients. The system is accompanied by four specialized and ready-to-deploy kits, each designed to support diverse cannulation strategies.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Neuromodulation</w:t>
      </w:r>
    </w:p>
    <w:p>
      <w:pPr>
        <w:spacing w:after="0" w:line="119" w:lineRule="exact"/>
        <w:rPr>
          <w:sz w:val="20"/>
          <w:szCs w:val="20"/>
          <w:color w:val="auto"/>
        </w:rPr>
      </w:pPr>
    </w:p>
    <w:p>
      <w:pPr>
        <w:ind w:right="160" w:firstLine="162"/>
        <w:spacing w:after="0" w:line="264" w:lineRule="auto"/>
        <w:rPr>
          <w:sz w:val="20"/>
          <w:szCs w:val="20"/>
          <w:color w:val="auto"/>
        </w:rPr>
      </w:pPr>
      <w:r>
        <w:rPr>
          <w:rFonts w:ascii="Arial" w:cs="Arial" w:eastAsia="Arial" w:hAnsi="Arial"/>
          <w:sz w:val="18"/>
          <w:szCs w:val="18"/>
          <w:color w:val="auto"/>
        </w:rPr>
        <w:t>Our Neuromodulation business franchise designs, develops and markets neuromodulation-based medical devices for the treatment of epilepsy, depression and obstructive sleep apnea. We are also developing and conducting clinical testing of the VITARIA System for treating heart failure through vagus nerve stimulation (“VNS”).</w:t>
      </w:r>
    </w:p>
    <w:p>
      <w:pPr>
        <w:spacing w:after="0" w:line="73"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Our seminal Neuromodulation product, the LivaNova Vagus Nerve Stimulation Therapy (“VNS Therapy”) System, is an implantable device authorized for the treatment of drug-resistant epilepsy and difficult-to-treat depression (“DTD”). The VNS Therapy System consists of an implantable pulse generator and connective lead that stimulate the vagus nerve; surgical equipment to assist with the implant procedure; equipment and instruction manuals enabling a treating physician to set parameters for a patient’s pulse generator; and for epilepsy, magnets to manually suspend or induce nerve stimulation. The pulse generator and lead are surgically implanted in a subcutaneous pocket in the upper left chest area, generally during an out-patient procedure; the lead, which does not need to be removed to replace a generator with a depleted battery, is connected to the pulse generator and tunneled under the skin to the vagus nerve in the lower left side of the patient’s neck.</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Epilepsy</w:t>
      </w:r>
    </w:p>
    <w:p>
      <w:pPr>
        <w:spacing w:after="0" w:line="110"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Globally, there are several broad types of treatment available to patients with epilepsy: multiple seizure medications; various forms of the ketogenic diet; VNS; resective brain surgery; trigeminal nerve stimulation; responsive intracranial neurostimulation; and deep brain stimulation. Seizure medications typically serve as a first-line treatment and are prescribed for virtually all patients diagnosed with epilepsy. After two seizure medications fail to deliver seizure control, the epilepsy is characterized as drug-resistant, at which point, adjunctive non-drug options are considered, including VNS therapy, brain surgery and a ketogenic diet.</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76" w:right="259" w:bottom="1440" w:gutter="0" w:footer="0" w:header="0"/>
        </w:sectPr>
      </w:pPr>
    </w:p>
    <w:bookmarkStart w:id="5" w:name="page6"/>
    <w:bookmarkEnd w:id="5"/>
    <w:p>
      <w:pPr>
        <w:ind w:right="120" w:firstLine="162"/>
        <w:spacing w:after="0" w:line="291" w:lineRule="auto"/>
        <w:rPr>
          <w:sz w:val="20"/>
          <w:szCs w:val="20"/>
          <w:color w:val="auto"/>
        </w:rPr>
      </w:pPr>
      <w:r>
        <w:rPr>
          <w:rFonts w:ascii="Arial" w:cs="Arial" w:eastAsia="Arial" w:hAnsi="Arial"/>
          <w:sz w:val="16"/>
          <w:szCs w:val="16"/>
          <w:color w:val="auto"/>
        </w:rPr>
        <w:t>Our VNS Therapy System was the first medical device treatment approved by the U.S. Food and Drug Administration (“FDA”) in 1997 for refractory, drug-resistant epilepsy in adults and adolescents over 12 years of age and is indicated for use as an adjunctive therapy in reducing the frequency of seizures. In June 2017, the FDA approved our VNS Therapy device for use in patients who are at least four years of age and have partial onset seizures that are refractory to antiepileptic medications. At the same time, our VNS Therapy device received FDA approval for expanded magnetic resonance imaging (“MRI”), affirming VNS Therapy as the only epilepsy device FDA-approved for MRI scans. CE Mark approval followed shortly thereafter, in August 2017. Currently, SenTiva, AspireHC and AspireSR models of VNS Therapy technology provide for this expanded MRI access. Other worldwide regulatory bodies have also approved the VNS Therapy System for the treatment of epilepsy, many without age restrictions or seizure-type limitations.</w:t>
      </w:r>
    </w:p>
    <w:p>
      <w:pPr>
        <w:spacing w:after="0" w:line="59" w:lineRule="exact"/>
        <w:rPr>
          <w:sz w:val="20"/>
          <w:szCs w:val="20"/>
          <w:color w:val="auto"/>
        </w:rPr>
      </w:pPr>
    </w:p>
    <w:p>
      <w:pPr>
        <w:ind w:right="20" w:firstLine="162"/>
        <w:spacing w:after="0" w:line="302" w:lineRule="auto"/>
        <w:rPr>
          <w:sz w:val="20"/>
          <w:szCs w:val="20"/>
          <w:color w:val="auto"/>
        </w:rPr>
      </w:pPr>
      <w:r>
        <w:rPr>
          <w:rFonts w:ascii="Arial" w:cs="Arial" w:eastAsia="Arial" w:hAnsi="Arial"/>
          <w:sz w:val="16"/>
          <w:szCs w:val="16"/>
          <w:color w:val="auto"/>
        </w:rPr>
        <w:t>We sell a number of VNS Therapy System product models for the treatment of epilepsy, including our Model 102 (Pulse), Model 102R (Pulse Duo), Model 103 (Demipulse), Model 104 (Demipulse Duo), Model 105 (AspireHC), Model 106 (AspireSR) and Model 1000 (SenTiva) pulse generators. Our AspireSR and SenTiva generators provide the benefits of VNS Therapy, with an additional feature: automatic stimulation in response to detection of changes in heart rate potentially indicative of a seizure. The SenTiva generator is the smallest and lightest device capable of delivering responsive therapy for epilepsy.</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Depression</w:t>
      </w:r>
    </w:p>
    <w:p>
      <w:pPr>
        <w:spacing w:after="0" w:line="110" w:lineRule="exact"/>
        <w:rPr>
          <w:sz w:val="20"/>
          <w:szCs w:val="20"/>
          <w:color w:val="auto"/>
        </w:rPr>
      </w:pPr>
    </w:p>
    <w:p>
      <w:pPr>
        <w:jc w:val="both"/>
        <w:ind w:right="320" w:firstLine="162"/>
        <w:spacing w:after="0" w:line="264" w:lineRule="auto"/>
        <w:rPr>
          <w:sz w:val="20"/>
          <w:szCs w:val="20"/>
          <w:color w:val="auto"/>
        </w:rPr>
      </w:pPr>
      <w:r>
        <w:rPr>
          <w:rFonts w:ascii="Arial" w:cs="Arial" w:eastAsia="Arial" w:hAnsi="Arial"/>
          <w:sz w:val="18"/>
          <w:szCs w:val="18"/>
          <w:color w:val="auto"/>
        </w:rPr>
        <w:t>In March 2017, the American Journal of Psychiatry published the results of the longest and largest naturalistic study on effective treatments for patients experiencing chronic and severe depression. The findings showed that the addition of the VNS Therapy System in conjunction with traditional treatment methods is effective in reducing symptoms in patients with DTD.</w:t>
      </w:r>
    </w:p>
    <w:p>
      <w:pPr>
        <w:spacing w:after="0" w:line="73" w:lineRule="exact"/>
        <w:rPr>
          <w:sz w:val="20"/>
          <w:szCs w:val="20"/>
          <w:color w:val="auto"/>
        </w:rPr>
      </w:pPr>
    </w:p>
    <w:p>
      <w:pPr>
        <w:jc w:val="both"/>
        <w:ind w:right="300" w:firstLine="162"/>
        <w:spacing w:after="0" w:line="312" w:lineRule="auto"/>
        <w:rPr>
          <w:sz w:val="20"/>
          <w:szCs w:val="20"/>
          <w:color w:val="auto"/>
        </w:rPr>
      </w:pPr>
      <w:r>
        <w:rPr>
          <w:rFonts w:ascii="Arial" w:cs="Arial" w:eastAsia="Arial" w:hAnsi="Arial"/>
          <w:sz w:val="16"/>
          <w:szCs w:val="16"/>
          <w:color w:val="auto"/>
        </w:rPr>
        <w:t>In January 2018, we announced the launch and enrollment of the first patient in our Global RESTORE-LIFE study, which evaluates the use of our VNS Therapy System in patients who have DTD and failed to achieve an adequate response to standard psychiatric management. We expect to enroll up to 500 patients at approximately 80 sites outside of the U.S. We are currently enrolling patients in Germany, Belgium, and the United Kingdom (the “UK”).</w:t>
      </w:r>
    </w:p>
    <w:p>
      <w:pPr>
        <w:spacing w:after="0" w:line="39" w:lineRule="exact"/>
        <w:rPr>
          <w:sz w:val="20"/>
          <w:szCs w:val="20"/>
          <w:color w:val="auto"/>
        </w:rPr>
      </w:pPr>
    </w:p>
    <w:p>
      <w:pPr>
        <w:ind w:right="20" w:firstLine="162"/>
        <w:spacing w:after="0" w:line="272" w:lineRule="auto"/>
        <w:rPr>
          <w:sz w:val="20"/>
          <w:szCs w:val="20"/>
          <w:color w:val="auto"/>
        </w:rPr>
      </w:pPr>
      <w:r>
        <w:rPr>
          <w:rFonts w:ascii="Arial" w:cs="Arial" w:eastAsia="Arial" w:hAnsi="Arial"/>
          <w:sz w:val="17"/>
          <w:szCs w:val="17"/>
          <w:color w:val="auto"/>
        </w:rPr>
        <w:t>In July 2005, the FDA approved the VNS Therapy System for the adjunctive treatment of chronic or recurrent depression for patients 18 years or older who are experiencing a major depressive episode and have not had an adequate response to four or more antidepressant treatments. In May 2007, the United States (“U.S.”) Centers for Medicare and Medicaid Services (“CMS”) issued a national determination of non-coverage within the U.S. with respect to reimbursement of the VNS Therapy System for patients with DTD, significantly limiting access to this therapeutic option for most patients. However, in May 2018, CMS published a tracking sheet to reconsider its National Coverage Determination (“NCD”) of our VNS Therapy System for DTD in response to a letter that we submitted to CMS requesting a formal reconsideration of the NCD. We requested this review after a significant body of new evidence emerged about DTD and the role of VNS Therapy in its treatment.</w:t>
      </w:r>
    </w:p>
    <w:p>
      <w:pPr>
        <w:spacing w:after="0" w:line="70" w:lineRule="exact"/>
        <w:rPr>
          <w:sz w:val="20"/>
          <w:szCs w:val="20"/>
          <w:color w:val="auto"/>
        </w:rPr>
      </w:pPr>
    </w:p>
    <w:p>
      <w:pPr>
        <w:ind w:right="220" w:firstLine="162"/>
        <w:spacing w:after="0" w:line="259" w:lineRule="auto"/>
        <w:rPr>
          <w:sz w:val="20"/>
          <w:szCs w:val="20"/>
          <w:color w:val="auto"/>
        </w:rPr>
      </w:pPr>
      <w:r>
        <w:rPr>
          <w:rFonts w:ascii="Arial" w:cs="Arial" w:eastAsia="Arial" w:hAnsi="Arial"/>
          <w:sz w:val="18"/>
          <w:szCs w:val="18"/>
          <w:color w:val="auto"/>
        </w:rPr>
        <w:t>In February 2019, CMS finalized its National Coverage Determination (“NCD”) for the VNS Therapy System for DTD. This final decision initiates coverage for Medicare beneficiaries through Coverage with Evidence Development (“CED”) when offered in a CMS-approved, double-blind, randomized, placebo-controlled trial with a follow-up duration of at least one year, as well as coverage of VNS Therapy device replacement. The CED also includes the possibility to extend the study to a prospective longitudinal study.</w:t>
      </w:r>
    </w:p>
    <w:p>
      <w:pPr>
        <w:spacing w:after="0" w:line="79"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color w:val="auto"/>
        </w:rPr>
        <w:t>In September 2019, CMS accepted the protocol for our RECOVER clinical study and the first patient was enrolled. RECOVER will include up to 500 unipolar and up to 500 bipolar patients at a maximum of 100 sites in the United States.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Obstructive Sleep Apnea</w:t>
      </w:r>
    </w:p>
    <w:p>
      <w:pPr>
        <w:spacing w:after="0" w:line="11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In January 2018, we acquired ImThera Medical, Inc. (“ImThera”), a privately held emerging-growth company developing an implantable neurostimulation device system for the treatment of obstructive sleep apnea. The Neuromodulation product line now includes ImThera’s implantable device, which stimulates multiple tongue muscles via the hypoglossal nerve to open the airway while a patient is sleeping. ImThera has a commercial presence in the European market, and an FDA pivotal study is ongoing in the U.S.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Activities and New Ventures</w:t>
      </w:r>
    </w:p>
    <w:p>
      <w:pPr>
        <w:spacing w:after="0" w:line="125" w:lineRule="exact"/>
        <w:rPr>
          <w:sz w:val="20"/>
          <w:szCs w:val="20"/>
          <w:color w:val="auto"/>
        </w:rPr>
      </w:pPr>
    </w:p>
    <w:p>
      <w:pPr>
        <w:ind w:right="220" w:firstLine="162"/>
        <w:spacing w:after="0" w:line="308" w:lineRule="auto"/>
        <w:rPr>
          <w:sz w:val="20"/>
          <w:szCs w:val="20"/>
          <w:color w:val="auto"/>
        </w:rPr>
      </w:pPr>
      <w:r>
        <w:rPr>
          <w:rFonts w:ascii="Arial" w:cs="Arial" w:eastAsia="Arial" w:hAnsi="Arial"/>
          <w:sz w:val="17"/>
          <w:szCs w:val="17"/>
          <w:color w:val="auto"/>
        </w:rPr>
        <w:t>Corporate activities include shared services for finance, legal, human resources and information technology and New Ventures. The New Ventures group evaluates growth opportunities and new potential areas of investment to expand our product portfolio to meet emerging patient needs.</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665" w:right="2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Discontinued Operations</w:t>
      </w:r>
    </w:p>
    <w:p>
      <w:pPr>
        <w:spacing w:after="0" w:line="125"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We completed the sale of our Cardiac Rhythm Management (“CRM”) business franchise to MicroPort Cardiac Rhythm B.V. and MicroPort Scientific Corporation (the “CRM Sale”) on April 30, 2018. We previously concluded that the sale of CRM represented a strategic shift in our business that has a major effect on future operations and financial results. Accordingly, the results of operations of the CRM business franchise are reflected as discontinued operations for all periods presented in this Annual Report on Form 10-K. For further information, refer to “Note 5. Discontinued Operations” in our consolidated financial statements and accompanying notes, beginning on page F-1 of this Annual Report on Form 10-K.</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 (“R&amp;D”)</w:t>
      </w:r>
    </w:p>
    <w:p>
      <w:pPr>
        <w:spacing w:after="0" w:line="125"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The markets in which we participate are subject to rapid technological advances. Product improvement and innovation are necessary to maintain market leadership. We direct our R&amp;D efforts toward maintaining or achieving technological leadership in each of the markets we serve to help ensure that patients using our devices and therapies receive the most advanced and effective treatment possible. We remain committed to developing technological enhancements and new uses for existing products and less invasive and new technologies for new and emerging markets to address unmet patient needs. We initiate and participate in many clinical trials each year as the demand for clinical and economic evidence remains high. We also expect our development activities to help reduce patient care costs and the length of hospital stays in the future.</w:t>
      </w:r>
    </w:p>
    <w:p>
      <w:pPr>
        <w:spacing w:after="0" w:line="70"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Approximately 16% of our employees work in R&amp;D improving existing products and therapies, expanding their uses and applications and developing new products. We continue to focus on optimizing innovation and assessing the ability of our R&amp;D programs to deliver economic value to the customer. More specifically, our current R&amp;D expenses consist of product design and development efforts, clinical study programs and regulatory activities, which are essential to our strategic portfolio initiatives, including DTD and heart failure.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 and Investments</w:t>
      </w:r>
    </w:p>
    <w:p>
      <w:pPr>
        <w:spacing w:after="0" w:line="125"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Our strategy of providing a broad range of therapies requires a wide variety of technologies, products and capabilities. The rapid pace of technological development in the medical industry and the specialized expertise required in different areas of medicine make it difficult for one company alone to develop a broad portfolio of technological solutions. In addition to internally generated growth through R&amp;D efforts, we have historically relied, and expect to continue to rely, on acquisitions, investments and alliances to provide access to new technologies in both new and existing markets.</w:t>
      </w:r>
    </w:p>
    <w:p>
      <w:pPr>
        <w:spacing w:after="0" w:line="63"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We expect to further our strategic objectives and strengthen our existing businesses by making future acquisitions or investments in areas where we believe we can acquire or stimulate the development of new technologies and products. Mergers and acquisitions of medical technology companies are inherently risky, and no assurance can be given that any of our previous or future acquisitions will be successful or will not materially adversely affect our consolidated operations, financial condition and/or cash flows.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Caisson </w:t>
      </w:r>
      <w:r>
        <w:rPr>
          <w:rFonts w:ascii="Arial" w:cs="Arial" w:eastAsia="Arial" w:hAnsi="Arial"/>
          <w:sz w:val="18"/>
          <w:szCs w:val="18"/>
          <w:color w:val="auto"/>
        </w:rPr>
        <w:t>Interventional, LLC (“Caisson”)</w:t>
      </w:r>
    </w:p>
    <w:p>
      <w:pPr>
        <w:spacing w:after="0" w:line="124"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In May 2017, we acquired the remaining 51% equity interest in Caisson, a clinical-stage medical device company focused on the design, development and clinical evaluation of a novel transcatheter mitral valve replacement (“TMVR”) implant device. The device is designed for treating mitral valve regurgitation (“MR”) through replacement of the native mitral valve using a fully transvenous delivery system. As announced in November 2019, we ended our Caisson TMVR program effective December 31, 2019.</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ImThera</w:t>
      </w:r>
    </w:p>
    <w:p>
      <w:pPr>
        <w:spacing w:after="0" w:line="110" w:lineRule="exact"/>
        <w:rPr>
          <w:sz w:val="20"/>
          <w:szCs w:val="20"/>
          <w:color w:val="auto"/>
        </w:rPr>
      </w:pPr>
    </w:p>
    <w:p>
      <w:pPr>
        <w:ind w:right="20" w:firstLine="162"/>
        <w:spacing w:after="0" w:line="312" w:lineRule="auto"/>
        <w:rPr>
          <w:sz w:val="20"/>
          <w:szCs w:val="20"/>
          <w:color w:val="auto"/>
        </w:rPr>
      </w:pPr>
      <w:r>
        <w:rPr>
          <w:rFonts w:ascii="Arial" w:cs="Arial" w:eastAsia="Arial" w:hAnsi="Arial"/>
          <w:sz w:val="16"/>
          <w:szCs w:val="16"/>
          <w:color w:val="auto"/>
        </w:rPr>
        <w:t>In January 2018, we acquired the remaining 86% outstanding interest in ImThera; we previously held 14% of ImThera’s outstanding equity. ImThera is focused on neurostimulation for the treatment of obstructive sleep apnea. ImThera manufactures an implantable device that stimulates multiple tongue muscles via the hypoglossal nerve, which opens the airway while a patient is sleeping. The financial results of ImThera are included within Neuromodulation.</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TandemLife</w:t>
      </w:r>
    </w:p>
    <w:p>
      <w:pPr>
        <w:spacing w:after="0" w:line="110" w:lineRule="exact"/>
        <w:rPr>
          <w:sz w:val="20"/>
          <w:szCs w:val="20"/>
          <w:color w:val="auto"/>
        </w:rPr>
      </w:pPr>
    </w:p>
    <w:p>
      <w:pPr>
        <w:jc w:val="both"/>
        <w:ind w:right="500" w:firstLine="162"/>
        <w:spacing w:after="0" w:line="342" w:lineRule="auto"/>
        <w:rPr>
          <w:sz w:val="20"/>
          <w:szCs w:val="20"/>
          <w:color w:val="auto"/>
        </w:rPr>
      </w:pPr>
      <w:r>
        <w:rPr>
          <w:rFonts w:ascii="Arial" w:cs="Arial" w:eastAsia="Arial" w:hAnsi="Arial"/>
          <w:sz w:val="16"/>
          <w:szCs w:val="16"/>
          <w:color w:val="auto"/>
        </w:rPr>
        <w:t>In April 2018, we acquired CardiacAssist, Inc., doing business as TandemLife. TandemLife is focused on the delivery of leading-edge temporary life support systems, including cardiopulmonary and respiratory support solutions. The financial results of TandemLife are included within Cardiovascular.</w:t>
      </w: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66" w:right="25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Miami Instruments</w:t>
      </w:r>
    </w:p>
    <w:p>
      <w:pPr>
        <w:spacing w:after="0" w:line="11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On June 12, 2019, we acquired Miami Instruments, LLC’s minimally invasive cardiac surgery instruments business and the related operations are integrated into Cardiovascular as part of our Heart Valves portfolio.</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Patents and Licenses</w:t>
      </w:r>
    </w:p>
    <w:p>
      <w:pPr>
        <w:spacing w:after="0" w:line="125" w:lineRule="exact"/>
        <w:rPr>
          <w:sz w:val="20"/>
          <w:szCs w:val="20"/>
          <w:color w:val="auto"/>
        </w:rPr>
      </w:pPr>
    </w:p>
    <w:p>
      <w:pPr>
        <w:ind w:right="40" w:firstLine="162"/>
        <w:spacing w:after="0" w:line="270" w:lineRule="auto"/>
        <w:rPr>
          <w:sz w:val="20"/>
          <w:szCs w:val="20"/>
          <w:color w:val="auto"/>
        </w:rPr>
      </w:pPr>
      <w:r>
        <w:rPr>
          <w:rFonts w:ascii="Arial" w:cs="Arial" w:eastAsia="Arial" w:hAnsi="Arial"/>
          <w:sz w:val="17"/>
          <w:szCs w:val="17"/>
          <w:color w:val="auto"/>
        </w:rPr>
        <w:t>We rely on a combination of patents, trademarks, copyrights, trade secrets, and non-disclosure and non-competition agreements to protect our intellectual property. We generally file patent applications in the U.S. and countries where patent protection for our technology is appropriate and available. As of December 31, 2019, we held more than 1,000 issued patents worldwide, with approximately 300 pending patent applications that cover various aspects of our technology. Patents typically have a 20-year term from the application filing date. In addition, we hold exclusive and non-exclusive licenses to a variety of third-party technologies covered by patents and pending patent applications. There can be no assurance that pending patent applications will result in the issuance of patents, that patents issued to or licensed by us will not be challenged or circumvented by competitors, or that these patents will be found to be valid or sufficiently broad to protect our technology or to provide us with a competitive advantage. We have also obtained certain trademarks and trade names for our products and maintain certain details about our processes, products and strategies as trade secrets. In the aggregate, we consider these intellectual property assets to be of material importance to our business segments and operations. We regularly review third-party patents and patent applications in an effort to protect our intellectual property and avoid disputes over proprietary rights.</w:t>
      </w:r>
    </w:p>
    <w:p>
      <w:pPr>
        <w:spacing w:after="0" w:line="70"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We rely on non-disclosure and non-competition agreements with employees, consultants and other parties to protect, in part, trade secrets and other proprietary technology. There can be no assurance that these agreements will not be breached, that we will have adequate remedies for any breach, that others will not independently develop equivalent proprietary information or that third parties will not otherwise gain access to our trade secrets and proprietary knowledge.</w:t>
      </w:r>
    </w:p>
    <w:p>
      <w:pPr>
        <w:spacing w:after="0" w:line="79"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For additional information, please refer to “Item 1A. Risk Factors” of this Annual Report on Form 10-K, under the section entitled “</w:t>
      </w:r>
      <w:r>
        <w:rPr>
          <w:rFonts w:ascii="Arial" w:cs="Arial" w:eastAsia="Arial" w:hAnsi="Arial"/>
          <w:sz w:val="18"/>
          <w:szCs w:val="18"/>
          <w:i w:val="1"/>
          <w:iCs w:val="1"/>
          <w:color w:val="auto"/>
        </w:rPr>
        <w:t>We are substantially</w:t>
      </w:r>
      <w:r>
        <w:rPr>
          <w:rFonts w:ascii="Arial" w:cs="Arial" w:eastAsia="Arial" w:hAnsi="Arial"/>
          <w:sz w:val="18"/>
          <w:szCs w:val="18"/>
          <w:color w:val="auto"/>
        </w:rPr>
        <w:t xml:space="preserve"> </w:t>
      </w:r>
      <w:r>
        <w:rPr>
          <w:rFonts w:ascii="Arial" w:cs="Arial" w:eastAsia="Arial" w:hAnsi="Arial"/>
          <w:sz w:val="18"/>
          <w:szCs w:val="18"/>
          <w:i w:val="1"/>
          <w:iCs w:val="1"/>
          <w:color w:val="auto"/>
        </w:rPr>
        <w:t>dependent on patent and other proprietary rights and failing to protect such rights or to be successful in litigation related to our rights or the rights of others may result in our payment of significant monetary damages and/or royalty payments, negatively impact our ability to sell current or future products, or prohibit us from enforcing our patent and other proprietary rights against others.</w:t>
      </w:r>
      <w:r>
        <w:rPr>
          <w:rFonts w:ascii="Arial" w:cs="Arial" w:eastAsia="Arial" w:hAnsi="Arial"/>
          <w:sz w:val="18"/>
          <w:szCs w:val="18"/>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Markets and Distribution Methods</w:t>
      </w:r>
    </w:p>
    <w:p>
      <w:pPr>
        <w:spacing w:after="0" w:line="125"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color w:val="auto"/>
        </w:rPr>
        <w:t>The three largest markets for our medical devices are the U.S., Europe and Japan, though emerging markets are an area of increasing focus and opportunity for us. We sell most of our medical devices through direct sales representatives in the U.S. and a combination of direct sales representatives and independent distributors in markets outside the U.S.</w:t>
      </w:r>
    </w:p>
    <w:p>
      <w:pPr>
        <w:spacing w:after="0" w:line="73" w:lineRule="exact"/>
        <w:rPr>
          <w:sz w:val="20"/>
          <w:szCs w:val="20"/>
          <w:color w:val="auto"/>
        </w:rPr>
      </w:pPr>
    </w:p>
    <w:p>
      <w:pPr>
        <w:ind w:right="100" w:firstLine="162"/>
        <w:spacing w:after="0" w:line="272" w:lineRule="auto"/>
        <w:rPr>
          <w:sz w:val="20"/>
          <w:szCs w:val="20"/>
          <w:color w:val="auto"/>
        </w:rPr>
      </w:pPr>
      <w:r>
        <w:rPr>
          <w:rFonts w:ascii="Arial" w:cs="Arial" w:eastAsia="Arial" w:hAnsi="Arial"/>
          <w:sz w:val="17"/>
          <w:szCs w:val="17"/>
          <w:color w:val="auto"/>
        </w:rPr>
        <w:t>Our marketing and sales strategy is focused on rapid, cost-effective delivery of high-quality products to a diverse group of customers worldwide, including perfusionists, neurologists, neurosurgeons and other physicians, hospitals and other medical institutions and healthcare providers. To achieve this objective, we maintain a highly knowledgeable and dedicated sales staff that is able to foster strong relationships with our broad range of customers. We maintain excellent working relationships with professionals in the medical industry, which provide us with a detailed understanding of therapeutic and diagnostic developments, trends and emerging opportunities, and which therefore enable us to respond quickly to the changing needs of providers and patients. We actively participate in medical meetings and conduct comprehensive training and educational activities to enhance our presence in the medical communities we serve, and we believe that these activities also contribute to advancing healthcare professionals’ expertise.</w:t>
      </w:r>
    </w:p>
    <w:p>
      <w:pPr>
        <w:spacing w:after="0" w:line="70" w:lineRule="exact"/>
        <w:rPr>
          <w:sz w:val="20"/>
          <w:szCs w:val="20"/>
          <w:color w:val="auto"/>
        </w:rPr>
      </w:pPr>
    </w:p>
    <w:p>
      <w:pPr>
        <w:ind w:right="220" w:firstLine="162"/>
        <w:spacing w:after="0" w:line="259" w:lineRule="auto"/>
        <w:rPr>
          <w:sz w:val="20"/>
          <w:szCs w:val="20"/>
          <w:color w:val="auto"/>
        </w:rPr>
      </w:pPr>
      <w:r>
        <w:rPr>
          <w:rFonts w:ascii="Arial" w:cs="Arial" w:eastAsia="Arial" w:hAnsi="Arial"/>
          <w:sz w:val="18"/>
          <w:szCs w:val="18"/>
          <w:color w:val="auto"/>
        </w:rPr>
        <w:t>Due to the emphasis on cost-effectiveness in healthcare delivery, the current trend among hospitals and other medical device customers is to consolidate into larger purchasing groups to enhance purchasing power. As a result, customer transactions have become increasingly complex. Enhanced purchasing power may also lead to pressure on pricing and an increase in the use of preferred vendors. Our customer base continues to evolve to reflect such economic changes across the geographic markets we serve.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 and Industry</w:t>
      </w:r>
    </w:p>
    <w:p>
      <w:pPr>
        <w:spacing w:after="0" w:line="125"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We compete in the medical device market in more than 5,000 hospitals and in more than 100 countries. Technological advances and scientific discoveries cause rapid change in this market. Our competitors across our product portfolio range from large manufacturers with multiple business lines to small manufacturers offering a limited selection of specialized products. In addition, we face competition from providers of alternative medical therapies, such as pharmaceutical companies and providers of cannabis derived products, among others.</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76" w:right="239" w:bottom="1440" w:gutter="0" w:footer="0" w:header="0"/>
        </w:sectPr>
      </w:pPr>
    </w:p>
    <w:bookmarkStart w:id="8" w:name="page9"/>
    <w:bookmarkEnd w:id="8"/>
    <w:p>
      <w:pPr>
        <w:ind w:firstLine="162"/>
        <w:spacing w:after="0" w:line="255" w:lineRule="auto"/>
        <w:rPr>
          <w:sz w:val="20"/>
          <w:szCs w:val="20"/>
          <w:color w:val="auto"/>
        </w:rPr>
      </w:pPr>
      <w:r>
        <w:rPr>
          <w:rFonts w:ascii="Arial" w:cs="Arial" w:eastAsia="Arial" w:hAnsi="Arial"/>
          <w:sz w:val="18"/>
          <w:szCs w:val="18"/>
          <w:color w:val="auto"/>
        </w:rPr>
        <w:t>Product problems, physician advisories, safety alerts and publications about our products can cause major shifts in industry market share, reflecting the importance of product quality, product efficacy and quality systems in the medical device industry. In addition, because of developments in managed care, economically motivated customers, consolidation among healthcare providers, increased competition and declining reimbursement rates, we may be increasingly required to compete on the basis of price. In order to continue to compete effectively, we must continue to create or acquire advanced technology, incorporate this technology into proprietary products, obtain regulatory approvals in a timely manner, maintain high-quality manufacturing processes and successfully market these products.</w:t>
      </w:r>
    </w:p>
    <w:p>
      <w:pPr>
        <w:spacing w:after="0" w:line="85"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Our primary medical device competitors in the Cardiovascular and Neuromodulation product groups are Terumo Medical Corporation, Maquet Medical Systems, Medtronic plc, Haemonetics Corporation, Edwards Lifesciences Corp., NeuroPace, Inc., Abiomed, Inc. and Abbott Laboratories, Inc. (formerly St. Jude Medical, Inc.), although not all competitors are present in all product lines.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Production, Quality Systems and Raw Materials</w:t>
      </w:r>
    </w:p>
    <w:p>
      <w:pPr>
        <w:spacing w:after="0" w:line="125" w:lineRule="exact"/>
        <w:rPr>
          <w:sz w:val="20"/>
          <w:szCs w:val="20"/>
          <w:color w:val="auto"/>
        </w:rPr>
      </w:pPr>
    </w:p>
    <w:p>
      <w:pPr>
        <w:ind w:right="180" w:firstLine="162"/>
        <w:spacing w:after="0" w:line="255" w:lineRule="auto"/>
        <w:rPr>
          <w:sz w:val="20"/>
          <w:szCs w:val="20"/>
          <w:color w:val="auto"/>
        </w:rPr>
      </w:pPr>
      <w:r>
        <w:rPr>
          <w:rFonts w:ascii="Arial" w:cs="Arial" w:eastAsia="Arial" w:hAnsi="Arial"/>
          <w:sz w:val="18"/>
          <w:szCs w:val="18"/>
          <w:color w:val="auto"/>
        </w:rPr>
        <w:t>We manufacture a majority of our products at 11 manufacturing facilities located in Italy, Germany, the U.S., Canada, Brazil and Australia. We purchase raw materials and many of the components used in our manufacturing facilities from numerous suppliers in various countries. For quality assurance, sole source availability or cost effectiveness purposes, we may procure certain components and raw materials from a sole supplier. We work closely with our suppliers to ensure continuity of supply while maintaining high quality and reliability. We use quality systems in the design, production, warehousing and distribution of our products to ensure our products are safe and effective. In addition, we utilize environmental management systems and safety programs to protect the environment and our employees. For additional information related to our manufacturing facilities, refer to “Item 2. Properties” in this Annual Report on Form 10-K.</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Government Regulation and Other Considerations</w:t>
      </w:r>
    </w:p>
    <w:p>
      <w:pPr>
        <w:spacing w:after="0" w:line="125" w:lineRule="exact"/>
        <w:rPr>
          <w:sz w:val="20"/>
          <w:szCs w:val="20"/>
          <w:color w:val="auto"/>
        </w:rPr>
      </w:pPr>
    </w:p>
    <w:p>
      <w:pPr>
        <w:ind w:right="140" w:firstLine="162"/>
        <w:spacing w:after="0" w:line="257" w:lineRule="auto"/>
        <w:rPr>
          <w:sz w:val="20"/>
          <w:szCs w:val="20"/>
          <w:color w:val="auto"/>
        </w:rPr>
      </w:pPr>
      <w:r>
        <w:rPr>
          <w:rFonts w:ascii="Arial" w:cs="Arial" w:eastAsia="Arial" w:hAnsi="Arial"/>
          <w:sz w:val="18"/>
          <w:szCs w:val="18"/>
          <w:color w:val="auto"/>
        </w:rPr>
        <w:t>Our medical devices are subject to regulation by numerous government agencies, including the FDA and counterpart agencies outside the U.S. To varying degrees, each of these agencies requires us to comply with laws and regulations governing the research, development, testing, manufacturing, labeling, pre-market clearance or approval, marketing, distribution, advertising, promotion, record keeping, reporting, tracking, and importing and exporting of our products. Our business is also affected by patient privacy and security laws, cost containment initiatives, and environmental health and safety laws and regulations worldwide.</w:t>
      </w:r>
    </w:p>
    <w:p>
      <w:pPr>
        <w:spacing w:after="0" w:line="8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The laws applicable to us are subject to changing and evolving interpretations. If a governmental authority were to conclude that we are not in compliance with applicable laws and regulations, we and our officers and employees could be subject to severe civil and criminal penalties, including substantial fines and damages, and exclusion from participation as a supplier of products to beneficiaries covered by government programs, among other potential enforcement actions.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Product Approval and Monitoring</w:t>
      </w:r>
    </w:p>
    <w:p>
      <w:pPr>
        <w:spacing w:after="0" w:line="110" w:lineRule="exact"/>
        <w:rPr>
          <w:sz w:val="20"/>
          <w:szCs w:val="20"/>
          <w:color w:val="auto"/>
        </w:rPr>
      </w:pPr>
    </w:p>
    <w:p>
      <w:pPr>
        <w:jc w:val="both"/>
        <w:ind w:right="680" w:firstLine="162"/>
        <w:spacing w:after="0" w:line="286" w:lineRule="auto"/>
        <w:rPr>
          <w:sz w:val="20"/>
          <w:szCs w:val="20"/>
          <w:color w:val="auto"/>
        </w:rPr>
      </w:pPr>
      <w:r>
        <w:rPr>
          <w:rFonts w:ascii="Arial" w:cs="Arial" w:eastAsia="Arial" w:hAnsi="Arial"/>
          <w:sz w:val="17"/>
          <w:szCs w:val="17"/>
          <w:color w:val="auto"/>
        </w:rPr>
        <w:t>Many countries where we sell our products subject such medical devices and technologies to their own approval and other regulatory requirements regarding performance, safety and quality. The following provides a brief overview of the oversight and requirements to which we are subject for the commercial distribution of our products in the U.S., Europe and Japan, the largest markets for our medical devices.</w:t>
      </w:r>
    </w:p>
    <w:p>
      <w:pPr>
        <w:spacing w:after="0" w:line="57"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Each medical device we seek to distribute commercially in the U.S. must receive 510(k) clearance or pre-market approval (“PMA”) from the FDA, unless specifically exempted by the agency. The former, known as pre-market notification or the 510(k) process, requires us to demonstrate that our new medical device is substantially equivalent to a legally marketed medical device. The latter, the more costly and rigorous PMA process, requires us to demonstrate independently that a medical device is safe and effective for its intended use. One or more clinical studies may be required to support a 510(k) application and are almost always required to support a PMA application.</w:t>
      </w:r>
    </w:p>
    <w:p>
      <w:pPr>
        <w:spacing w:after="0" w:line="80" w:lineRule="exact"/>
        <w:rPr>
          <w:sz w:val="20"/>
          <w:szCs w:val="20"/>
          <w:color w:val="auto"/>
        </w:rPr>
      </w:pPr>
    </w:p>
    <w:p>
      <w:pPr>
        <w:ind w:right="100" w:firstLine="162"/>
        <w:spacing w:after="0" w:line="254" w:lineRule="auto"/>
        <w:rPr>
          <w:sz w:val="20"/>
          <w:szCs w:val="20"/>
          <w:color w:val="auto"/>
        </w:rPr>
      </w:pPr>
      <w:r>
        <w:rPr>
          <w:rFonts w:ascii="Arial" w:cs="Arial" w:eastAsia="Arial" w:hAnsi="Arial"/>
          <w:sz w:val="18"/>
          <w:szCs w:val="18"/>
          <w:color w:val="auto"/>
        </w:rPr>
        <w:t>The European Union (“EU”), established a single regulatory approval process, according to which a “</w:t>
      </w:r>
      <w:r>
        <w:rPr>
          <w:rFonts w:ascii="Arial" w:cs="Arial" w:eastAsia="Arial" w:hAnsi="Arial"/>
          <w:sz w:val="18"/>
          <w:szCs w:val="18"/>
          <w:i w:val="1"/>
          <w:iCs w:val="1"/>
          <w:color w:val="auto"/>
        </w:rPr>
        <w:t>Conformité Européenne</w:t>
      </w:r>
      <w:r>
        <w:rPr>
          <w:rFonts w:ascii="Arial" w:cs="Arial" w:eastAsia="Arial" w:hAnsi="Arial"/>
          <w:sz w:val="18"/>
          <w:szCs w:val="18"/>
          <w:color w:val="auto"/>
        </w:rPr>
        <w:t>” (French for “European Conformity”) or CE Mark certifies conformity with all of the legal requirements of the regulatory process. To obtain a CE Mark, defined products must meet minimum standards of performance, safety and quality (i.e., the essential requirements), and then, according to their classification, comply with one or more of a selection of conformity assessment routes. To demonstrate compliance with the essential requirements, we must undergo a conformity assessment procedure, which varies according to the type of medical device and its classification. As a general rule, demonstration of conformity of medical devices and their manufacturers with the essential requirements must be based on, among other things, the evaluation of clinical data supporting the safety and performance of the products during normal conditions of use. The competent authorities of the EU countries separately regulate the clinical research for medical devices</w:t>
      </w: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65" w:right="239" w:bottom="1440" w:gutter="0" w:footer="0" w:header="0"/>
        </w:sectPr>
      </w:pPr>
    </w:p>
    <w:bookmarkStart w:id="9" w:name="page10"/>
    <w:bookmarkEnd w:id="9"/>
    <w:p>
      <w:pPr>
        <w:ind w:right="80"/>
        <w:spacing w:after="0" w:line="273" w:lineRule="auto"/>
        <w:rPr>
          <w:sz w:val="20"/>
          <w:szCs w:val="20"/>
          <w:color w:val="auto"/>
        </w:rPr>
      </w:pPr>
      <w:r>
        <w:rPr>
          <w:rFonts w:ascii="Arial" w:cs="Arial" w:eastAsia="Arial" w:hAnsi="Arial"/>
          <w:sz w:val="17"/>
          <w:szCs w:val="17"/>
          <w:color w:val="auto"/>
        </w:rPr>
        <w:t>and the market surveillance of products placed on the market, and manufacturers with CE marked devices are subject to regular inspections to monitor compliance with the applicable directives and essential requirements. The EU published its Medical Device Regulation (“Reg MDR”) in 2017 that will impose significant additional premarket and post-market requirements for our medical devices. Reg MDR has a three-year implementation period, at the end of which, national competent authorities and manufacturers must implement and ensure compliance with the regulation. Among other things, Reg MDR imposes additional reporting requirements on manufacturers of high-risk medical devices and provides additional clinical evidence requirements. We have initiated activities and anticipate compliance with Reg MDR within the applicable timeframe.</w:t>
      </w:r>
    </w:p>
    <w:p>
      <w:pPr>
        <w:spacing w:after="0" w:line="70" w:lineRule="exact"/>
        <w:rPr>
          <w:sz w:val="20"/>
          <w:szCs w:val="20"/>
          <w:color w:val="auto"/>
        </w:rPr>
      </w:pPr>
    </w:p>
    <w:p>
      <w:pPr>
        <w:ind w:right="200" w:firstLine="162"/>
        <w:spacing w:after="0" w:line="276" w:lineRule="auto"/>
        <w:rPr>
          <w:sz w:val="20"/>
          <w:szCs w:val="20"/>
          <w:color w:val="auto"/>
        </w:rPr>
      </w:pPr>
      <w:r>
        <w:rPr>
          <w:rFonts w:ascii="Arial" w:cs="Arial" w:eastAsia="Arial" w:hAnsi="Arial"/>
          <w:sz w:val="17"/>
          <w:szCs w:val="17"/>
          <w:color w:val="auto"/>
        </w:rPr>
        <w:t>To be sold in Japan, our medical devices must undergo thorough safety examinations and demonstrate medical efficacy before they are granted approval. The Japanese government, through the Ministry of Health, Labour and Welfare, regulates medical devices under the Pharmaceutical Affairs Law (“PAL”). Penalties for a company’s noncompliance with the PAL can be severe, including revocation or suspension of a company’s business license and criminal sanctions. Japanese regulatory bodies also assess the quality management systems of the manufacturer and product conformity to the requirements of the PAL. We are subject to compliance investigations by these agencies.</w:t>
      </w:r>
    </w:p>
    <w:p>
      <w:pPr>
        <w:spacing w:after="0" w:line="64" w:lineRule="exact"/>
        <w:rPr>
          <w:sz w:val="20"/>
          <w:szCs w:val="20"/>
          <w:color w:val="auto"/>
        </w:rPr>
      </w:pPr>
    </w:p>
    <w:p>
      <w:pPr>
        <w:ind w:right="60" w:firstLine="162"/>
        <w:spacing w:after="0" w:line="302" w:lineRule="auto"/>
        <w:rPr>
          <w:sz w:val="20"/>
          <w:szCs w:val="20"/>
          <w:color w:val="auto"/>
        </w:rPr>
      </w:pPr>
      <w:r>
        <w:rPr>
          <w:rFonts w:ascii="Arial" w:cs="Arial" w:eastAsia="Arial" w:hAnsi="Arial"/>
          <w:sz w:val="16"/>
          <w:szCs w:val="16"/>
          <w:color w:val="auto"/>
        </w:rPr>
        <w:t>Many countries in which we sell our products (outside of the U.S., the EU and Japan) have their own regulatory requirements for medical devices. Most of these countries require that product approvals be recertified on a regular basis, generally every four to five years. The recertification process requires that we evaluate any device changes and any new regulations or standards relevant to the device and, where needed, conduct appropriate testing to document continued compliance. Where recertification applications are required, they must be approved in order to continue selling our products in those countries.</w:t>
      </w:r>
    </w:p>
    <w:p>
      <w:pPr>
        <w:spacing w:after="0" w:line="46" w:lineRule="exact"/>
        <w:rPr>
          <w:sz w:val="20"/>
          <w:szCs w:val="20"/>
          <w:color w:val="auto"/>
        </w:rPr>
      </w:pPr>
    </w:p>
    <w:p>
      <w:pPr>
        <w:jc w:val="both"/>
        <w:ind w:right="360" w:firstLine="162"/>
        <w:spacing w:after="0" w:line="257" w:lineRule="auto"/>
        <w:rPr>
          <w:sz w:val="20"/>
          <w:szCs w:val="20"/>
          <w:color w:val="auto"/>
        </w:rPr>
      </w:pPr>
      <w:r>
        <w:rPr>
          <w:rFonts w:ascii="Arial" w:cs="Arial" w:eastAsia="Arial" w:hAnsi="Arial"/>
          <w:sz w:val="18"/>
          <w:szCs w:val="18"/>
          <w:color w:val="auto"/>
        </w:rPr>
        <w:t>The global regulatory environment is increasingly stringent and unpredictable. Several countries that did not have regulatory requirements for medical devices have established such requirements in recent years, and other countries have expanded, or plan to expand, their existing regulations. While some regulatory bodies have pursued harmonization of global regulations, requirements continue to differ significantly among countries. We expect this global regulatory environment will continue to evolve, which could impact the cost, the time needed to approve, and ultimately, our ability to maintain existing approvals or obtain future approvals for our products.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Product and Promotional Restrictions</w:t>
      </w:r>
    </w:p>
    <w:p>
      <w:pPr>
        <w:spacing w:after="0" w:line="110" w:lineRule="exact"/>
        <w:rPr>
          <w:sz w:val="20"/>
          <w:szCs w:val="20"/>
          <w:color w:val="auto"/>
        </w:rPr>
      </w:pPr>
    </w:p>
    <w:p>
      <w:pPr>
        <w:ind w:right="80" w:firstLine="162"/>
        <w:spacing w:after="0" w:line="290" w:lineRule="auto"/>
        <w:rPr>
          <w:sz w:val="20"/>
          <w:szCs w:val="20"/>
          <w:color w:val="auto"/>
        </w:rPr>
      </w:pPr>
      <w:r>
        <w:rPr>
          <w:rFonts w:ascii="Arial" w:cs="Arial" w:eastAsia="Arial" w:hAnsi="Arial"/>
          <w:sz w:val="16"/>
          <w:szCs w:val="16"/>
          <w:color w:val="auto"/>
        </w:rPr>
        <w:t>Both before and after we release a product for commercial distribution, we have ongoing responsibilities under various laws and regulations governing medical devices. Regulations of the FDA and other regulatory agencies in and outside the U.S. impose extensive compliance and monitoring obligations on our business. These agencies review our design and manufacturing practices, labeling, record keeping, and required reports of adverse experiences and other information to identify potential problems with marketed medical devices. We are also subject to periodic inspections for compliance with applicable quality system regulations, which govern the methods used in, and the facilities and controls used for, the design, manufacture, packaging and servicing of finished medical devices intended for human use. In addition, the FDA and other U.S. regulatory bodies monitor the manner in which we promote and advertise our products. Although physicians are permitted to use their medical judgment to prescribe medical devices for indications other than those cleared or approved by the FDA, we are prohibited from promoting products for such “off-label” uses and can only market our products for cleared or approved uses.</w:t>
      </w:r>
    </w:p>
    <w:p>
      <w:pPr>
        <w:spacing w:after="0" w:line="58"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Any adverse regulatory action, depending on its magnitude, may limit our ability to market and sell our products effectively, limit our ability to obtain future premarket approvals or result in a substantial modification to our business practices and operations. For additional information, see "Item 1A. Risk Factors" of this Annual Report on Form 10-K, under the section entitled “</w:t>
      </w:r>
      <w:r>
        <w:rPr>
          <w:rFonts w:ascii="Arial" w:cs="Arial" w:eastAsia="Arial" w:hAnsi="Arial"/>
          <w:sz w:val="17"/>
          <w:szCs w:val="17"/>
          <w:i w:val="1"/>
          <w:iCs w:val="1"/>
          <w:color w:val="auto"/>
        </w:rPr>
        <w:t>Our products are subject to costly and complex laws and governmental regulations,</w:t>
      </w:r>
      <w:r>
        <w:rPr>
          <w:rFonts w:ascii="Arial" w:cs="Arial" w:eastAsia="Arial" w:hAnsi="Arial"/>
          <w:sz w:val="17"/>
          <w:szCs w:val="17"/>
          <w:color w:val="auto"/>
        </w:rPr>
        <w:t xml:space="preserve"> </w:t>
      </w:r>
      <w:r>
        <w:rPr>
          <w:rFonts w:ascii="Arial" w:cs="Arial" w:eastAsia="Arial" w:hAnsi="Arial"/>
          <w:sz w:val="17"/>
          <w:szCs w:val="17"/>
          <w:i w:val="1"/>
          <w:iCs w:val="1"/>
          <w:color w:val="auto"/>
        </w:rPr>
        <w:t>and failure to obtain product approvals or clearance may materially adversely affect our financial condition and business operations.</w:t>
      </w:r>
      <w:r>
        <w:rPr>
          <w:rFonts w:ascii="Arial" w:cs="Arial" w:eastAsia="Arial" w:hAnsi="Arial"/>
          <w:sz w:val="17"/>
          <w:szCs w:val="17"/>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Governmental Trade Regulations</w:t>
      </w:r>
    </w:p>
    <w:p>
      <w:pPr>
        <w:spacing w:after="0" w:line="110"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The sale and shipment of our products and services across international borders, as well as the purchase of components and products from international sources, subject us to extensive governmental trade regulations. A variety of laws and regulations apply to the sale, shipment and provision of goods, services and technology across international borders. Many countries control the export and re-export of goods, technology and services for public health, national security, regional stability, antiterrorism and other reasons. Some governments may also impose economic sanctions against certain countries, persons or entities. In certain circumstances, governmental authorities may require that we obtain an approval before we export or re-export goods, technology or services to certain destinations, to certain end-users and for certain end-uses. Because we are subject to extensive regulations in the countries in which we operate, we are subject to the risk that laws and regulations could change in a way that would expose us to additional costs, penalties or liabilities.</w:t>
      </w:r>
    </w:p>
    <w:p>
      <w:pPr>
        <w:spacing w:after="0" w:line="59"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We also sell and provide goods, technology and services to agents, representatives and distributors who may export such items to customers and end-users, and if these third parties violate applicable export control or economic sanctions laws or</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665" w:right="279" w:bottom="1440" w:gutter="0" w:footer="0" w:header="0"/>
        </w:sectPr>
      </w:pPr>
    </w:p>
    <w:bookmarkStart w:id="10" w:name="page11"/>
    <w:bookmarkEnd w:id="10"/>
    <w:p>
      <w:pPr>
        <w:ind w:right="440"/>
        <w:spacing w:after="0" w:line="286" w:lineRule="auto"/>
        <w:rPr>
          <w:sz w:val="20"/>
          <w:szCs w:val="20"/>
          <w:color w:val="auto"/>
        </w:rPr>
      </w:pPr>
      <w:r>
        <w:rPr>
          <w:rFonts w:ascii="Arial" w:cs="Arial" w:eastAsia="Arial" w:hAnsi="Arial"/>
          <w:sz w:val="17"/>
          <w:szCs w:val="17"/>
          <w:color w:val="auto"/>
        </w:rPr>
        <w:t>regulations when engaging in transactions involving our products, we may be subject to varying degrees of liability depending on the extent of our participation in the transaction. The activities of these third parties may cause disruption or delays in the distribution and sale of our products or result in restrictions being placed on our international distribution and sales of products, which may materially impact our business activities.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Patient Privacy and Security Laws</w:t>
      </w:r>
    </w:p>
    <w:p>
      <w:pPr>
        <w:spacing w:after="0" w:line="110" w:lineRule="exact"/>
        <w:rPr>
          <w:sz w:val="20"/>
          <w:szCs w:val="20"/>
          <w:color w:val="auto"/>
        </w:rPr>
      </w:pPr>
    </w:p>
    <w:p>
      <w:pPr>
        <w:ind w:right="100" w:firstLine="162"/>
        <w:spacing w:after="0" w:line="273" w:lineRule="auto"/>
        <w:rPr>
          <w:sz w:val="20"/>
          <w:szCs w:val="20"/>
          <w:color w:val="auto"/>
        </w:rPr>
      </w:pPr>
      <w:r>
        <w:rPr>
          <w:rFonts w:ascii="Arial" w:cs="Arial" w:eastAsia="Arial" w:hAnsi="Arial"/>
          <w:sz w:val="17"/>
          <w:szCs w:val="17"/>
          <w:color w:val="auto"/>
        </w:rPr>
        <w:t>We are subject to various laws worldwide that protect the security and confidentiality of certain patient health information, including patient medical records, and that restrict the use and disclosure of patient health information. Privacy standards in Europe and Asia are becoming increasingly strict; enforcement actions and financial penalties related to privacy issues in the EU are growing; and new laws and restrictions are being passed in other countries including the U.S. The management of cross-border transfers of information among and outside of EU member countries is becoming more complex, which may complicate our clinical research activities, as well as product offerings that involve transmission or use of clinical data. We will continue our efforts to comply with those requirements and to adapt our business processes to those standards.</w:t>
      </w:r>
    </w:p>
    <w:p>
      <w:pPr>
        <w:spacing w:after="0" w:line="70" w:lineRule="exact"/>
        <w:rPr>
          <w:sz w:val="20"/>
          <w:szCs w:val="20"/>
          <w:color w:val="auto"/>
        </w:rPr>
      </w:pPr>
    </w:p>
    <w:p>
      <w:pPr>
        <w:ind w:right="140" w:firstLine="162"/>
        <w:spacing w:after="0" w:line="269" w:lineRule="auto"/>
        <w:rPr>
          <w:sz w:val="20"/>
          <w:szCs w:val="20"/>
          <w:color w:val="auto"/>
        </w:rPr>
      </w:pPr>
      <w:r>
        <w:rPr>
          <w:rFonts w:ascii="Arial" w:cs="Arial" w:eastAsia="Arial" w:hAnsi="Arial"/>
          <w:sz w:val="17"/>
          <w:szCs w:val="17"/>
          <w:color w:val="auto"/>
        </w:rPr>
        <w:t>In the U.S., the Health Insurance Portability and Accountability Act of 1996 (“HIPAA”), as amended by the Health Information Technology and Clinical Health Act (“HITECH”) and their respective implementing regulations impose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We may be deemed to operate as a business associate to covered entities in certain instances. In those cases, the patient data that we receive may include protected health information, as defined under HIPAA. Enforcement actions can be costly and interrupt regular operations of our business. In addition, state laws govern the privacy and security of health information in certain circumstances, many of which differ from each other in significant ways, thus complicating compliance and data protection efforts. For example, the California Consumer Privacy Act (“CCPA”), a bill to enhance privacy rights and consumer protection for residents of California went into effect January 1, 2020. For additional information, see "Item 1A. Risk Factors" of this Annual Report on Form 10-K, under the section entitled “</w:t>
      </w:r>
      <w:r>
        <w:rPr>
          <w:rFonts w:ascii="Arial" w:cs="Arial" w:eastAsia="Arial" w:hAnsi="Arial"/>
          <w:sz w:val="17"/>
          <w:szCs w:val="17"/>
          <w:i w:val="1"/>
          <w:iCs w:val="1"/>
          <w:color w:val="auto"/>
        </w:rPr>
        <w:t>Cyber-attacks or other disruptions to our</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 technology systems could lead to reduced revenue, increased costs, liability claims, fines, harm to our competitive position and loss of reputation.”</w:t>
      </w:r>
    </w:p>
    <w:p>
      <w:pPr>
        <w:spacing w:after="0" w:line="72" w:lineRule="exact"/>
        <w:rPr>
          <w:sz w:val="20"/>
          <w:szCs w:val="20"/>
          <w:color w:val="auto"/>
        </w:rPr>
      </w:pPr>
    </w:p>
    <w:p>
      <w:pPr>
        <w:ind w:right="60" w:firstLine="162"/>
        <w:spacing w:after="0" w:line="290" w:lineRule="auto"/>
        <w:rPr>
          <w:sz w:val="20"/>
          <w:szCs w:val="20"/>
          <w:color w:val="auto"/>
        </w:rPr>
      </w:pPr>
      <w:r>
        <w:rPr>
          <w:rFonts w:ascii="Arial" w:cs="Arial" w:eastAsia="Arial" w:hAnsi="Arial"/>
          <w:sz w:val="16"/>
          <w:szCs w:val="16"/>
          <w:color w:val="auto"/>
        </w:rPr>
        <w:t>In the EU, Regulation 2016/679 on the protection of natural persons with regard to the processing of personal data and on the free movement of such data (“General Data Protection Regulation” or “GDPR”) came into effect in May 2018. The GDPR replaces Directive 95/46/EC (“Data Protection Directive”). While many of the principles of the GDPR reflect those of the Data Protection Directive, for example in relation to the requirements relating to the privacy, security and transmission of individually identifiable health information, there are a number of changes. In particular: (1) proactive compliance measures are introduced, such as the requirement to carry out a Privacy Impact Assessment and to appoint a Data Protection Officer where health data is processed on a “large scale.” Although “large scale” is not defined, it is likely that clinical trials involving substantial numbers of patients (or healthy volunteers if applicable) would mean that such requirements apply to us; and (2) the administrative fines that can be levied are significantly increased, the maximum being the higher of €20 million (approximately $22.4 million), or 4% of our total worldwide revenue in the previous financial year.</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Cost Containment Initiatives</w:t>
      </w:r>
    </w:p>
    <w:p>
      <w:pPr>
        <w:spacing w:after="0" w:line="110" w:lineRule="exact"/>
        <w:rPr>
          <w:sz w:val="20"/>
          <w:szCs w:val="20"/>
          <w:color w:val="auto"/>
        </w:rPr>
      </w:pPr>
    </w:p>
    <w:p>
      <w:pPr>
        <w:ind w:firstLine="162"/>
        <w:spacing w:after="0" w:line="287" w:lineRule="auto"/>
        <w:rPr>
          <w:sz w:val="20"/>
          <w:szCs w:val="20"/>
          <w:color w:val="auto"/>
        </w:rPr>
      </w:pPr>
      <w:r>
        <w:rPr>
          <w:rFonts w:ascii="Arial" w:cs="Arial" w:eastAsia="Arial" w:hAnsi="Arial"/>
          <w:sz w:val="16"/>
          <w:szCs w:val="16"/>
          <w:color w:val="auto"/>
        </w:rPr>
        <w:t>Government and private sector initiatives to limit the growth of healthcare costs, including price regulation, competitive pricing, bidding and tender mechanics, coverage and payment policies, comparative effectiveness of therapies, technology assessments and managed-care arrangements are continuing in many countries where we do business. These changes are causing the marketplace to put increased emphasis on the delivery of more cost-effective medical devices and therapies. Government programs, private healthcare insurance and managed-care plans have attempted to control costs by limiting the extent of coverage or amount of reimbursement available for particular procedures or treatments, tying reimbursement to outcomes, shifting to population health management, and other mechanisms designed to constrain utilization and contain costs. Hospitals, which purchase implants, are also seeking to reduce costs through a variety of mechanisms, including, for example, creating centralized purchasing functions that set pricing and, in some cases, limit the number of vendors that can participate in the purchasing program. Hospitals are also aligning their interests with those of physicians through employment and other arrangements, such as gainsharing, whereby a hospital agrees with physicians to share certain realized cost savings resulting from the physicians’ collective change in practice patterns, such as standardization of devices where medically appropriate, and participation in affordable care organizations. Such alignment has created increasing levels of price sensitivity among customers for our products.</w:t>
      </w:r>
    </w:p>
    <w:p>
      <w:pPr>
        <w:spacing w:after="0" w:line="65"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Some third-party payers must also approve coverage and set reimbursement levels for new or innovative devices or therapies before they will reimburse healthcare providers who use the medical devices or therapies. Even though a new medical device</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65" w:right="239" w:bottom="1440" w:gutter="0" w:footer="0" w:header="0"/>
        </w:sectPr>
      </w:pPr>
    </w:p>
    <w:bookmarkStart w:id="11" w:name="page12"/>
    <w:bookmarkEnd w:id="11"/>
    <w:p>
      <w:pPr>
        <w:ind w:right="260"/>
        <w:spacing w:after="0" w:line="264" w:lineRule="auto"/>
        <w:rPr>
          <w:sz w:val="20"/>
          <w:szCs w:val="20"/>
          <w:color w:val="auto"/>
        </w:rPr>
      </w:pPr>
      <w:r>
        <w:rPr>
          <w:rFonts w:ascii="Arial" w:cs="Arial" w:eastAsia="Arial" w:hAnsi="Arial"/>
          <w:sz w:val="18"/>
          <w:szCs w:val="18"/>
          <w:color w:val="auto"/>
        </w:rPr>
        <w:t>may be cleared for commercial distribution, we may find limited demand for the device until coverage and sufficient reimbursement levels have been obtained from governmental and private third-party payers. In addition, some private third-party payers require that certain procedures or the use of certain products be authorized in advance as a condition of coverage.</w:t>
      </w:r>
    </w:p>
    <w:p>
      <w:pPr>
        <w:spacing w:after="0" w:line="73"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As a result of our manufacturing efficiencies, cost controls and other cost-savings initiatives, we believe we are well-positioned to respond to changes resulting from this worldwide trend toward cost containment; however, uncertainty remains as to the nature of any future legislation or other reforms, making it difficult for us to predict the potential impact of cost-containment trends on future operating results.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Applicability of Anti-Corruption Laws and Regulations</w:t>
      </w:r>
    </w:p>
    <w:p>
      <w:pPr>
        <w:spacing w:after="0" w:line="110"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Our worldwide business is subject to the U.S. Foreign Corrupt Practices Act of 1977 (the “FCPA”), the UK Bribery Act of 2010 (the “UK Bribery Act”) and other anti-corruption laws and regulations applicable in the jurisdictions where we operate. The FCPA can be used to prosecute companies in the U.S. for arrangements with physicians or other parties outside the U.S. if the physician or party is a government official of another country and prohibited payments are made to obtain or retain business. The UK Bribery Act prohibits both domestic and international bribery, as well as bribery across both public and private sectors. There are similar laws and regulations applicable to us outside the U.S. and the UK, all of which are subject to evolving interpretations. For additional information, please refer to “Item 1A. Risk Factors” of this Annual Report on Form 10-K, under the section entitled “</w:t>
      </w:r>
      <w:r>
        <w:rPr>
          <w:rFonts w:ascii="Arial" w:cs="Arial" w:eastAsia="Arial" w:hAnsi="Arial"/>
          <w:sz w:val="17"/>
          <w:szCs w:val="17"/>
          <w:i w:val="1"/>
          <w:iCs w:val="1"/>
          <w:color w:val="auto"/>
        </w:rPr>
        <w:t>The failure to comply with anti-bribery</w:t>
      </w:r>
      <w:r>
        <w:rPr>
          <w:rFonts w:ascii="Arial" w:cs="Arial" w:eastAsia="Arial" w:hAnsi="Arial"/>
          <w:sz w:val="17"/>
          <w:szCs w:val="17"/>
          <w:color w:val="auto"/>
        </w:rPr>
        <w:t xml:space="preserve"> </w:t>
      </w:r>
      <w:r>
        <w:rPr>
          <w:rFonts w:ascii="Arial" w:cs="Arial" w:eastAsia="Arial" w:hAnsi="Arial"/>
          <w:sz w:val="17"/>
          <w:szCs w:val="17"/>
          <w:i w:val="1"/>
          <w:iCs w:val="1"/>
          <w:color w:val="auto"/>
        </w:rPr>
        <w:t>laws could materially adversely affect our business and result in civil and/or criminal sanctions.</w:t>
      </w:r>
      <w:r>
        <w:rPr>
          <w:rFonts w:ascii="Arial" w:cs="Arial" w:eastAsia="Arial" w:hAnsi="Arial"/>
          <w:sz w:val="17"/>
          <w:szCs w:val="17"/>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Environmental Regulation and Management</w:t>
      </w:r>
    </w:p>
    <w:p>
      <w:pPr>
        <w:spacing w:after="0" w:line="164" w:lineRule="exact"/>
        <w:rPr>
          <w:sz w:val="20"/>
          <w:szCs w:val="20"/>
          <w:color w:val="auto"/>
        </w:rPr>
      </w:pPr>
    </w:p>
    <w:p>
      <w:pPr>
        <w:ind w:right="80" w:firstLine="162"/>
        <w:spacing w:after="0" w:line="270" w:lineRule="auto"/>
        <w:rPr>
          <w:sz w:val="20"/>
          <w:szCs w:val="20"/>
          <w:color w:val="auto"/>
        </w:rPr>
      </w:pPr>
      <w:r>
        <w:rPr>
          <w:rFonts w:ascii="Arial" w:cs="Arial" w:eastAsia="Arial" w:hAnsi="Arial"/>
          <w:sz w:val="17"/>
          <w:szCs w:val="17"/>
          <w:color w:val="auto"/>
        </w:rPr>
        <w:t>We are subject to various environmental laws, directives and regulations both in the U.S. and abroad. Our operations involve the use of substances regulated under environmental laws, primarily in manufacturing and sterilization processes. We believe that sound environmental, health and safety performance contribute to our competitive strength while benefiting our customers, stockholders and employees. We are focused on continuous improvement in these areas by reducing pollution, depletion of natural resources and our overall environmental footprint. Specifically, we are working to optimize energy and resource usage, ultimately reducing greenhouse gas emissions and waste. We have implemented trigeneration in our plant in Mirandola, Italy which is designed to reduce CO2, reduce energy consumption, generate energy savings, and reduce costs, and we have moved from using oil to methane, reducing considerably the air pollution from our plant in Saluggia, Italy. We replaced fluorescent light in our plants in Arvada, Colorado and Mirandola with LED to reduce overall energy consumption, and we are continually working to improve the efficiency of our machinery, e.g., by replacing HVAC units with more efficient equivalents. Finally, our Saluggia plant was awarded ISO 14001 certification in 2018, becoming our second ISO-certified plant alongside Munich, Germany.</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Health Care Fraud and Abuse Laws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are also subject to U.S. federal and state government healthcare regulation and enforcement and government regulations and enforcement in other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countries in which we conduct our business. </w:t>
      </w:r>
      <w:r>
        <w:rPr>
          <w:rFonts w:ascii="Arial" w:cs="Arial" w:eastAsia="Arial" w:hAnsi="Arial"/>
          <w:sz w:val="17"/>
          <w:szCs w:val="17"/>
          <w:color w:val="333333"/>
        </w:rPr>
        <w:t>The federal healthcare Anti-Kickback Statute prohibits persons from, among other things, knowingly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willfully offering or paying remuneration, directly or indirectly, to a person to induce the purchase, order, lease, or recommendation of a good or service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33333"/>
        </w:rPr>
        <w:t>which payment may be made in whole or part under a federal healthcare program such as Medicare or Medicaid, unless the arrangement fits within one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333333"/>
        </w:rPr>
        <w:t>several statutory exemptions or regulatory “safe harbors.” Violations of the federal Anti-Kickback Statute may result in civil monetary penalties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$100,000 for each violation, plus up to three times the remuneration involved. Violations can also result in criminal penalties, including criminal fines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33333"/>
        </w:rPr>
        <w:t>$100,000 and imprisonment for up to 10 years. Finally, violations can result in exclusion from participation in government healthcare programs, including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333333"/>
        </w:rPr>
        <w:t>Medicare and Medicaid.</w:t>
      </w:r>
    </w:p>
    <w:p>
      <w:pPr>
        <w:spacing w:after="0" w:line="103" w:lineRule="exact"/>
        <w:rPr>
          <w:sz w:val="20"/>
          <w:szCs w:val="20"/>
          <w:color w:val="auto"/>
        </w:rPr>
      </w:pPr>
    </w:p>
    <w:p>
      <w:pPr>
        <w:ind w:right="200" w:firstLine="162"/>
        <w:spacing w:after="0" w:line="264" w:lineRule="auto"/>
        <w:rPr>
          <w:sz w:val="20"/>
          <w:szCs w:val="20"/>
          <w:color w:val="auto"/>
        </w:rPr>
      </w:pPr>
      <w:r>
        <w:rPr>
          <w:rFonts w:ascii="Arial" w:cs="Arial" w:eastAsia="Arial" w:hAnsi="Arial"/>
          <w:sz w:val="18"/>
          <w:szCs w:val="18"/>
          <w:color w:val="333333"/>
        </w:rPr>
        <w:t>In addition to the Anti-Kickback Statute, many states have their own anti-kickback laws. Often, these laws closely follow the language of the federal law, although they do not always have the same exceptions or safe harbors. In some states, these anti-kickback laws apply with respect to all payers, including commercial health insurance companies.</w:t>
      </w:r>
    </w:p>
    <w:p>
      <w:pPr>
        <w:spacing w:after="0" w:line="73"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Additionally, violations of the U.S. False Claims Act (the “False Claims Act”) can result in significant monetary penalties and treble damages. The U.S. federal government is using the False Claims Act, and the accompanying threat of significant financial liability, in its investigation and prosecution of device and biotechnology companies throughout the U.S., for example, in connection with the promotion of products for unapproved uses and other sales and marketing practices. The U.S. government has obtained multi-million and multi-billion-dollar settlements under the False Claims Act, in addition to individual criminal convictions under applicable criminal statutes. Given the significant size of actual and potential settlements, we anticipate that the U.S. government will continue to devote substantial resources to investigating healthcare providers’ and manufacturers’ compliance with applicable fraud and abuse laws.</w:t>
      </w:r>
    </w:p>
    <w:p>
      <w:pPr>
        <w:spacing w:after="0" w:line="2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65" w:right="239" w:bottom="1440" w:gutter="0" w:footer="0" w:header="0"/>
        </w:sectPr>
      </w:pPr>
    </w:p>
    <w:bookmarkStart w:id="12" w:name="page13"/>
    <w:bookmarkEnd w:id="12"/>
    <w:p>
      <w:pPr>
        <w:ind w:right="80" w:firstLine="162"/>
        <w:spacing w:after="0" w:line="255" w:lineRule="auto"/>
        <w:rPr>
          <w:sz w:val="20"/>
          <w:szCs w:val="20"/>
          <w:color w:val="auto"/>
        </w:rPr>
      </w:pPr>
      <w:r>
        <w:rPr>
          <w:rFonts w:ascii="Arial" w:cs="Arial" w:eastAsia="Arial" w:hAnsi="Arial"/>
          <w:sz w:val="18"/>
          <w:szCs w:val="18"/>
          <w:color w:val="auto"/>
        </w:rPr>
        <w:t>HIPAA includes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5"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There has also been a recent trend of increased federal and state regulation of payments made to physicians and other healthcare providers. We are subject, for example, to the Physician Payments Sunshine Act, which requires us to annually report annually certain payments and other transfers of value we make to U.S. licensed physicians or U.S. teaching hospitals. Any failure to comply with such laws and regulations hold the potential for criminal and civil financial penalties.</w:t>
      </w:r>
    </w:p>
    <w:p>
      <w:pPr>
        <w:spacing w:after="0" w:line="79" w:lineRule="exact"/>
        <w:rPr>
          <w:sz w:val="20"/>
          <w:szCs w:val="20"/>
          <w:color w:val="auto"/>
        </w:rPr>
      </w:pPr>
    </w:p>
    <w:p>
      <w:pPr>
        <w:ind w:right="60" w:firstLine="162"/>
        <w:spacing w:after="0" w:line="276" w:lineRule="auto"/>
        <w:rPr>
          <w:sz w:val="20"/>
          <w:szCs w:val="20"/>
          <w:color w:val="auto"/>
        </w:rPr>
      </w:pPr>
      <w:r>
        <w:rPr>
          <w:rFonts w:ascii="Arial" w:cs="Arial" w:eastAsia="Arial" w:hAnsi="Arial"/>
          <w:sz w:val="17"/>
          <w:szCs w:val="17"/>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us, we may be subject to penalties, including, without limitation, civil and criminal penalties, damages, fines, the curtailment or restructuring of our operations, and exclusion from participation in federal and state healthcare programs, any of which could adversely affect our ability to operate our business and our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Environmental Health and Safety Laws</w:t>
      </w:r>
    </w:p>
    <w:p>
      <w:pPr>
        <w:spacing w:after="0" w:line="110" w:lineRule="exact"/>
        <w:rPr>
          <w:sz w:val="20"/>
          <w:szCs w:val="20"/>
          <w:color w:val="auto"/>
        </w:rPr>
      </w:pPr>
    </w:p>
    <w:p>
      <w:pPr>
        <w:ind w:firstLine="162"/>
        <w:spacing w:after="0" w:line="279" w:lineRule="auto"/>
        <w:rPr>
          <w:sz w:val="20"/>
          <w:szCs w:val="20"/>
          <w:color w:val="auto"/>
        </w:rPr>
      </w:pPr>
      <w:r>
        <w:rPr>
          <w:rFonts w:ascii="Arial" w:cs="Arial" w:eastAsia="Arial" w:hAnsi="Arial"/>
          <w:sz w:val="17"/>
          <w:szCs w:val="17"/>
          <w:color w:val="auto"/>
        </w:rPr>
        <w:t>We are also subject to various environmental health and safety laws and regulations worldwide. Like other medical device companies, our manufacturing and other operations involve the use, storage and transportation of substances regulated under environmental health and safety laws, including those related to the transportation of hazardous materials. To the best of our knowledge at this time, we do not expect that compliance with environmental protection laws will have a material impact on our consolidated results of operations, financial position or cash flows.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Working Capital Practices</w:t>
      </w:r>
    </w:p>
    <w:p>
      <w:pPr>
        <w:spacing w:after="0" w:line="125" w:lineRule="exact"/>
        <w:rPr>
          <w:sz w:val="20"/>
          <w:szCs w:val="20"/>
          <w:color w:val="auto"/>
        </w:rPr>
      </w:pPr>
    </w:p>
    <w:p>
      <w:pPr>
        <w:jc w:val="both"/>
        <w:ind w:right="340" w:firstLine="162"/>
        <w:spacing w:after="0" w:line="264" w:lineRule="auto"/>
        <w:rPr>
          <w:sz w:val="20"/>
          <w:szCs w:val="20"/>
          <w:color w:val="auto"/>
        </w:rPr>
      </w:pPr>
      <w:r>
        <w:rPr>
          <w:rFonts w:ascii="Arial" w:cs="Arial" w:eastAsia="Arial" w:hAnsi="Arial"/>
          <w:sz w:val="18"/>
          <w:szCs w:val="18"/>
          <w:color w:val="auto"/>
        </w:rPr>
        <w:t>Our goal is to carry sufficient levels of inventory to ensure adequate supply of raw materials from suppliers and meet the product delivery needs of our customers. To meet the operational demands of our customers, we also provide payment terms to customers in the normal course of business and rights to return product under warranty.</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Pursuant to Section 13(r) of the Exchange Act of 1934</w:t>
      </w:r>
    </w:p>
    <w:p>
      <w:pPr>
        <w:spacing w:after="0" w:line="125" w:lineRule="exact"/>
        <w:rPr>
          <w:sz w:val="20"/>
          <w:szCs w:val="20"/>
          <w:color w:val="auto"/>
        </w:rPr>
      </w:pPr>
    </w:p>
    <w:p>
      <w:pPr>
        <w:ind w:right="240" w:firstLine="162"/>
        <w:spacing w:after="0" w:line="286" w:lineRule="auto"/>
        <w:rPr>
          <w:sz w:val="20"/>
          <w:szCs w:val="20"/>
          <w:color w:val="auto"/>
        </w:rPr>
      </w:pPr>
      <w:r>
        <w:rPr>
          <w:rFonts w:ascii="Arial" w:cs="Arial" w:eastAsia="Arial" w:hAnsi="Arial"/>
          <w:sz w:val="17"/>
          <w:szCs w:val="17"/>
          <w:color w:val="auto"/>
        </w:rPr>
        <w:t>Section 13(r) of the Exchange Act requires issuers to disclose in their annual reports certain types of dealings with Iran, including transactions or dealing with government-owned entities, even when those activities are lawful and do not involve U.S. persons. Two of our non-U.S. subsidiaries currently sell medical devices, including cardiac surgery and cardiopulmonary products, to privately held distributors in Iran.</w:t>
      </w:r>
    </w:p>
    <w:p>
      <w:pPr>
        <w:spacing w:after="0" w:line="57" w:lineRule="exact"/>
        <w:rPr>
          <w:sz w:val="20"/>
          <w:szCs w:val="20"/>
          <w:color w:val="auto"/>
        </w:rPr>
      </w:pPr>
    </w:p>
    <w:p>
      <w:pPr>
        <w:jc w:val="both"/>
        <w:ind w:right="200" w:firstLine="162"/>
        <w:spacing w:after="0" w:line="264" w:lineRule="auto"/>
        <w:rPr>
          <w:sz w:val="20"/>
          <w:szCs w:val="20"/>
          <w:color w:val="auto"/>
        </w:rPr>
      </w:pPr>
      <w:r>
        <w:rPr>
          <w:rFonts w:ascii="Arial" w:cs="Arial" w:eastAsia="Arial" w:hAnsi="Arial"/>
          <w:sz w:val="18"/>
          <w:szCs w:val="18"/>
          <w:color w:val="auto"/>
        </w:rPr>
        <w:t>We have limited visibility into the identity of these distributors’ customers in Iran. It is possible that their customers include entities, such as government-owned hospitals or sub-distributors, that are owned or controlled directly or indirectly by the Iranian government. To the best of our knowledge at this time, we do not have any contracts or commercial arrangements with the Iranian government.</w:t>
      </w:r>
    </w:p>
    <w:p>
      <w:pPr>
        <w:spacing w:after="0" w:line="73" w:lineRule="exact"/>
        <w:rPr>
          <w:sz w:val="20"/>
          <w:szCs w:val="20"/>
          <w:color w:val="auto"/>
        </w:rPr>
      </w:pPr>
    </w:p>
    <w:p>
      <w:pPr>
        <w:ind w:right="400" w:firstLine="162"/>
        <w:spacing w:after="0" w:line="308" w:lineRule="auto"/>
        <w:rPr>
          <w:sz w:val="20"/>
          <w:szCs w:val="20"/>
          <w:color w:val="auto"/>
        </w:rPr>
      </w:pPr>
      <w:r>
        <w:rPr>
          <w:rFonts w:ascii="Arial" w:cs="Arial" w:eastAsia="Arial" w:hAnsi="Arial"/>
          <w:sz w:val="17"/>
          <w:szCs w:val="17"/>
          <w:color w:val="auto"/>
        </w:rPr>
        <w:t>Our gross revenues and net profits attributable to the above-mentioned Iranian activities were $1.6 million and $0.5 million for the three months ended December 31, 2019, respectively, and $10.3 million and $3.6 million for the twelve months ended December 31, 2019, respectively.</w:t>
      </w:r>
    </w:p>
    <w:p>
      <w:pPr>
        <w:spacing w:after="0" w:line="38"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We believe our activities are consistent with applicable law, including U.S., EU, and other applicable sanctions laws, though such laws are complex and continue to evolve rapidly. We intend to continue our business in Iran.</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25" w:lineRule="exact"/>
        <w:rPr>
          <w:sz w:val="20"/>
          <w:szCs w:val="20"/>
          <w:color w:val="auto"/>
        </w:rPr>
      </w:pPr>
    </w:p>
    <w:p>
      <w:pPr>
        <w:ind w:right="380" w:firstLine="162"/>
        <w:spacing w:after="0" w:line="257" w:lineRule="auto"/>
        <w:rPr>
          <w:sz w:val="20"/>
          <w:szCs w:val="20"/>
          <w:color w:val="auto"/>
        </w:rPr>
      </w:pPr>
      <w:r>
        <w:rPr>
          <w:rFonts w:ascii="Arial" w:cs="Arial" w:eastAsia="Arial" w:hAnsi="Arial"/>
          <w:sz w:val="18"/>
          <w:szCs w:val="18"/>
          <w:color w:val="auto"/>
        </w:rPr>
        <w:t>As of December 31, 2019, we employed approximately 4,000 employees worldwide. Our employees are vital to our success, and we are engaged in an ongoing effort to identify, hire, manage and maintain the talent necessary to meet our business objectives. We believe that we have been successful in attracting and retaining qualified personnel in a highly competitive labor market due, in large part, to our competitive compensation and benefits and our rewarding work environment, fostering employee professional training and development and providing employees with opportunities to contribute to our continued growth and success.</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65"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Seasonality</w:t>
      </w:r>
    </w:p>
    <w:p>
      <w:pPr>
        <w:spacing w:after="0" w:line="125" w:lineRule="exact"/>
        <w:rPr>
          <w:sz w:val="20"/>
          <w:szCs w:val="20"/>
          <w:color w:val="auto"/>
        </w:rPr>
      </w:pPr>
    </w:p>
    <w:p>
      <w:pPr>
        <w:ind w:right="480" w:firstLine="162"/>
        <w:spacing w:after="0" w:line="277" w:lineRule="auto"/>
        <w:rPr>
          <w:sz w:val="20"/>
          <w:szCs w:val="20"/>
          <w:color w:val="auto"/>
        </w:rPr>
      </w:pPr>
      <w:r>
        <w:rPr>
          <w:rFonts w:ascii="Arial" w:cs="Arial" w:eastAsia="Arial" w:hAnsi="Arial"/>
          <w:sz w:val="18"/>
          <w:szCs w:val="18"/>
          <w:color w:val="auto"/>
        </w:rPr>
        <w:t>For both of our segments, the number of medical procedures incorporating our products is generally lower during the summer months, particularly in European countries, due to summer vacation schedules.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25" w:lineRule="exact"/>
        <w:rPr>
          <w:sz w:val="20"/>
          <w:szCs w:val="20"/>
          <w:color w:val="auto"/>
        </w:rPr>
      </w:pPr>
    </w:p>
    <w:p>
      <w:pPr>
        <w:ind w:firstLine="162"/>
        <w:spacing w:after="0" w:line="297" w:lineRule="auto"/>
        <w:rPr>
          <w:sz w:val="20"/>
          <w:szCs w:val="20"/>
          <w:color w:val="auto"/>
        </w:rPr>
      </w:pPr>
      <w:r>
        <w:rPr>
          <w:rFonts w:ascii="Arial" w:cs="Arial" w:eastAsia="Arial" w:hAnsi="Arial"/>
          <w:sz w:val="16"/>
          <w:szCs w:val="16"/>
          <w:color w:val="auto"/>
        </w:rPr>
        <w:t xml:space="preserve">Our executive headquarters are located at 20 Eastbourne Terrace, London, UK W2 6LG. Our website address is </w:t>
      </w:r>
      <w:r>
        <w:rPr>
          <w:rFonts w:ascii="Arial" w:cs="Arial" w:eastAsia="Arial" w:hAnsi="Arial"/>
          <w:sz w:val="16"/>
          <w:szCs w:val="16"/>
          <w:i w:val="1"/>
          <w:iCs w:val="1"/>
          <w:color w:val="auto"/>
        </w:rPr>
        <w:t>www.livanova.com.</w:t>
      </w:r>
      <w:r>
        <w:rPr>
          <w:rFonts w:ascii="Arial" w:cs="Arial" w:eastAsia="Arial" w:hAnsi="Arial"/>
          <w:sz w:val="16"/>
          <w:szCs w:val="16"/>
          <w:color w:val="auto"/>
        </w:rPr>
        <w:t xml:space="preserve"> We make available free of charge on or through our website our Proxy Statements on Schedule 14A, Annual Reports on Form 10-K, Quarterly Reports on Form 10-Q, Current Reports on Form 8-K, amendments to those reports filed or furnished pursuant to Section 13(a) or 15(d) of the Exchange Act, and reports relating to beneficial ownership of our securities filed or furnished pursuant to Section 16 of the Exchange Act, as soon as reasonably practicable after electronically filing such material with the SEC. Our website also contains the charters for each standing committee of our Board of Directors.</w:t>
      </w:r>
    </w:p>
    <w:p>
      <w:pPr>
        <w:spacing w:after="0" w:line="104"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We may from time to time provide important disclosures to investors by posting them in the Investor Relations section of our website, as allowed by SEC rules. Information on our website is not incorporated into this Annual Report on Form 10-K.</w:t>
      </w:r>
    </w:p>
    <w:p>
      <w:pPr>
        <w:spacing w:after="0" w:line="116" w:lineRule="exact"/>
        <w:rPr>
          <w:sz w:val="20"/>
          <w:szCs w:val="20"/>
          <w:color w:val="auto"/>
        </w:rPr>
      </w:pPr>
    </w:p>
    <w:p>
      <w:pPr>
        <w:ind w:right="2700" w:firstLine="162"/>
        <w:spacing w:after="0" w:line="277" w:lineRule="auto"/>
        <w:rPr>
          <w:sz w:val="20"/>
          <w:szCs w:val="20"/>
          <w:color w:val="auto"/>
        </w:rPr>
      </w:pPr>
      <w:r>
        <w:rPr>
          <w:rFonts w:ascii="Arial" w:cs="Arial" w:eastAsia="Arial" w:hAnsi="Arial"/>
          <w:sz w:val="18"/>
          <w:szCs w:val="18"/>
          <w:color w:val="auto"/>
        </w:rPr>
        <w:t>The SEC also maintains a website at www.sec.gov that contains reports, proxy statements and other information about SEC registrants, including LivaNova.</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125"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Our business and assets are subject to varying degrees of risk and uncertainty. An investor should carefully consider the risks described below, as well as other information contained in this Annual Report on Form 10-K and in our other filings with the SEC. Based on the information currently known to us, we believe the following information identifies the most significant risks affecting us, but the risks and uncertainties included below are not the only ones related to our businesses. Additional risks and uncertainties not presently known to us or that we currently believe to be immaterial may also adversely affect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medical device industry is highly competitive and we may be unable to compete effectively.</w:t>
      </w:r>
    </w:p>
    <w:p>
      <w:pPr>
        <w:spacing w:after="0" w:line="117"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We are in highly competitive markets characterized by increasingly complex products that are expensive to develop and manufacture with significant price competition. In the product lines in which we compete, we face a mixture of competitors ranging from large manufacturers with multiple business lines to small manufacturers that offer a limited selection of specialized products. Development by other companies of new or improved products, processes, or technologies, as discussed above, may make our products or proposed products less competitive. In addition, we face competition from providers of alternative medical therapies such as pharmaceutical companies. Competitive factors include:</w:t>
      </w:r>
    </w:p>
    <w:p>
      <w:pPr>
        <w:spacing w:after="0" w:line="80"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quality, reliability and performance;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technology;</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breadth of product lines and product services;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identify new market trends;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capacity to recruit engineers, scientists and other qualified employees; and</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reimbursement approval from governmental payors and private healthcare insurance providers.</w:t>
      </w:r>
    </w:p>
    <w:p>
      <w:pPr>
        <w:spacing w:after="0" w:line="117" w:lineRule="exact"/>
        <w:rPr>
          <w:sz w:val="20"/>
          <w:szCs w:val="20"/>
          <w:color w:val="auto"/>
        </w:rPr>
      </w:pPr>
    </w:p>
    <w:p>
      <w:pPr>
        <w:ind w:right="80" w:firstLine="162"/>
        <w:spacing w:after="0" w:line="254" w:lineRule="auto"/>
        <w:rPr>
          <w:sz w:val="20"/>
          <w:szCs w:val="20"/>
          <w:color w:val="auto"/>
        </w:rPr>
      </w:pPr>
      <w:r>
        <w:rPr>
          <w:rFonts w:ascii="Arial" w:cs="Arial" w:eastAsia="Arial" w:hAnsi="Arial"/>
          <w:sz w:val="18"/>
          <w:szCs w:val="18"/>
          <w:color w:val="auto"/>
        </w:rPr>
        <w:t>Shifts in industry market share can occur as a result of product issues, physician advisories, safety alerts, and publications about our products. The importance of product quality, product efficacy, and quality systems in the medical device industry cannot be overstated. In the current environment of managed care, consolidation among healthcare providers, increased competition, and declining reimbursement rates, we are increasingly required to compete on the basis of price. In order to continue to compete effectively, we must continue to create, invest in, or acquire advanced technology, incorporate this technology into our proprietary products, obtain regulatory approvals in a timely manner, and manufacture and successfully market our products. Additionally, we may experience design, manufacturing, marketing or other difficulties that could delay or prevent our development, introduction or marketing of new products or new versions of our existing products. As a result of such difficulties and delays, our development expenses may increase and, as a consequence, our results of operations could suffer.</w:t>
      </w: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66" w:right="259" w:bottom="1440" w:gutter="0" w:footer="0" w:header="0"/>
        </w:sectPr>
      </w:pPr>
    </w:p>
    <w:bookmarkStart w:id="14" w:name="page15"/>
    <w:bookmarkEnd w:id="14"/>
    <w:p>
      <w:pPr>
        <w:ind w:right="60"/>
        <w:spacing w:after="0" w:line="277" w:lineRule="auto"/>
        <w:rPr>
          <w:sz w:val="20"/>
          <w:szCs w:val="20"/>
          <w:color w:val="auto"/>
        </w:rPr>
      </w:pPr>
      <w:r>
        <w:rPr>
          <w:rFonts w:ascii="Arial" w:cs="Arial" w:eastAsia="Arial" w:hAnsi="Arial"/>
          <w:sz w:val="18"/>
          <w:szCs w:val="18"/>
          <w:b w:val="1"/>
          <w:bCs w:val="1"/>
          <w:i w:val="1"/>
          <w:iCs w:val="1"/>
          <w:color w:val="auto"/>
        </w:rPr>
        <w:t>Risks related to the reduction or interruption in supply and an inability to develop alternative sources for supply may adversely affect our manufacturing operations and related product sales.</w:t>
      </w:r>
    </w:p>
    <w:p>
      <w:pPr>
        <w:spacing w:after="0" w:line="62"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color w:val="auto"/>
        </w:rPr>
        <w:t>We maintain manufacturing operations in six countries located throughout the world and purchase many of the components and raw materials used in manufacturing these products from numerous suppliers in various countries. Any problem affecting a supplier (whether due to external or internal causes) could have a negative impact on us.</w:t>
      </w:r>
    </w:p>
    <w:p>
      <w:pPr>
        <w:spacing w:after="0" w:line="73"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In a few limited cases, specific components and raw materials are purchased from primary or main suppliers (or in some cases, a single supplier) for reasons related to quality assurance, cost-effectiveness ratio and availability. While we work closely with our suppliers to ensure supply continuity, we cannot guarantee that our efforts will always be successful. Moreover, due to strict standards and regulations governing the manufacture and marketing of our products, we may not be able to locate new supply sources quickly in response to a supply reduction or interruption, with negative effects on our ability to manufacture our products effectively and in a timely fashion.</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products are subject to costly and complex laws and governmental regulations, and failure to obtain product approvals or clearance may materially adversely affect our financial condition and business operations.</w:t>
      </w:r>
    </w:p>
    <w:p>
      <w:pPr>
        <w:spacing w:after="0" w:line="62"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Our medical devices and technologies, as well as our business activities, are subject to a complex set of regulations and rigorous enforcement, including by the FDA, U.S. Department of Justice, Health and Human Services - Office of the Inspector General, and numerous other federal, state, and non-U.S. governmental authorities. To varying degrees, each of these agencies requires us to comply with laws and regulations governing the development, testing, manufacturing, labeling, marketing and distribution of our products. As a part of the regulatory process of obtaining marketing clearance or approval for new products and new indications for existing products, we conduct and participate in numerous clinical trials with a variety of study designs, patient populations, and trial endpoints. Unfavorable or inconsistent clinical data from existing or future clinical trials or the market’s or FDA’s perception of this clinical data, may adversely impact our ability to obtain product approvals, our position in, and share of, the markets in which we participate, and our business, financial condition, results of operations and cash flows. Success in pre-clinical testing and early clinical studies does not always ensure that later clinical studies will be successful, and we cannot be sure that later studies will replicate the results of prior studies. Clinical studies must also be conducted in compliance with Good Clinical Practice requirements administered by the FDA and other non-U.S. regulatory authorities, and global regulatory bodies may undertake enforcement action against us based on a failure to adhere to these requirements. Any delay or termination of our clinical studies will delay the filing of product submissions and, ultimately, our ability to commercialize new products or product modifications. It is also possible that patients enrolled in clinical studies will experience adverse side effects that are not currently part of the product’s profile, which could inhibit further marketing and development of such products.</w:t>
      </w:r>
    </w:p>
    <w:p>
      <w:pPr>
        <w:spacing w:after="0" w:line="77" w:lineRule="exact"/>
        <w:rPr>
          <w:sz w:val="20"/>
          <w:szCs w:val="20"/>
          <w:color w:val="auto"/>
        </w:rPr>
      </w:pPr>
    </w:p>
    <w:p>
      <w:pPr>
        <w:ind w:right="200" w:firstLine="162"/>
        <w:spacing w:after="0" w:line="276" w:lineRule="auto"/>
        <w:rPr>
          <w:sz w:val="20"/>
          <w:szCs w:val="20"/>
          <w:color w:val="auto"/>
        </w:rPr>
      </w:pPr>
      <w:r>
        <w:rPr>
          <w:rFonts w:ascii="Arial" w:cs="Arial" w:eastAsia="Arial" w:hAnsi="Arial"/>
          <w:sz w:val="17"/>
          <w:szCs w:val="17"/>
          <w:color w:val="auto"/>
        </w:rPr>
        <w:t>We cannot guarantee that we will be able to obtain or maintain marketing clearance for our new products or enhancements or modifications to existing products, and the failure to maintain approvals or obtain approval or clearance could have a material adverse effect on our business, results of operations, financial condition and cash flows. Even if we are able to obtain approval or clearance, it may take a significant amount of time; require the expenditure of substantial resources; involve stringent clinical and pre-clinical testing, as well as increased post-market surveillance; and involve modifications, repairs or replacements of our products, or limit the proposed uses of our products.</w:t>
      </w:r>
    </w:p>
    <w:p>
      <w:pPr>
        <w:spacing w:after="0" w:line="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Modifications to our marketed products may require new clearances or approvals and may require us to cease marketing or recall the modified products until required clearances or approvals are obtained.</w:t>
      </w:r>
    </w:p>
    <w:p>
      <w:pPr>
        <w:spacing w:after="0" w:line="62" w:lineRule="exact"/>
        <w:rPr>
          <w:sz w:val="20"/>
          <w:szCs w:val="20"/>
          <w:color w:val="auto"/>
        </w:rPr>
      </w:pPr>
    </w:p>
    <w:p>
      <w:pPr>
        <w:ind w:right="160" w:firstLine="162"/>
        <w:spacing w:after="0" w:line="312" w:lineRule="auto"/>
        <w:rPr>
          <w:sz w:val="20"/>
          <w:szCs w:val="20"/>
          <w:color w:val="auto"/>
        </w:rPr>
      </w:pPr>
      <w:r>
        <w:rPr>
          <w:rFonts w:ascii="Arial" w:cs="Arial" w:eastAsia="Arial" w:hAnsi="Arial"/>
          <w:sz w:val="16"/>
          <w:szCs w:val="16"/>
          <w:color w:val="auto"/>
        </w:rPr>
        <w:t>An element of our strategy is to continue to upgrade our products, add new features and expand clearance or approval of our current products to new indications. We have made modifications to our products in the past and may make additional modifications in the future that we believe do not or will not require additional clearances or approvals. No assurance can be given that regulators will agree with any of our decisions not to seek clearance or approval.</w:t>
      </w:r>
    </w:p>
    <w:p>
      <w:pPr>
        <w:spacing w:after="0" w:line="39"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If regulators require us to cease marketing and to recall a modified device until we obtain a new clearance or approval, our business, financial condition, operating results and future growth prospects could be materially adversely affected. Any recall requirement that we seek additional clearances or approvals could result in significant delays, fines, increased costs associated with modification of a product, loss of revenue, reputational damage and potential operating restrictions imposed by regulators.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product-related government regulations may materially adversely affect our financial condition and business operations.</w:t>
      </w:r>
    </w:p>
    <w:p>
      <w:pPr>
        <w:spacing w:after="0" w:line="140"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Both before and after a product is commercially released, we have ongoing responsibilities under FDA and other applicable non-U.S. government agency regulations. For instance, many of our facilities and procedures and those of our suppliers are also subject to periodic inspections by the FDA to determine compliance with applicable regulations. The results of these inspections can include inspectional observations on FDA’s Form-483, warning letters, or other forms of enforcement. If the</w:t>
      </w: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665" w:right="299" w:bottom="1440" w:gutter="0" w:footer="0" w:header="0"/>
        </w:sectPr>
      </w:pPr>
    </w:p>
    <w:bookmarkStart w:id="15" w:name="page16"/>
    <w:bookmarkEnd w:id="15"/>
    <w:p>
      <w:pPr>
        <w:ind w:right="20"/>
        <w:spacing w:after="0" w:line="270" w:lineRule="auto"/>
        <w:rPr>
          <w:sz w:val="20"/>
          <w:szCs w:val="20"/>
          <w:color w:val="auto"/>
        </w:rPr>
      </w:pPr>
      <w:r>
        <w:rPr>
          <w:rFonts w:ascii="Arial" w:cs="Arial" w:eastAsia="Arial" w:hAnsi="Arial"/>
          <w:sz w:val="17"/>
          <w:szCs w:val="17"/>
          <w:color w:val="auto"/>
        </w:rPr>
        <w:t>FDA were to conclude that we are not in compliance with applicable laws or regulations, or that any of our medical products are ineffective or pose an unreasonable health risk, the FDA could ban such medical products, detain or seize adulterated or misbranded medical products, order a recall, repair, replacement, or refund of such products, refuse to grant pending PMA applications or require certificates of non-U.S. governments for exports, and/or require us to notify health professionals and others that the devices present unreasonable risks of substantial harm to the public health. The FDA and other non-U.S. government agencies may also assess civil or criminal penalties against us, our officers or employees and impose operating restrictions on a company-wide basis. The FDA may also recommend prosecution to the U.S. Department of Justice. Any adverse regulatory action, depending on its magnitude, may restrict us from effectively marketing and selling our products and limit our ability to obtain future pre-market clearances or PMAs, and could result in a substantial modification to our business practices and operations. These potential consequences, as well as any adverse outcome from government investigations, could have a material adverse effect on our business, results of operations, financial condition, and cash flows.</w:t>
      </w:r>
    </w:p>
    <w:p>
      <w:pPr>
        <w:spacing w:after="0" w:line="74"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In addition, in the U.S., device manufacturers are prohibited from promoting their products other than for the uses and indications set forth in the approved product labeling, and any failure to comply could subject us to significant civil or criminal exposure, administrative obligations and costs, and/or other potential penalties from, and/or agreements with, the federal government.</w:t>
      </w:r>
    </w:p>
    <w:p>
      <w:pPr>
        <w:spacing w:after="0" w:line="73" w:lineRule="exact"/>
        <w:rPr>
          <w:sz w:val="20"/>
          <w:szCs w:val="20"/>
          <w:color w:val="auto"/>
        </w:rPr>
      </w:pPr>
    </w:p>
    <w:p>
      <w:pPr>
        <w:jc w:val="both"/>
        <w:ind w:right="280" w:firstLine="162"/>
        <w:spacing w:after="0" w:line="259" w:lineRule="auto"/>
        <w:rPr>
          <w:sz w:val="20"/>
          <w:szCs w:val="20"/>
          <w:color w:val="auto"/>
        </w:rPr>
      </w:pPr>
      <w:r>
        <w:rPr>
          <w:rFonts w:ascii="Arial" w:cs="Arial" w:eastAsia="Arial" w:hAnsi="Arial"/>
          <w:sz w:val="18"/>
          <w:szCs w:val="18"/>
          <w:color w:val="auto"/>
        </w:rPr>
        <w:t>Governmental regulations outside the U.S. have, and may continue to, become increasingly stringent and common. In the EU, for example, Reg MDR, when it enters into full force in 2020, will include significant additional premarket and post-market requirements. Penalties for regulatory non-compliance could be severe, including fines and revocation or suspension of a company’s business license, mandatory price reductions and criminal sanctions. Future laws and regulations may also have a material adverse effect on us.</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our marketed medical devices are defective or otherwise pose safety risks, the FDA and similar non-U.S. governmental authorities could require their recall or initiate an enforcement action, or we may initiate a recall of our products voluntarily.</w:t>
      </w:r>
    </w:p>
    <w:p>
      <w:pPr>
        <w:spacing w:after="0" w:line="62"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The FDA and similar non-U.S. governmental authorities may require the recall of commercialized products in the event of material deficiencies or defects in design or manufacture or in the event that a product poses an unacceptable risk to health. Manufacturers, on their own initiative, may recall a product with a material deficiency. We have initiated voluntary product recalls in the past. A future recall announcement could harm our reputation with customers and negatively affect our revenue.</w:t>
      </w:r>
    </w:p>
    <w:p>
      <w:pPr>
        <w:spacing w:after="0" w:line="79" w:lineRule="exact"/>
        <w:rPr>
          <w:sz w:val="20"/>
          <w:szCs w:val="20"/>
          <w:color w:val="auto"/>
        </w:rPr>
      </w:pPr>
    </w:p>
    <w:p>
      <w:pPr>
        <w:ind w:right="20" w:firstLine="162"/>
        <w:spacing w:after="0" w:line="272" w:lineRule="auto"/>
        <w:rPr>
          <w:sz w:val="20"/>
          <w:szCs w:val="20"/>
          <w:color w:val="auto"/>
        </w:rPr>
      </w:pPr>
      <w:r>
        <w:rPr>
          <w:rFonts w:ascii="Arial" w:cs="Arial" w:eastAsia="Arial" w:hAnsi="Arial"/>
          <w:sz w:val="17"/>
          <w:szCs w:val="17"/>
          <w:color w:val="auto"/>
        </w:rPr>
        <w:t>A government-mandated recall or voluntary recall by us or one of our sales agencies could occur as a result of an unacceptable risk to health, component failures, manufacturing errors, design or labeling defects or other deficiencies or issues. Recalls of any of our products would divert managerial and financial resources and have an adverse effect on our financial condition and operating results. Any recall could impair our ability to produce our products in a cost-effective and timely manner. We also may be required to bear other costs or take other actions that may have a negative impact on our future revenue and our ability to generate profits. In the future, we may initiate voluntary withdrawal, removal or repair actions that we determine do not require notification as a recall. If the regulating authority disagrees with our determinations, it could require us to report those actions as recalls. In addition, if we conduct a recall but fail to report it, we could be subject to enforcement action.</w:t>
      </w:r>
    </w:p>
    <w:p>
      <w:pPr>
        <w:spacing w:after="0" w:line="70"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In addition, depending on the corrective action we take to redress a device’s deficiencies or defects, the regulators may require, or we may decide, that we need to obtain new approvals or clearances for the device before we market or distribute the corrected device. Seeking such approvals or clearances may delay our ability to replace the recalled devices in a timely manner. Any corrective action, whether voluntary or involuntary, or litigation, will require the dedication of our time and capital, distract management from operating the business, and may harm our reputation and financial results.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As a manufacturer of medical devices, we will continue to be exposed to product liability claims that could adversely affect our consolidated financial condition and tarnish our reputation.</w:t>
      </w:r>
    </w:p>
    <w:p>
      <w:pPr>
        <w:spacing w:after="0" w:line="62"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Our business exposes us to potential product liability risks that are inherent in the design, manufacture and marketing of medical devices. In addition, many of the medical devices we manufacture and sell are designed to be implanted in the human body for long periods of time. Component failures, manufacturing defects, design flaws or inadequate disclosure of product-related risks or product-related information with respect to these or other products we manufacture or sell could result in an unsafe condition or injury to, or death of, a patient. The occurrence of such an event could result in product liability claims or a recall of, or safety alert relating to, one or more of our products. We have elected to self-insure with respect to a significant portion of our product liability risks and also hold global insurance policies to cover a portion of future potential losses. Product</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665" w:right="279" w:bottom="1440" w:gutter="0" w:footer="0" w:header="0"/>
        </w:sectPr>
      </w:pPr>
    </w:p>
    <w:bookmarkStart w:id="16" w:name="page17"/>
    <w:bookmarkEnd w:id="16"/>
    <w:p>
      <w:pPr>
        <w:ind w:right="180"/>
        <w:spacing w:after="0" w:line="259" w:lineRule="auto"/>
        <w:rPr>
          <w:sz w:val="20"/>
          <w:szCs w:val="20"/>
          <w:color w:val="auto"/>
        </w:rPr>
      </w:pPr>
      <w:r>
        <w:rPr>
          <w:rFonts w:ascii="Arial" w:cs="Arial" w:eastAsia="Arial" w:hAnsi="Arial"/>
          <w:sz w:val="18"/>
          <w:szCs w:val="18"/>
          <w:color w:val="auto"/>
        </w:rPr>
        <w:t>liability claims or product recalls in the future, regardless of their ultimate outcome, could have a material adverse effect on our business and reputation and on our ability to attract and retain customers for our products, and losses from product liability claims in the future could exceed our product liability insurance coverage and lead to a material adverse effect on our financial condition. In addition, future unanticipated large liability claims may raise substantial doubt about our ability to continue as a going concern.</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currently involved in litigation that could adversely affect our business and financial results, divert management’s attention from our business, and subject us to significant liabilities.</w:t>
      </w:r>
    </w:p>
    <w:p>
      <w:pPr>
        <w:spacing w:after="0" w:line="62"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As described under “Note 14. Commitments and Contingencies” in our consolidated financial statements included in this Annual Report on Form 10-K, we are involved in various litigation matters that may adversely affect our financial condition and may require us to devote significant resources to our defense of these claims.</w:t>
      </w:r>
    </w:p>
    <w:p>
      <w:pPr>
        <w:spacing w:after="0" w:line="73"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Such litigation includes a federal multi-district litigation in the U.S. District Court for the Middle District of Pennsylvania and cases in various state courts and jurisdictions outside the U.S. relating to our 3T Heater-Cooler product. As of March 2, 2020, we are aware of approximately 95 filed and unfiled claims worldwide, with the majority of the claims filed in various federal or state courts throughout the U.S. The number includes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misrepresentation/concealment, unjust enrichment and violations of various state consumer protection statutes. In the fourth quarter of the year ended December 31, 2018, we recognized a $294.1 million litigation provision and in the fourth quarter of the year ended December 31, 2019 we recognized an additional $33.2 million litigation provision related to these claims. Although we are defending these matters vigorously, we cannot predict the outcome or effect of any claim or other litigation matter.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healthcare policy changes and tightening of reimbursement for products may have a material adverse effect on us.</w:t>
      </w:r>
    </w:p>
    <w:p>
      <w:pPr>
        <w:spacing w:after="0" w:line="117"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In response to increases in healthcare costs, there have been and continue to be proposals by governments, regulators and third-party payors to control these costs. These proposals have resulted in efforts to enact healthcare system reforms that may lead to pricing restrictions, limits on the amounts of reimbursement available for our products and could limit the acceptance and use of our products. The adoption of some or all of these proposals could have a material adverse effect on our financial position and results of operations.</w:t>
      </w:r>
    </w:p>
    <w:p>
      <w:pPr>
        <w:spacing w:after="0" w:line="79"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color w:val="auto"/>
        </w:rPr>
        <w:t>Our ability to commercialize our products is dependent, in large part, on whether third-party payors, including private healthcare insurers, managed care plans, governmental programs and others agree to cover the costs and services associated with our products and related procedures in the U.S. and internationally.</w:t>
      </w:r>
    </w:p>
    <w:p>
      <w:pPr>
        <w:spacing w:after="0" w:line="73"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Our products are purchased principally by healthcare providers that typically bill various third-party payors, such as governmental programs (e.g., Medicare and Medicaid in the U.S.) and private insurance plans for the healthcare services provided to their patients. The availability of adequate reimbursement affects the decision as to which procedures are performed, which products are purchased and what prices customers are willing to pay. After we develop a promising new product, we may find limited demand for the product if reimbursement approval is not obtained from private and governmental third-party payors. In addition, periodic changes to reimbursement methodologies could have an adverse impact on our business.</w:t>
      </w:r>
    </w:p>
    <w:p>
      <w:pPr>
        <w:spacing w:after="0" w:line="64"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Our failure to comply with rules relating to reimbursement of healthcare goods and services, healthcare fraud and abuse, false claims and other applicable laws or regulations may subject us to penalties and adversely impact our reputation and business operations.</w:t>
      </w:r>
    </w:p>
    <w:p>
      <w:pPr>
        <w:spacing w:after="0" w:line="16" w:lineRule="exact"/>
        <w:rPr>
          <w:sz w:val="20"/>
          <w:szCs w:val="20"/>
          <w:color w:val="auto"/>
        </w:rPr>
      </w:pPr>
    </w:p>
    <w:p>
      <w:pPr>
        <w:ind w:right="40" w:firstLine="162"/>
        <w:spacing w:after="0" w:line="286" w:lineRule="auto"/>
        <w:rPr>
          <w:sz w:val="20"/>
          <w:szCs w:val="20"/>
          <w:color w:val="auto"/>
        </w:rPr>
      </w:pPr>
      <w:r>
        <w:rPr>
          <w:rFonts w:ascii="Arial" w:cs="Arial" w:eastAsia="Arial" w:hAnsi="Arial"/>
          <w:sz w:val="17"/>
          <w:szCs w:val="17"/>
          <w:color w:val="auto"/>
        </w:rPr>
        <w:t>Our devices and therapies are subject to regulation by various governmental agencies worldwide responsible for coverage, reimbursement and regulation of healthcare goods and services, including laws and regulations related to kickbacks, false claims, self-referrals and health care fraud. Any failure to comply with these laws and regulations could subject us or our officers and employees to criminal and civil financial penalties.</w:t>
      </w:r>
    </w:p>
    <w:p>
      <w:pPr>
        <w:spacing w:after="0" w:line="57" w:lineRule="exact"/>
        <w:rPr>
          <w:sz w:val="20"/>
          <w:szCs w:val="20"/>
          <w:color w:val="auto"/>
        </w:rPr>
      </w:pPr>
    </w:p>
    <w:p>
      <w:pPr>
        <w:ind w:right="120" w:firstLine="162"/>
        <w:spacing w:after="0" w:line="276" w:lineRule="auto"/>
        <w:rPr>
          <w:sz w:val="20"/>
          <w:szCs w:val="20"/>
          <w:color w:val="auto"/>
        </w:rPr>
      </w:pPr>
      <w:r>
        <w:rPr>
          <w:rFonts w:ascii="Arial" w:cs="Arial" w:eastAsia="Arial" w:hAnsi="Arial"/>
          <w:sz w:val="17"/>
          <w:szCs w:val="17"/>
          <w:color w:val="auto"/>
        </w:rPr>
        <w:t>The risk of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surgeons and other healthcare providers, some of whom recommend, purchase and/or prescribe our devices, group purchasing organizations and our independent sales agents and distributors, could be subject to challenge under one or more of such laws.</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65"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i w:val="1"/>
          <w:iCs w:val="1"/>
          <w:color w:val="auto"/>
        </w:rPr>
        <w:t>Patient confidentiality and federal and state privacy and security laws and regulations may adversely impact our financial position and reputation.</w:t>
      </w:r>
    </w:p>
    <w:p>
      <w:pPr>
        <w:spacing w:after="0" w:line="140" w:lineRule="exact"/>
        <w:rPr>
          <w:sz w:val="20"/>
          <w:szCs w:val="20"/>
          <w:color w:val="auto"/>
        </w:rPr>
      </w:pPr>
    </w:p>
    <w:p>
      <w:pPr>
        <w:ind w:right="40" w:firstLine="162"/>
        <w:spacing w:after="0" w:line="273" w:lineRule="auto"/>
        <w:rPr>
          <w:sz w:val="20"/>
          <w:szCs w:val="20"/>
          <w:color w:val="auto"/>
        </w:rPr>
      </w:pPr>
      <w:r>
        <w:rPr>
          <w:rFonts w:ascii="Arial" w:cs="Arial" w:eastAsia="Arial" w:hAnsi="Arial"/>
          <w:sz w:val="17"/>
          <w:szCs w:val="17"/>
          <w:color w:val="auto"/>
        </w:rPr>
        <w:t>HIPAA establishes federal rules protecting the privacy and security of personal health information in the U.S. In addition to HIPAA, virtually every U.S. state has enacted laws to safeguard privacy, and these laws vary significantly from state to state and change frequently. The privacy and security rules address the use and disclosure of individual healthcare information and the rights of patients to understand and control how such information is used and disclosed. The operation of our business involves the collection and use of substantial amounts of “protected health information.” If we fail to comply with the applicable regulations, we could suffer civil penalties up to or exceeding $50,000 per violation, with a maximum of $1.5 million for multiple violations of an identical requirement during a calendar year and criminal penalties with fines up to $250,000 and potential imprisonment.</w:t>
      </w:r>
    </w:p>
    <w:p>
      <w:pPr>
        <w:spacing w:after="0" w:line="70"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Similarly, the EU’s GDPR protects the privacy and security of “personally identifiable information” and personal health information relating to individuals within the EU and, like HIPAA, GDPR addresses the use and disclosure of individual healthcare information and the rights of patients to understand and control how such information is used and disclosed. It subjects us to a rigorous proactive compliance scheme, and if we fail to comply with the GDPR, we could be sued for compensation by individuals who have suffered material or non-material damage and could suffer administrative fines up to the higher of €20.0 million (approximately $22.4 million), or 4% of the total worldwide annual revenue of the group in the previous financial year. We may also be subject to criminal sanctions.</w:t>
      </w:r>
    </w:p>
    <w:p>
      <w:pPr>
        <w:spacing w:after="0" w:line="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Cyber-attacks or other disruptions to our information technology systems could lead to reduced revenue, increased costs, liability claims, fines, harm to our competitive position and loss of reputation.</w:t>
      </w:r>
    </w:p>
    <w:p>
      <w:pPr>
        <w:spacing w:after="0" w:line="62" w:lineRule="exact"/>
        <w:rPr>
          <w:sz w:val="20"/>
          <w:szCs w:val="20"/>
          <w:color w:val="auto"/>
        </w:rPr>
      </w:pPr>
    </w:p>
    <w:p>
      <w:pPr>
        <w:ind w:firstLine="162"/>
        <w:spacing w:after="0" w:line="269" w:lineRule="auto"/>
        <w:rPr>
          <w:sz w:val="20"/>
          <w:szCs w:val="20"/>
          <w:color w:val="auto"/>
        </w:rPr>
      </w:pPr>
      <w:r>
        <w:rPr>
          <w:rFonts w:ascii="Arial" w:cs="Arial" w:eastAsia="Arial" w:hAnsi="Arial"/>
          <w:sz w:val="17"/>
          <w:szCs w:val="17"/>
          <w:color w:val="auto"/>
        </w:rPr>
        <w:t>We are increasingly dependent on our own sophisticated information technology systems and those of third parties to operate our business, and certain products of ours include integrated software and information technology. We rely on information technology systems to collect and process customer orders, manage product manufacturing and shipping and support regulatory compliance, and we routinely process, store and transmit large amounts of data, including sensitive personal information, protected health information and confidential business information. Many of our products incorporate software and information technology that allow patients and physicians to be connected and collect data regarding a patient and the therapy he or she is receiving, or that otherwise allow the products or services to operate as intended. The secure processing, maintenance and transmission of this information is critical to our operations but the size and complexity of our products and the information technology systems on which we rely make them vulnerable to cyber-attacks, breakdown, interruptions, destruction, loss or compromise of data, obsolescence or incompatibility among systems or other significant disruptions. Unauthorized persons routinely attempt to access our products or systems in order to disrupt, disable or degrade such products or services, to obtain proprietary or confidential information, or to remotely disrupt or access the systems of large health care providers by exploiting our products or systems. Any such breach could compromise our networks and the information stored there could be accessed, publicly disclosed, lost or stolen. The negative publicity resulting from such disruptions could significantly impact our reputation and stock price.</w:t>
      </w:r>
    </w:p>
    <w:p>
      <w:pPr>
        <w:spacing w:after="0" w:line="72" w:lineRule="exact"/>
        <w:rPr>
          <w:sz w:val="20"/>
          <w:szCs w:val="20"/>
          <w:color w:val="auto"/>
        </w:rPr>
      </w:pPr>
    </w:p>
    <w:p>
      <w:pPr>
        <w:ind w:right="220" w:firstLine="162"/>
        <w:spacing w:after="0" w:line="291" w:lineRule="auto"/>
        <w:rPr>
          <w:sz w:val="20"/>
          <w:szCs w:val="20"/>
          <w:color w:val="auto"/>
        </w:rPr>
      </w:pPr>
      <w:r>
        <w:rPr>
          <w:rFonts w:ascii="Arial" w:cs="Arial" w:eastAsia="Arial" w:hAnsi="Arial"/>
          <w:sz w:val="16"/>
          <w:szCs w:val="16"/>
          <w:color w:val="auto"/>
        </w:rPr>
        <w:t>In addition, we continue to grow, in part, through new business acquisitions. As a result of acquisitions, we may face risks due to implementation, modification, or remediation of controls, procedures and policies relating to data privacy and cybersecurity at the acquired company. We continue to consolidate and over time integrate the number of systems we operate, and to upgrade and expand our information system capabilities for stable and secure business operations. There can be no assurance that our process of consolidating, protecting, upgrading and expanding our systems and capabilities, continuing to build security into the design of our products, and developing new systems to keep pace with continuing changes in information processing technology will be successful or that additional systems issues will not arise in the future. Any significant breakdown, intrusion, interruption, corruption or destruction of these systems, as well as any data breaches, could have a material adverse effect on our business.</w:t>
      </w:r>
    </w:p>
    <w:p>
      <w:pPr>
        <w:spacing w:after="0" w:line="59" w:lineRule="exact"/>
        <w:rPr>
          <w:sz w:val="20"/>
          <w:szCs w:val="20"/>
          <w:color w:val="auto"/>
        </w:rPr>
      </w:pPr>
    </w:p>
    <w:p>
      <w:pPr>
        <w:ind w:right="40" w:firstLine="162"/>
        <w:spacing w:after="0" w:line="271" w:lineRule="auto"/>
        <w:rPr>
          <w:sz w:val="20"/>
          <w:szCs w:val="20"/>
          <w:color w:val="auto"/>
        </w:rPr>
      </w:pPr>
      <w:r>
        <w:rPr>
          <w:rFonts w:ascii="Arial" w:cs="Arial" w:eastAsia="Arial" w:hAnsi="Arial"/>
          <w:sz w:val="17"/>
          <w:szCs w:val="17"/>
          <w:color w:val="auto"/>
        </w:rPr>
        <w:t>If we are unable to maintain secure, reliable information technology systems and prevent disruptions, outages, or data breaches, we may suffer legal and regulatory consequences in addition to business consequences. Our worldwide operations mean that we are subject to laws and regulations, including data protection and cyber-security laws and regulations, in many jurisdictions. For example, if we are in breach of the GDPR’s or CCPA’s requirement that we ensure a level of security, both in terms of technology and other organizational measures, appropriate to the risk that the confidentiality, integrity or availability of personally identifiable data is compromised, we could be subject to fines and enforcement actions. Despite programs to comply with such laws and regulations, there is no guarantee that we will avoid enforcement actions by governmental bodies. Enforcement actions may be costly and interrupt regular operations of our business. In addition, there is a trend of civil lawsuits and class actions relating to breaches of consumer data or other cyber-attacks pursuant to laws such as CCPA. While we have</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665" w:right="25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not been named in any such lawsuits, if a breach or loss of data occurs, we could become a target of civil litigation or government enforcement actions.</w:t>
      </w:r>
    </w:p>
    <w:p>
      <w:pPr>
        <w:spacing w:after="0" w:line="1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Quality problems with our processes, goods, and services could harm our reputation for producing high-quality products and erode our competitive advantage, sales, and market share.</w:t>
      </w:r>
    </w:p>
    <w:p>
      <w:pPr>
        <w:spacing w:after="0" w:line="62"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Quality is extremely important to us and our customers due to the serious and costly consequences of product failure. Our quality certifications are critical to the marketing success of our goods and services. If we fail to meet these standards, our reputation could be damaged, we could lose customers, and our revenue and results of operations could decline. Aside from specific customer standards, our success depends generally on our ability to manufacture precision-engineered components, sub-assemblies, and finished products to exact tolerances and from multiple materials. If our components fail to meet these standards or fail to adapt to evolving standards, our reputation as a manufacturer of high-quality components will be harmed, our competitive advantage could be damaged, and we could lose customers and market share.</w:t>
      </w:r>
    </w:p>
    <w:p>
      <w:pPr>
        <w:spacing w:after="0" w:line="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R&amp;D efforts rely on investments and investment collaborations, and we cannot guarantee that any previous or future investments or investment collaborations will be successful.</w:t>
      </w:r>
    </w:p>
    <w:p>
      <w:pPr>
        <w:spacing w:after="0" w:line="62" w:lineRule="exact"/>
        <w:rPr>
          <w:sz w:val="20"/>
          <w:szCs w:val="20"/>
          <w:color w:val="auto"/>
        </w:rPr>
      </w:pPr>
    </w:p>
    <w:p>
      <w:pPr>
        <w:ind w:firstLine="162"/>
        <w:spacing w:after="0" w:line="279" w:lineRule="auto"/>
        <w:rPr>
          <w:sz w:val="20"/>
          <w:szCs w:val="20"/>
          <w:color w:val="auto"/>
        </w:rPr>
      </w:pPr>
      <w:r>
        <w:rPr>
          <w:rFonts w:ascii="Arial" w:cs="Arial" w:eastAsia="Arial" w:hAnsi="Arial"/>
          <w:sz w:val="17"/>
          <w:szCs w:val="17"/>
          <w:color w:val="auto"/>
        </w:rPr>
        <w:t>Our strategy to provide a broad range of therapies to restore patients to fuller, healthier lives requires a wide variety of technologies, products and capabilities. The rapid pace of technological development in the medical industry and the specialized expertise required in different areas of medicine make it difficult for one company alone to develop a broad portfolio of technological solutions. As a result, we also rely on investments and investment collaborations to provide us access to new technologies both in areas served by our existing or legacy businesses as well as in new areas.</w:t>
      </w:r>
    </w:p>
    <w:p>
      <w:pPr>
        <w:spacing w:after="0" w:line="63"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We expect to make future investments where we believe that we can stimulate the development of, or acquire new technologies and products to further our strategic objectives and strengthen our existing businesses. Investments and investment collaborations in and with medical technology companies are inherently risky, and we cannot guarantee that any of our previous or future investments or investment collaborations will be successful or will not materially adversely affect our consolidated earnings, financial condition or cash flows.</w:t>
      </w:r>
    </w:p>
    <w:p>
      <w:pPr>
        <w:spacing w:after="0" w:line="79"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b w:val="1"/>
          <w:bCs w:val="1"/>
          <w:i w:val="1"/>
          <w:iCs w:val="1"/>
          <w:color w:val="auto"/>
        </w:rPr>
        <w:t>We are substantially dependent on patent and other proprietary rights and failing to protect such rights or to be successful in litigation related to our rights or the rights of others may result in our payment of significant monetary damages and/or royalty payments, negatively impact our ability to sell current or future products, or prohibit us from enforcing our patent and other proprietary rights against others.</w:t>
      </w:r>
    </w:p>
    <w:p>
      <w:pPr>
        <w:spacing w:after="0" w:line="39" w:lineRule="exact"/>
        <w:rPr>
          <w:sz w:val="20"/>
          <w:szCs w:val="20"/>
          <w:color w:val="auto"/>
        </w:rPr>
      </w:pPr>
    </w:p>
    <w:p>
      <w:pPr>
        <w:ind w:right="80" w:firstLine="162"/>
        <w:spacing w:after="0" w:line="272" w:lineRule="auto"/>
        <w:rPr>
          <w:sz w:val="20"/>
          <w:szCs w:val="20"/>
          <w:color w:val="auto"/>
        </w:rPr>
      </w:pPr>
      <w:r>
        <w:rPr>
          <w:rFonts w:ascii="Arial" w:cs="Arial" w:eastAsia="Arial" w:hAnsi="Arial"/>
          <w:sz w:val="17"/>
          <w:szCs w:val="17"/>
          <w:color w:val="auto"/>
        </w:rPr>
        <w:t>We rely on a combination of patents, trade secrets, and non-disclosure and non-competition agreements to protect our proprietary intellectual property, and we will continue to do so. Physician customers have historically moved quickly to new products and new technologies, and intellectual property rights, particularly patents and trade secrets, play a significant role in product development and differentiation. We operate in an industry characterized by extensive patent litigation, and intellectual property litigation is inherently complex and unpredictable. Patent litigation can result in significant damage awards and injunctions that could prevent our manufacture and sale of affected products or require us to pay significant royalties in order to continue to manufacture or sell affected products. While we intend to defend against any threats to our intellectual property, these patents, trade secrets, or other agreements may not adequately protect our intellectual property.</w:t>
      </w:r>
    </w:p>
    <w:p>
      <w:pPr>
        <w:spacing w:after="0" w:line="70" w:lineRule="exact"/>
        <w:rPr>
          <w:sz w:val="20"/>
          <w:szCs w:val="20"/>
          <w:color w:val="auto"/>
        </w:rPr>
      </w:pPr>
    </w:p>
    <w:p>
      <w:pPr>
        <w:ind w:right="40" w:firstLine="162"/>
        <w:spacing w:after="0" w:line="272" w:lineRule="auto"/>
        <w:rPr>
          <w:sz w:val="20"/>
          <w:szCs w:val="20"/>
          <w:color w:val="auto"/>
        </w:rPr>
      </w:pPr>
      <w:r>
        <w:rPr>
          <w:rFonts w:ascii="Arial" w:cs="Arial" w:eastAsia="Arial" w:hAnsi="Arial"/>
          <w:sz w:val="17"/>
          <w:szCs w:val="17"/>
          <w:color w:val="auto"/>
        </w:rPr>
        <w:t>Further, pending patent applications may not result in patents being issued to us. Patents issued to or licensed by us in the past or in the future may be challenged or circumvented by competitors and such patents may be found invalid, unenforceable or insufficiently broad to protect our technology and may limit our competitive advantage. Third parties could obtain patents that may require us to negotiate licenses to conduct our business, and the required licenses may not be available on reasonable terms or at all. We also rely on non-disclosure and non-competition agreements with certain employees, consultants and other parties to protect, in part, trade secrets and other proprietary rights. We cannot be certain that these agreements will not be breached, that we will have adequate remedies for any breach, that others will not independently develop substantially equivalent proprietary information, or that third parties will not otherwise gain access to our trade secrets or proprietary knowledge.</w:t>
      </w:r>
    </w:p>
    <w:p>
      <w:pPr>
        <w:spacing w:after="0" w:line="70" w:lineRule="exact"/>
        <w:rPr>
          <w:sz w:val="20"/>
          <w:szCs w:val="20"/>
          <w:color w:val="auto"/>
        </w:rPr>
      </w:pPr>
    </w:p>
    <w:p>
      <w:pPr>
        <w:ind w:right="220" w:firstLine="162"/>
        <w:spacing w:after="0" w:line="286" w:lineRule="auto"/>
        <w:rPr>
          <w:sz w:val="20"/>
          <w:szCs w:val="20"/>
          <w:color w:val="auto"/>
        </w:rPr>
      </w:pPr>
      <w:r>
        <w:rPr>
          <w:rFonts w:ascii="Arial" w:cs="Arial" w:eastAsia="Arial" w:hAnsi="Arial"/>
          <w:sz w:val="17"/>
          <w:szCs w:val="17"/>
          <w:color w:val="auto"/>
        </w:rPr>
        <w:t>The laws and intellectual property systems of certain countries in which we market some of our products do not protect our intellectual property rights to the same extent as in the U.S., which may impact our market position in those countries. If we are unable to protect our intellectual property in those countries, it could have a material adverse effect on our business, financial condition, cash flows and reputation.</w:t>
      </w: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65"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We may experience volatility in the trading price of our shares due to fluctuations in our quarterly operating results or other factors.</w:t>
      </w:r>
    </w:p>
    <w:p>
      <w:pPr>
        <w:spacing w:after="0" w:line="117"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 xml:space="preserve">We experienced volatility in the trading price of our shares during 2019, including following the pre-release of our earnings for the first quarter thereof. In the future, our operating results may vary significantly from quarter to quarter due to many factors, including factors beyond our control, which may cause further volatility in the trading price of our shares. A number of other factors may also cause future volatility in our stock price, including the items discussed in this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environmental laws and regulations and the risk of environmental liabilities, violations and litigation in multiple jurisdictions.</w:t>
      </w:r>
    </w:p>
    <w:p>
      <w:pPr>
        <w:spacing w:after="0" w:line="140" w:lineRule="exact"/>
        <w:rPr>
          <w:sz w:val="20"/>
          <w:szCs w:val="20"/>
          <w:color w:val="auto"/>
        </w:rPr>
      </w:pPr>
    </w:p>
    <w:p>
      <w:pPr>
        <w:ind w:right="40" w:firstLine="162"/>
        <w:spacing w:after="0" w:line="289" w:lineRule="auto"/>
        <w:rPr>
          <w:sz w:val="20"/>
          <w:szCs w:val="20"/>
          <w:color w:val="auto"/>
        </w:rPr>
      </w:pPr>
      <w:r>
        <w:rPr>
          <w:rFonts w:ascii="Arial" w:cs="Arial" w:eastAsia="Arial" w:hAnsi="Arial"/>
          <w:sz w:val="16"/>
          <w:szCs w:val="16"/>
          <w:color w:val="auto"/>
        </w:rPr>
        <w:t>Our operations involve the use of substances regulated under environmental laws, primarily those used in manufacturing and sterilization processes in the various jurisdictions where we operate. Certain environmental laws assess liability on current, prior and/or related owners or operators of real property for the costs or investigation, removal or remediation of hazardous substance at their properties or at properties on which they have disposed of hazardous substances. In addition, a governmental authority may seek to hold us liable for successor liability violations committed by any companies in which we invest or that we acquire. In addition to cleanup actions brought by governmental authorities, private parties could bring personal injury or other claims due to the presence of, or exposure to, hazardous substances. The ultimate cost of site cleanup and timing or future cash outflows is difficult to predict, given the uncertainties regarding the extent of the required cleanup and the interpretation of applicable laws and regulations. The costs of complying with current or future environmental protection and health and safety laws and regulations, or liabilities arising from past or future releases of, or exposures to, hazardous substances, may exceed our estimates, or have a material adverse effect on our business, results of operations, financial condition and cash flows.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conducting business internationally.</w:t>
      </w:r>
    </w:p>
    <w:p>
      <w:pPr>
        <w:spacing w:after="0" w:line="117" w:lineRule="exact"/>
        <w:rPr>
          <w:sz w:val="20"/>
          <w:szCs w:val="20"/>
          <w:color w:val="auto"/>
        </w:rPr>
      </w:pPr>
    </w:p>
    <w:p>
      <w:pPr>
        <w:ind w:right="80" w:firstLine="162"/>
        <w:spacing w:after="0" w:line="279" w:lineRule="auto"/>
        <w:rPr>
          <w:sz w:val="20"/>
          <w:szCs w:val="20"/>
          <w:color w:val="auto"/>
        </w:rPr>
      </w:pPr>
      <w:r>
        <w:rPr>
          <w:rFonts w:ascii="Arial" w:cs="Arial" w:eastAsia="Arial" w:hAnsi="Arial"/>
          <w:sz w:val="17"/>
          <w:szCs w:val="17"/>
          <w:color w:val="auto"/>
        </w:rPr>
        <w:t>We develop, manufacture, distribute and sell our products globally and we intend to continue to pursue growth opportunities worldwide. Our international operations are subject to risks that are inherent in conducting business overseas and under non-U.S. laws, regulations and customs. These risks include possible nationalization, negative consequences associated with Brexit, expropriation, importation limitations, pricing restrictions and violations of laws. Our profitability and operations are, and will continue to be, subject to a number of risks and potential costs, including:</w:t>
      </w:r>
    </w:p>
    <w:p>
      <w:pPr>
        <w:spacing w:after="0" w:line="63"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local product preferences and product requirements;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longer-term receivables than are typical in the EU or the U.S.;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enforcing agreements;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creditworthiness of customers;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protection measures and import and export licensing requirements;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different labor regulations and workforce instability;</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danger of terrorist activity, war or civil unrest;</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selling our products through distributors and agents;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and economic instability; and</w:t>
      </w:r>
    </w:p>
    <w:p>
      <w:pPr>
        <w:spacing w:after="0" w:line="63"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risks further described above in the section entitled “</w:t>
      </w:r>
      <w:r>
        <w:rPr>
          <w:rFonts w:ascii="Arial" w:cs="Arial" w:eastAsia="Arial" w:hAnsi="Arial"/>
          <w:sz w:val="18"/>
          <w:szCs w:val="18"/>
          <w:i w:val="1"/>
          <w:iCs w:val="1"/>
          <w:color w:val="auto"/>
        </w:rPr>
        <w:t>The failure to comply with anti-bribery laws could materially adversely affect our business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 in civil and/or criminal sanctions.</w:t>
      </w:r>
      <w:r>
        <w:rPr>
          <w:rFonts w:ascii="Arial" w:cs="Arial" w:eastAsia="Arial" w:hAnsi="Arial"/>
          <w:sz w:val="18"/>
          <w:szCs w:val="18"/>
          <w:color w:val="auto"/>
        </w:rPr>
        <w:t>”</w:t>
      </w:r>
    </w:p>
    <w:p>
      <w:pPr>
        <w:spacing w:after="0" w:line="62"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We transact business in numerous countries around the world and expect that a significant portion of our business will continue to take place in international markets. Consolidated financial statements are prepared in our functional currency, while the financial statements of each of our subsidiaries are prepared in the functional currency of that entity. Accordingly, fluctuations in the exchange rate of the functional currencies of our foreign currency entities against our functional currency will impact our results of operations and financial condition. Although we may elect to hedge certain foreign currency exposure, we cannot be certain that the hedging activity will eliminate our currency risk.</w:t>
      </w:r>
    </w:p>
    <w:p>
      <w:pPr>
        <w:spacing w:after="0" w:line="80"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In addition, in many of the countries where we operate, employees are covered by various laws and/or collective bargaining agreements that endow them, through their local or national representatives, with the right to be consulted in relation to specific issues, including the downsizing or closing of departments and staff reductions. The laws and/or collective bargaining agreements that are applicable to these agreements could have an impact on our flexibility, as they apply to programs to redefine and/or strategically reposition our activities. Our ability to implement staff downsizing programs or even temporary interruptions of employment relationships is predicated on the approval of government entities and the consent of labor unions. A negative response from a works council or union-organized work stoppages by employees could have a negative impact on our business.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We have significant global sales and operations and face risks related to health epidemics that could impact our sales and operating results.</w:t>
      </w:r>
    </w:p>
    <w:p>
      <w:pPr>
        <w:spacing w:after="0" w:line="129"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Our business could be adversely affected by the effects of a widespread outbreak of contagious disease, including the recent outbreak of respiratory illness caused by a novel coronavirus first identified in China. Any outbreak of contagious diseases, and other adverse public health developments, could have a material adverse effect on our business operations. These could include disruptions or restrictions on our ability to travel or to distribute our products, as well as temporary closures of our facilities or the facilities of our suppliers or customers, the deferral of procedures in impacted countries or the temporary suspension of operations by us or our suppliers or customers. At the end of February 2020, for example, we temporarily closed a small administrative office in Milan, Italy and we continue to monitor the rapidly evolving situation. While we have not closed our two manufacturing plants in Italy as they are not in the impacted regions, there can be no assurance that they will not need to shut down. Any disruption of our operations, or those of our suppliers or customers, could impact our sales and operating results. In addition, a significant outbreak of contagious diseases in the human population could result in a widespread health crisis that could adversely affect the economies and financial markets of many countries, resulting in an economic downturn that could affect demand for our products and likely impact our operating results.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failure to comply with anti-bribery laws could materially adversely affect our business and result in civil and/or criminal sanctions.</w:t>
      </w:r>
    </w:p>
    <w:p>
      <w:pPr>
        <w:spacing w:after="0" w:line="129"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Our operations are subject to anti-corruption laws, including the UK Bribery Act, FCPA and other anti-corruption laws that apply in countries where we do business. The UK Bribery Act, FCPA and these other laws generally prohibit us and our employees and intermediaries from bribing, being bribed or making other prohibited payments to government officials or other persons to obtain or retain business or gain some other business advantage. Because of the predominance of government-administered healthcare systems in many parts of the world outside the U.S., many of our customer relationships are potentially subject to such laws.</w:t>
      </w:r>
    </w:p>
    <w:p>
      <w:pPr>
        <w:spacing w:after="0" w:line="80"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We are, therefore, exposed to the risk that our employees, independent contractors, principal investigators, consultants, vendors, independent sales agents and distributors may engage in fraudulent or other illegal activity in violation of these laws and our Code of Conduct.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80"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Global enforcement of anti-corruption laws has increased substantially in recent years, with more frequent voluntary self-disclosures by companies, aggressive investigations and enforcement proceedings by governmental agencies, and assessment of significant fines and penalties against companies and individuals. In addition, we cannot predict the nature, scope or effect of future regulatory requirements to which our international operations might be subject or the manner in which existing laws might be administered or interpreted. Any alleged or actual violations of these regulations may subject us to government scrutiny, severe criminal or civil sanctions and other liabilities, including exclusion from government contracting or government healthcare programs, and could negatively affect our business, reputation, operating results and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instruments require us to comply with affirmative covenants and specified financial covenants and ratios.</w:t>
      </w:r>
    </w:p>
    <w:p>
      <w:pPr>
        <w:spacing w:after="0" w:line="117" w:lineRule="exact"/>
        <w:rPr>
          <w:sz w:val="20"/>
          <w:szCs w:val="20"/>
          <w:color w:val="auto"/>
        </w:rPr>
      </w:pPr>
    </w:p>
    <w:p>
      <w:pPr>
        <w:ind w:right="60" w:firstLine="162"/>
        <w:spacing w:after="0" w:line="254" w:lineRule="auto"/>
        <w:rPr>
          <w:sz w:val="20"/>
          <w:szCs w:val="20"/>
          <w:color w:val="auto"/>
        </w:rPr>
      </w:pPr>
      <w:r>
        <w:rPr>
          <w:rFonts w:ascii="Arial" w:cs="Arial" w:eastAsia="Arial" w:hAnsi="Arial"/>
          <w:sz w:val="18"/>
          <w:szCs w:val="18"/>
          <w:color w:val="auto"/>
        </w:rPr>
        <w:t>Certain restrictions and covenants in our debt instruments could affect our ability to operate and may limit our ability to react to market conditions or to take advantage of potential business opportunities as they arise. For example, such restrictions could adversely affect our ability to finance our operations, make strategic acquisitions, investments or alliances, restructure our organization or finance capital needs. Additionally, our ability to comply with these covenants and restrictions may be affected by events beyond our control, such as prevailing economic, financial, regulatory and industry conditions. If any of these restrictions or covenants is breached, we could be in default under one or more of our debt instruments, which, if not cured or waived, could result in acceleration of the indebtedness under such agreements and cross defaults under our other debt instruments. Any such actions could result in the enforcement of our lenders’ security interests and/or force us into bankruptcy or liquidation, which could have a material adverse effect on our financial condition and results of operations.</w:t>
      </w:r>
    </w:p>
    <w:p>
      <w:pPr>
        <w:spacing w:after="0" w:line="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inability to integrate recently acquired businesses or to successfully complete and integrate future acquisitions could limit our future growth or otherwise be disruptive to our ongoing business.</w:t>
      </w:r>
    </w:p>
    <w:p>
      <w:pPr>
        <w:spacing w:after="0" w:line="62" w:lineRule="exact"/>
        <w:rPr>
          <w:sz w:val="20"/>
          <w:szCs w:val="20"/>
          <w:color w:val="auto"/>
        </w:rPr>
      </w:pPr>
    </w:p>
    <w:p>
      <w:pPr>
        <w:ind w:firstLine="162"/>
        <w:spacing w:after="0" w:line="302" w:lineRule="auto"/>
        <w:rPr>
          <w:sz w:val="20"/>
          <w:szCs w:val="20"/>
          <w:color w:val="auto"/>
        </w:rPr>
      </w:pPr>
      <w:r>
        <w:rPr>
          <w:rFonts w:ascii="Arial" w:cs="Arial" w:eastAsia="Arial" w:hAnsi="Arial"/>
          <w:sz w:val="16"/>
          <w:szCs w:val="16"/>
          <w:color w:val="auto"/>
        </w:rPr>
        <w:t>From time to time, we acquire businesses and expect to pursue acquisitions in support of our strategic goals. There can be no assurance that acquisition opportunities will be available on acceptable terms or at all, or that we will be able to obtain necessary financing or regulatory approvals to complete potential acquisitions. The success of any acquisition, investment or alliance may be affected by a number of factors, including our ability to properly assess and value the potential business opportunity or to successfully integrate any businesses we may acquire into our existing business. The integration of the</w:t>
      </w: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65" w:right="259" w:bottom="1440" w:gutter="0" w:footer="0" w:header="0"/>
        </w:sectPr>
      </w:pPr>
    </w:p>
    <w:bookmarkStart w:id="21" w:name="page22"/>
    <w:bookmarkEnd w:id="21"/>
    <w:p>
      <w:pPr>
        <w:ind w:right="40"/>
        <w:spacing w:after="0" w:line="297" w:lineRule="auto"/>
        <w:rPr>
          <w:sz w:val="20"/>
          <w:szCs w:val="20"/>
          <w:color w:val="auto"/>
        </w:rPr>
      </w:pPr>
      <w:r>
        <w:rPr>
          <w:rFonts w:ascii="Arial" w:cs="Arial" w:eastAsia="Arial" w:hAnsi="Arial"/>
          <w:sz w:val="16"/>
          <w:szCs w:val="16"/>
          <w:color w:val="auto"/>
        </w:rPr>
        <w:t>operations of acquired businesses requires significant efforts, including the coordination of information technologies, human resources, R&amp;D, sales and marketing, operations, manufacturing, legal, compliance and finance. These efforts result in additional expenses and involve significant amounts of management’s time that cannot then be dedicated to other projects. Failure to manage and coordinate the growth of the combined company successfully could also have an adverse impact on our business. In addition, we cannot be certain that our investments, alliances and acquired businesses will become profitable or remain so. If our investments, alliances or acquisitions are not successful, we may record unexpected impairment charges.</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incur impairments of intangible assets and goodwill, primarily acquired in acquisitions, including the merger between Sorin and Cyberonics, that adversely affect our financial results.</w:t>
      </w:r>
    </w:p>
    <w:p>
      <w:pPr>
        <w:spacing w:after="0" w:line="62"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As of December 31, 2019, the carrying value of our net intangible assets and goodwill totaled $1.5 billion, which represents 63.2% of our total assets. As of December 31, 2018, the carrying value of our net intangible assets and goodwill totaled $1.7 billion, which represented 67.7% of our total assets. During the year ended December 31, 2019, we determined that the In Process Research and Development (“IPR&amp;D”) asset relating to ImThera was impaired and as a result, recorded an impairment of $50.3 million, and we also fully impaired the goodwill and the IPR&amp;D asset associated with the discontinuation of the Caisson business by recording a $42.4 million impairment to goodwill and a $89.0 million impairment to the IPR&amp;D asset.</w:t>
      </w:r>
    </w:p>
    <w:p>
      <w:pPr>
        <w:spacing w:after="0" w:line="64"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We review, when circumstances warrant, the carrying amounts of our intangible assets to determine whether those carrying amounts continue to be recoverable in accordance with U.S. generally accepted accounting principles. Significant negative industry or economic trends, disruptions to our businesses, significant unexpected or planned changes in the use of assets, divestitures and market capitalization declines, among other events, may result in impairments to goodwill and other intangible assets. Current impairments have significantly affected our financial results and future impairments could significantly affect reported financial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healthcare industry could have an adverse effect on our revenue and results of operations.</w:t>
      </w:r>
    </w:p>
    <w:p>
      <w:pPr>
        <w:spacing w:after="0" w:line="117" w:lineRule="exact"/>
        <w:rPr>
          <w:sz w:val="20"/>
          <w:szCs w:val="20"/>
          <w:color w:val="auto"/>
        </w:rPr>
      </w:pPr>
    </w:p>
    <w:p>
      <w:pPr>
        <w:ind w:right="40" w:firstLine="162"/>
        <w:spacing w:after="0" w:line="302" w:lineRule="auto"/>
        <w:rPr>
          <w:sz w:val="20"/>
          <w:szCs w:val="20"/>
          <w:color w:val="auto"/>
        </w:rPr>
      </w:pPr>
      <w:r>
        <w:rPr>
          <w:rFonts w:ascii="Arial" w:cs="Arial" w:eastAsia="Arial" w:hAnsi="Arial"/>
          <w:sz w:val="16"/>
          <w:szCs w:val="16"/>
          <w:color w:val="auto"/>
        </w:rPr>
        <w:t>Many healthcare industry companies, including medical device companies, are consolidating to create new companies with greater market power. As the healthcare industry consolidates, competition to provide goods and services to industry participants will become more intense. These industry participants may try to use their market power to negotiate price concessions for medical devices that incorporate components we produce. Increasing pricing pressures as a result of industry consolidation could have an adverse effect on our revenue, results of operations, financial position and cash flows.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success and continuing development of our products depend on maintaining strong relationships with physicians and healthcare professionals.</w:t>
      </w:r>
    </w:p>
    <w:p>
      <w:pPr>
        <w:spacing w:after="0" w:line="140"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If we fail to maintain our working relationships with physicians and other healthcare professionals, our products may not be developed and marketed in line with the needs and expectations of the professionals who use and support our products. Physicians assist us as researchers, marketing consultants, product consultants, inventors and public speakers, and we rely on these professionals to provide us with considerable knowledge and experience. If we are unable to maintain these strong relationships, the development and marketing of our products could suffer, which could have a material adverse effect on our consolidated financial condition and results of operations.</w:t>
      </w:r>
    </w:p>
    <w:p>
      <w:pPr>
        <w:spacing w:after="0" w:line="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Inadequate funding for U.S. federal government agencies and government shutdowns could negatively affect our business, results of operations and financial condition.</w:t>
      </w:r>
    </w:p>
    <w:p>
      <w:pPr>
        <w:spacing w:after="0" w:line="62" w:lineRule="exact"/>
        <w:rPr>
          <w:sz w:val="20"/>
          <w:szCs w:val="20"/>
          <w:color w:val="auto"/>
        </w:rPr>
      </w:pPr>
    </w:p>
    <w:p>
      <w:pPr>
        <w:ind w:right="60" w:firstLine="162"/>
        <w:spacing w:after="0" w:line="286"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government shutdowns and statutory, regulatory and policy changes. Disruptions at the FDA and in other U.S. federal agencies may increase the time necessary for new medical devices to be reviewed and/or approved which would adversely affect our business.</w:t>
      </w:r>
    </w:p>
    <w:p>
      <w:pPr>
        <w:spacing w:after="0" w:line="57" w:lineRule="exact"/>
        <w:rPr>
          <w:sz w:val="20"/>
          <w:szCs w:val="20"/>
          <w:color w:val="auto"/>
        </w:rPr>
      </w:pPr>
    </w:p>
    <w:p>
      <w:pPr>
        <w:ind w:right="120" w:firstLine="162"/>
        <w:spacing w:after="0" w:line="342" w:lineRule="auto"/>
        <w:rPr>
          <w:sz w:val="20"/>
          <w:szCs w:val="20"/>
          <w:color w:val="auto"/>
        </w:rPr>
      </w:pPr>
      <w:r>
        <w:rPr>
          <w:rFonts w:ascii="Arial" w:cs="Arial" w:eastAsia="Arial" w:hAnsi="Arial"/>
          <w:sz w:val="16"/>
          <w:szCs w:val="16"/>
          <w:color w:val="auto"/>
        </w:rPr>
        <w:t>In addition, a portion of our revenue is dependent on U.S. federal government healthcare program reimbursement. Any disruption in U.S. federal government operations, including government shutdowns, could have a material adverse effect on our business, results of operations and financial condition.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from Tax, Residency and Jurisdiction of Incorporation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exposure to additional income tax liabilities could have a material impact on our financial condition and results of operations.</w:t>
      </w:r>
    </w:p>
    <w:p>
      <w:pPr>
        <w:spacing w:after="0" w:line="140"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We are subject to income taxes as well as non-income based taxes, in the U.S., the UK, the EU and various other jurisdictions. No assurances can be given as to what our worldwide effective corporate tax rate will be because of, among other things, uncertainty regarding the tax regulations and laws, enactment and enforceability thereof and policies of the jurisdictions where we operate. Our actual effective tax rate may vary from our expectations or from historical trends and that variance may</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65" w:right="239" w:bottom="1440" w:gutter="0" w:footer="0" w:header="0"/>
        </w:sectPr>
      </w:pPr>
    </w:p>
    <w:bookmarkStart w:id="22" w:name="page23"/>
    <w:bookmarkEnd w:id="22"/>
    <w:p>
      <w:pPr>
        <w:ind w:right="60"/>
        <w:spacing w:after="0" w:line="276" w:lineRule="auto"/>
        <w:rPr>
          <w:sz w:val="20"/>
          <w:szCs w:val="20"/>
          <w:color w:val="auto"/>
        </w:rPr>
      </w:pPr>
      <w:r>
        <w:rPr>
          <w:rFonts w:ascii="Arial" w:cs="Arial" w:eastAsia="Arial" w:hAnsi="Arial"/>
          <w:sz w:val="17"/>
          <w:szCs w:val="17"/>
          <w:color w:val="auto"/>
        </w:rPr>
        <w:t>be material. Our effective tax rates could be affected by changes in the mix of earnings in countries with differing statutory tax rates, changes in the valuation of deferred tax assets and liabilities or changes in tax laws or their interpretation. We are also subject to ongoing tax audits in various non-U.S. jurisdictions. Tax authorities may disagree with certain positions we have taken and assess additional taxes. We believe that our accruals reflect the probable outcome of known contingencies. However, there can be no assurance that we will accurately predict the outcomes of ongoing audits, and the actual outcomes of these audits could have a material impact on our consolidated statements of income (loss) or financial condition.</w:t>
      </w:r>
    </w:p>
    <w:p>
      <w:pPr>
        <w:spacing w:after="0" w:line="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 and we may be required to pay substantial U.S. federal income taxes.</w:t>
      </w:r>
    </w:p>
    <w:p>
      <w:pPr>
        <w:spacing w:after="0" w:line="62"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Based on our management and organizational structure, we believe that we should be regarded as a resident exclusively in the UK for tax purposes and that we are appropriately treated as a foreign corporation for U.S. federal tax purposes. Although we are incorporated in the UK, the U.S. Internal Revenue Service (the “IRS”) may assert that we should be treated as a U.S. corporation (and, therefore, a U.S. tax resident) for U.S. federal tax purposes. If we were to be treated as a U.S. corporation for U.S. federal income tax purposes, we could be subject to substantially greater U.S. tax liability than currently contemplated as a non-U.S. corporation.</w:t>
      </w:r>
    </w:p>
    <w:p>
      <w:pPr>
        <w:spacing w:after="0" w:line="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IRS may limit Cyberonics’ and its U.S. affiliates’ ability to utilize their U.S. tax attributes and impose an excise tax on gains recognized by certain individuals as a result of the merger of Cyberonics and Sorin.</w:t>
      </w:r>
    </w:p>
    <w:p>
      <w:pPr>
        <w:spacing w:after="0" w:line="62"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The merger of Cyberonics and Sorin is considered an inversion for tax purposes. The U.S. Internal Revenue Code (“IRC”) and regulations under the IRC impose a minimum level of tax on any “inversion gain” of a U.S. corporation (and any U.S. person related to the U.S. corporation) depending on the resulting percentage ownership by U.S. persons of the merged company. The effect of this provision in the IRC is to deny the use of certain U.S. tax attributes (including net operating losses and certain tax credits) to offset U.S. tax liability, if any, attributable to such inversion gain. In addition, an excise tax may be imposed on certain individuals. In our case, we believe that the former stockholders of Cyberonics own less than the IRC’s stated percentage of the Company. However, the final regulations relating to calculating the ownership percentage are new and subject to interpretation, and thus it cannot be assured that the IRS will agree with our position.</w:t>
      </w:r>
    </w:p>
    <w:p>
      <w:pPr>
        <w:spacing w:after="0" w:line="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UK’s withdrawal from the EU, commonly referred to as “Brexit,” could lead to increased market volatility and make it more difficult for us to do business in Europe or have other adverse effects on our business.</w:t>
      </w:r>
    </w:p>
    <w:p>
      <w:pPr>
        <w:spacing w:after="0" w:line="62" w:lineRule="exact"/>
        <w:rPr>
          <w:sz w:val="20"/>
          <w:szCs w:val="20"/>
          <w:color w:val="auto"/>
        </w:rPr>
      </w:pPr>
    </w:p>
    <w:p>
      <w:pPr>
        <w:ind w:right="20" w:firstLine="162"/>
        <w:spacing w:after="0" w:line="288" w:lineRule="auto"/>
        <w:rPr>
          <w:sz w:val="20"/>
          <w:szCs w:val="20"/>
          <w:color w:val="auto"/>
        </w:rPr>
      </w:pPr>
      <w:r>
        <w:rPr>
          <w:rFonts w:ascii="Arial" w:cs="Arial" w:eastAsia="Arial" w:hAnsi="Arial"/>
          <w:sz w:val="16"/>
          <w:szCs w:val="16"/>
          <w:color w:val="auto"/>
        </w:rPr>
        <w:t>On January 31, 2020, the UK departed from the EU and has entered a transition period that is scheduled to end on December 31, 2020, unless extended. Brexit could adversely affect UK, European and worldwide economic and market conditions and could contribute to instability in global financial and foreign exchange markets, including volatility in the value of the British Pound and Euro. For the three months and full year ended December 31, 2019, net sales generated from our European operations constituted approximately 20% and 21%, respectively, of total net sales. Although the long-term effects of Brexit will depend on any agreements the UK makes to retain access to the EU markets during the transition period, Brexit has created additional uncertainties that may ultimately result in new regulatory costs and challenges for medical device companies and increased restrictions on imports and exports throughout Europe. In addition, we and several of our wholly owned subsidiaries that are domiciled either in the UK, various EU Member States, or in the U.S., are parties to intercompany transactions and agreements under which we receive various tax reliefs and exemptions in accordance with applicable international tax laws, treaties and regulations that could be materially changed by Brexit. Any of the foregoing could adversely affect our ability to conduct and expand our operations in Europe and may have an adverse effect on our business, financial condition and results of operations.</w:t>
      </w:r>
    </w:p>
    <w:p>
      <w:pPr>
        <w:spacing w:after="0" w:line="6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will require shareholder approval, which may limit our flexibility to manage our capital structure.</w:t>
      </w:r>
    </w:p>
    <w:p>
      <w:pPr>
        <w:spacing w:after="0" w:line="62" w:lineRule="exact"/>
        <w:rPr>
          <w:sz w:val="20"/>
          <w:szCs w:val="20"/>
          <w:color w:val="auto"/>
        </w:rPr>
      </w:pPr>
    </w:p>
    <w:p>
      <w:pPr>
        <w:ind w:right="40" w:firstLine="162"/>
        <w:spacing w:after="0" w:line="271" w:lineRule="auto"/>
        <w:rPr>
          <w:sz w:val="20"/>
          <w:szCs w:val="20"/>
          <w:color w:val="auto"/>
        </w:rPr>
      </w:pPr>
      <w:r>
        <w:rPr>
          <w:rFonts w:ascii="Arial" w:cs="Arial" w:eastAsia="Arial" w:hAnsi="Arial"/>
          <w:sz w:val="17"/>
          <w:szCs w:val="17"/>
          <w:color w:val="auto"/>
        </w:rPr>
        <w:t>We are a public limited company incorporated under the laws of England and Wales. Under English law, our board of directors may only allot shares with the prior authorization of shareholders. Our articles of association currently authorize the allotment of additional shares for a period of five years up to an aggregate of approximately 9.8 million shares. English law also generally provides shareholders with preemptive rights when new shares are issued for cash; which rights may be excluded by shareholders. Our articles currently exclude preemptive rights in relation to the allotment of shares for cash. In addition, English law also generally prohibits a public company from repurchasing its own shares without the prior approval of shareholders. The approval of the allotment of additional shares, the exemption of statutory preemptive rights and the restriction on repurchase of shares must all be renewed by shareholders at least every five years. We cannot provide any assurance that these authorizations will always be approved, which could limit our ability to issue equity and thereby adversely affect the holders of our securities.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65" w:right="259" w:bottom="1440" w:gutter="0" w:footer="0" w:header="0"/>
        </w:sectPr>
      </w:pPr>
    </w:p>
    <w:bookmarkStart w:id="23" w:name="page24"/>
    <w:bookmarkEnd w:id="23"/>
    <w:p>
      <w:pPr>
        <w:ind w:right="380"/>
        <w:spacing w:after="0" w:line="277" w:lineRule="auto"/>
        <w:rPr>
          <w:sz w:val="20"/>
          <w:szCs w:val="20"/>
          <w:color w:val="auto"/>
        </w:rPr>
      </w:pPr>
      <w:r>
        <w:rPr>
          <w:rFonts w:ascii="Arial" w:cs="Arial" w:eastAsia="Arial" w:hAnsi="Arial"/>
          <w:sz w:val="18"/>
          <w:szCs w:val="18"/>
          <w:b w:val="1"/>
          <w:bCs w:val="1"/>
          <w:i w:val="1"/>
          <w:iCs w:val="1"/>
          <w:color w:val="auto"/>
        </w:rPr>
        <w:t>Transfers of our shares, other than ones effected by means of the transfer of book-entry interests in the Depository Trust Company (“DTC”), may be subject to UK stamp duty or UK stamp duty reserve tax (“SDRT”).</w:t>
      </w:r>
    </w:p>
    <w:p>
      <w:pPr>
        <w:spacing w:after="0" w:line="62" w:lineRule="exact"/>
        <w:rPr>
          <w:sz w:val="20"/>
          <w:szCs w:val="20"/>
          <w:color w:val="auto"/>
        </w:rPr>
      </w:pPr>
    </w:p>
    <w:p>
      <w:pPr>
        <w:ind w:right="300" w:firstLine="162"/>
        <w:spacing w:after="0" w:line="257" w:lineRule="auto"/>
        <w:rPr>
          <w:sz w:val="20"/>
          <w:szCs w:val="20"/>
          <w:color w:val="auto"/>
        </w:rPr>
      </w:pPr>
      <w:r>
        <w:rPr>
          <w:rFonts w:ascii="Arial" w:cs="Arial" w:eastAsia="Arial" w:hAnsi="Arial"/>
          <w:sz w:val="18"/>
          <w:szCs w:val="18"/>
          <w:color w:val="auto"/>
        </w:rPr>
        <w:t>Transfers of our shares effected by means of the transfer of book-entry interests in DTC are not subject to UK stamp duty or SDRT. However, if a shareholder holds our shares directly rather than through DTC, any transfer of shares could be subject to UK stamp duty on SDRT at a rate of 0.5% of the consideration paid for the transfer and certain issues or transfers of shares to depositories or into clearance services are charged at a rate of 1.5% of the consideration paid for the transfer. The transferee generally pays the UK stamp duty or SDRT. The potential for UK stamp duty or SDRT could adversely affect the trading price of our shares.</w:t>
      </w:r>
    </w:p>
    <w:p>
      <w:pPr>
        <w:spacing w:after="0" w:line="80"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The facilities of DTC are a widely used mechanism that allow for rapid electronic transfers of securities between the participants in the DTC system, which include many large banks and brokerage firms. Our shares are at present, subject to certain conditions, generally eligible for deposit and clearing within the DTC system. However, DTC generally has discretion to cease to act as a depository and clearing agency for our shares. If DTC determines at any time that our shares are not eligible for continued deposit and clearance within its facilities, then we believe that our shares would not be eligible for continued listing on a U.S. securities exchange and trading in our shares would be disrupted. While we would pursue alternative arrangements to preserve the listing and maintain trading, any such disruption could have a material adverse effect on the trading price of our shares.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1B. </w:t>
      </w:r>
      <w:r>
        <w:rPr>
          <w:rFonts w:ascii="Arial" w:cs="Arial" w:eastAsia="Arial" w:hAnsi="Arial"/>
          <w:sz w:val="22"/>
          <w:szCs w:val="22"/>
          <w:b w:val="1"/>
          <w:bCs w:val="1"/>
          <w:i w:val="1"/>
          <w:iCs w:val="1"/>
          <w:color w:val="auto"/>
        </w:rPr>
        <w:t>Unresolved Staff Comments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Properties</w:t>
      </w:r>
    </w:p>
    <w:p>
      <w:pPr>
        <w:spacing w:after="0" w:line="179" w:lineRule="exact"/>
        <w:rPr>
          <w:sz w:val="20"/>
          <w:szCs w:val="20"/>
          <w:color w:val="auto"/>
        </w:rPr>
      </w:pPr>
    </w:p>
    <w:p>
      <w:pPr>
        <w:ind w:right="720" w:firstLine="162"/>
        <w:spacing w:after="0" w:line="297" w:lineRule="auto"/>
        <w:rPr>
          <w:sz w:val="20"/>
          <w:szCs w:val="20"/>
          <w:color w:val="auto"/>
        </w:rPr>
      </w:pPr>
      <w:r>
        <w:rPr>
          <w:rFonts w:ascii="Arial" w:cs="Arial" w:eastAsia="Arial" w:hAnsi="Arial"/>
          <w:sz w:val="16"/>
          <w:szCs w:val="16"/>
          <w:color w:val="auto"/>
        </w:rPr>
        <w:t>Our principal executive office is located in the UK and is leased by us. Our business franchises, corresponding to our main therapeutic areas, Neuromodulation and Cardiovascular, have headquarters located in U.S. and Italy, respectively. The locations in the U.S. and Italy are owned by us. Manufacturing and research facilities are located in Brazil, Canada, Germany, Italy, Australia and the U.S. Manufacturing and research facilities are approximately 1.3 million square feet. Approximately 34% of our manufacturing and research facilities by square feet are located within the U.S. Approximately 66% of our manufacturing and research facilities by square feet are owned by us and the balance is leased.</w:t>
      </w:r>
    </w:p>
    <w:p>
      <w:pPr>
        <w:spacing w:after="0" w:line="50"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We also maintain 23 primary administrative offices in 18 countries. Most of these locations are leased. We are using substantially all of our currently available productive space to develop, manufacture and market our products. Our facilities are in good operating condition, suitable for their respective uses and adequate for current needs.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Legal Proceedings</w:t>
      </w:r>
    </w:p>
    <w:p>
      <w:pPr>
        <w:spacing w:after="0" w:line="179"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Discussion of our material pending legal and regulatory proceedings and settlements is incorporated herein by reference to “Note 14. Commitments and Contingencies” in our consolidated financial statements and accompanying notes, beginning on page F-1 of this Annual Report on Form 10-K and should be considered an integral part of “Item 3 of Part I” of this Annual Report on Form 10-K.</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665" w:right="279" w:bottom="1440" w:gutter="0" w:footer="0" w:header="0"/>
        </w:sectPr>
      </w:pPr>
    </w:p>
    <w:bookmarkStart w:id="24" w:name="page25"/>
    <w:bookmarkEnd w:id="24"/>
    <w:p>
      <w:pPr>
        <w:ind w:left="5320"/>
        <w:spacing w:after="0"/>
        <w:rPr>
          <w:sz w:val="20"/>
          <w:szCs w:val="20"/>
          <w:color w:val="auto"/>
        </w:rPr>
      </w:pPr>
      <w:r>
        <w:rPr>
          <w:rFonts w:ascii="Arial" w:cs="Arial" w:eastAsia="Arial" w:hAnsi="Arial"/>
          <w:sz w:val="22"/>
          <w:szCs w:val="22"/>
          <w:b w:val="1"/>
          <w:bCs w:val="1"/>
          <w:color w:val="auto"/>
        </w:rPr>
        <w:t>PART II</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5. </w:t>
      </w:r>
      <w:r>
        <w:rPr>
          <w:rFonts w:ascii="Arial" w:cs="Arial" w:eastAsia="Arial" w:hAnsi="Arial"/>
          <w:sz w:val="19"/>
          <w:szCs w:val="19"/>
          <w:b w:val="1"/>
          <w:bCs w:val="1"/>
          <w:i w:val="1"/>
          <w:iCs w:val="1"/>
          <w:color w:val="auto"/>
        </w:rPr>
        <w:t>Market for Registrant’s Common Equity, Related Stockholder Matters and Issuer Purchases of Equity Securities</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ordinary shares are quoted on the NASDAQ Global Market under the symbol “LIVN.”</w:t>
      </w:r>
    </w:p>
    <w:p>
      <w:pPr>
        <w:spacing w:after="0" w:line="117"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As of February 27, 2020, according to data provided by our transfer agent, there were 23 stockholders of record. However, we believe that the actual number of beneficial holders of our shares may be substantially greater than the stated number of holders of record because a substantial portion of the shares are held in street name.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Recent Sales of Unregistered Securities</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the past fiscal year, we did not issue any securities that were not registered under the Securities Act.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Dividend Policy</w:t>
      </w:r>
    </w:p>
    <w:p>
      <w:pPr>
        <w:spacing w:after="0" w:line="110"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As a company organized under the laws of England and Wales, we must have "distributable reserves" to make share repurchases or pay dividends to shareholders. Distributable reserves may be created through the earnings of the UK parent company and, amongst other methods, through a reduction in share capital approved by the English Companies Court. Distributable reserves are not linked to a U.S. GAAP reported amount. In addition to having sufficient distributable reserves, English law requires a public company’s net worth to be at least equal to the amount of its capital. Accordingly, a public company can only make a distribution: (a) if, at the time that the distribution is made, the amount of its net assets (that is, the total excess of assets over liabilities) is not less than the total of its called-up share capital and undistributable reserves; and (b) if, and to the extent that, the distribution itself, at the time that it is made, does not reduce the amount of the net assets to less than that total.</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currently have no intention to declare and pay dividends.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Securities</w:t>
      </w:r>
    </w:p>
    <w:p>
      <w:pPr>
        <w:spacing w:after="0" w:line="110" w:lineRule="exact"/>
        <w:rPr>
          <w:sz w:val="20"/>
          <w:szCs w:val="20"/>
          <w:color w:val="auto"/>
        </w:rPr>
      </w:pPr>
    </w:p>
    <w:p>
      <w:pPr>
        <w:ind w:right="80" w:firstLine="162"/>
        <w:spacing w:after="0" w:line="293" w:lineRule="auto"/>
        <w:rPr>
          <w:sz w:val="20"/>
          <w:szCs w:val="20"/>
          <w:color w:val="auto"/>
        </w:rPr>
      </w:pPr>
      <w:r>
        <w:rPr>
          <w:rFonts w:ascii="Arial" w:cs="Arial" w:eastAsia="Arial" w:hAnsi="Arial"/>
          <w:sz w:val="16"/>
          <w:szCs w:val="16"/>
          <w:color w:val="auto"/>
        </w:rPr>
        <w:t>On August 1, 2016, the Board of Directors of LivaNova approved the authorization of a share repurchase plan (the "Share Repurchase Program") pursuant to an authority granted by shareholders at the 2016 annual general meeting held on June 15, 2016. The authority granted by the shareholders has a five-year expiration. The Share Repurchase Program was structured to enable us to buy back up to $150.0 million of our shares on NASDAQ between September 1, 2016 through December 31, 2016. On November 15, 2016, the Board of Directors approved an amendment (the "Amended Share Repurchase Program") to the Share Repurchase Program authorizing the Company to repurchase up to $150.0 million of our shares between September 1, 2016 and December 31, 2018. No shares were repurchased under the Share Repurchase Program or the Amended Share Repurchase Program after December 31, 2018.</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666" w:right="279" w:bottom="1440" w:gutter="0" w:footer="0" w:header="0"/>
        </w:sectPr>
      </w:pPr>
    </w:p>
    <w:bookmarkStart w:id="25" w:name="page26"/>
    <w:bookmarkEnd w:id="25"/>
    <w:p>
      <w:pPr>
        <w:spacing w:after="0"/>
        <w:rPr>
          <w:sz w:val="20"/>
          <w:szCs w:val="20"/>
          <w:color w:val="auto"/>
        </w:rPr>
      </w:pPr>
      <w:r>
        <w:rPr>
          <w:rFonts w:ascii="Arial" w:cs="Arial" w:eastAsia="Arial" w:hAnsi="Arial"/>
          <w:sz w:val="20"/>
          <w:szCs w:val="20"/>
          <w:color w:val="auto"/>
        </w:rPr>
        <w:t>Stock Performance Graph</w:t>
      </w:r>
    </w:p>
    <w:p>
      <w:pPr>
        <w:spacing w:after="0" w:line="110"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The following graph illustrates our 51-month cumulative total return compared with the S&amp;P 500 Index and the S&amp;P Health Care Equipment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48895</wp:posOffset>
            </wp:positionV>
            <wp:extent cx="5334000" cy="2487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3400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The information under the caption “Stock Performance Graph” above is not deemed to be “filed” as part of the Annual Report on Form 10-K and is not subject to the liability provisions of Section 18 of the Exchange Act. Such information will not be deemed incorporated by reference into any filing we make under the Securities Act unless we explicitly incorporate it into such filing at such time.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676" w:right="35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Selected Financial Data</w:t>
      </w:r>
    </w:p>
    <w:p>
      <w:pPr>
        <w:spacing w:after="0" w:line="125" w:lineRule="exact"/>
        <w:rPr>
          <w:sz w:val="20"/>
          <w:szCs w:val="20"/>
          <w:color w:val="auto"/>
        </w:rPr>
      </w:pPr>
    </w:p>
    <w:p>
      <w:pPr>
        <w:ind w:right="180" w:firstLine="162"/>
        <w:spacing w:after="0" w:line="293" w:lineRule="auto"/>
        <w:rPr>
          <w:sz w:val="20"/>
          <w:szCs w:val="20"/>
          <w:color w:val="auto"/>
        </w:rPr>
      </w:pPr>
      <w:r>
        <w:rPr>
          <w:rFonts w:ascii="Arial" w:cs="Arial" w:eastAsia="Arial" w:hAnsi="Arial"/>
          <w:sz w:val="16"/>
          <w:szCs w:val="16"/>
          <w:color w:val="auto"/>
        </w:rPr>
        <w:t>The following table summarizes certain selected financial data and is qualified by reference to, and should be read in conjunction with, the consolidated financial statements and related notes under the section entitled “Item 15. Exhibits, Financial Statement Schedules” included in this Annual Report on Form 10-K. The selected financial data and the related notes for the years ended December 31, 2019, December 31, 2018, December 31, 2017 and December 31, 2016 are derived from audited consolidated financial statements that are included in this Annual Report on Form 10-K. The selected financial data and the related notes for the transitional period April 25, 2015 to December 31, 2015, and for the fiscal year ended April 24, 2015 are derived from audited consolidated financial statements that are included in the Annual Report on Form 10-KT for the transitional period ended December 31, 2015.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Statements of Operations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Transitional</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Period April 25,</w:t>
            </w:r>
          </w:p>
        </w:tc>
        <w:tc>
          <w:tcPr>
            <w:tcW w:w="1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Fiscal Year</w:t>
            </w:r>
          </w:p>
        </w:tc>
        <w:tc>
          <w:tcPr>
            <w:tcW w:w="0" w:type="dxa"/>
            <w:vAlign w:val="bottom"/>
          </w:tcPr>
          <w:p>
            <w:pPr>
              <w:spacing w:after="0"/>
              <w:rPr>
                <w:sz w:val="1"/>
                <w:szCs w:val="1"/>
                <w:color w:val="auto"/>
              </w:rPr>
            </w:pPr>
          </w:p>
        </w:tc>
      </w:tr>
      <w:tr>
        <w:trPr>
          <w:trHeight w:val="221"/>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Data</w:t>
            </w:r>
          </w:p>
        </w:tc>
        <w:tc>
          <w:tcPr>
            <w:tcW w:w="10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2015 to December</w:t>
            </w:r>
          </w:p>
        </w:tc>
        <w:tc>
          <w:tcPr>
            <w:tcW w:w="120" w:type="dxa"/>
            <w:vAlign w:val="bottom"/>
          </w:tcPr>
          <w:p>
            <w:pPr>
              <w:spacing w:after="0"/>
              <w:rPr>
                <w:sz w:val="19"/>
                <w:szCs w:val="19"/>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Ended April</w:t>
            </w:r>
          </w:p>
        </w:tc>
        <w:tc>
          <w:tcPr>
            <w:tcW w:w="0" w:type="dxa"/>
            <w:vAlign w:val="bottom"/>
          </w:tcPr>
          <w:p>
            <w:pPr>
              <w:spacing w:after="0"/>
              <w:rPr>
                <w:sz w:val="1"/>
                <w:szCs w:val="1"/>
                <w:color w:val="auto"/>
              </w:rPr>
            </w:pPr>
          </w:p>
        </w:tc>
      </w:tr>
      <w:tr>
        <w:trPr>
          <w:trHeight w:val="210"/>
        </w:trPr>
        <w:tc>
          <w:tcPr>
            <w:tcW w:w="3560" w:type="dxa"/>
            <w:vAlign w:val="bottom"/>
          </w:tcPr>
          <w:p>
            <w:pPr>
              <w:ind w:left="40"/>
              <w:spacing w:after="0"/>
              <w:rPr>
                <w:sz w:val="20"/>
                <w:szCs w:val="20"/>
                <w:color w:val="auto"/>
              </w:rPr>
            </w:pPr>
            <w:r>
              <w:rPr>
                <w:rFonts w:ascii="Arial" w:cs="Arial" w:eastAsia="Arial" w:hAnsi="Arial"/>
                <w:sz w:val="16"/>
                <w:szCs w:val="16"/>
                <w:color w:val="auto"/>
              </w:rPr>
              <w:t>(In thousands, except per share data)</w:t>
            </w:r>
          </w:p>
        </w:tc>
        <w:tc>
          <w:tcPr>
            <w:tcW w:w="100" w:type="dxa"/>
            <w:vAlign w:val="bottom"/>
          </w:tcPr>
          <w:p>
            <w:pPr>
              <w:spacing w:after="0"/>
              <w:rPr>
                <w:sz w:val="18"/>
                <w:szCs w:val="18"/>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31, 2015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24, 2015</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1,084,170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1,106,961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1,012,277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964,858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363,237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291,558</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 of sales - exclusive of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323,635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361,812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367,845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113,404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27,311</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Product remediation</w:t>
            </w:r>
          </w:p>
        </w:tc>
        <w:tc>
          <w:tcPr>
            <w:tcW w:w="1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15,777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10,680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7,254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37,534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506,542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464,967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355,164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147,025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123,619</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149,889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146,024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109,516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82,078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41,916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42,245</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Merger and integration expenses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8,692</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Restructuring expenses</w:t>
            </w:r>
          </w:p>
        </w:tc>
        <w:tc>
          <w:tcPr>
            <w:tcW w:w="1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12,254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15,915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17,056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37,377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10,494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of goodwill</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Impairment of intangible assets</w:t>
            </w:r>
          </w:p>
        </w:tc>
        <w:tc>
          <w:tcPr>
            <w:tcW w:w="1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139,295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Litigation provision, net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294,021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(loss) income from continuing</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(168,870)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(248,072)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33,448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(12,408)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88,652</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Interest (expense) income, net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acquisitions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Impairment of investments</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and other (losses) gains</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0"/>
        </w:trPr>
        <w:tc>
          <w:tcPr>
            <w:tcW w:w="3560" w:type="dxa"/>
            <w:vAlign w:val="bottom"/>
          </w:tcPr>
          <w:p>
            <w:pPr>
              <w:ind w:left="40"/>
              <w:spacing w:after="0"/>
              <w:rPr>
                <w:sz w:val="20"/>
                <w:szCs w:val="20"/>
                <w:color w:val="auto"/>
              </w:rPr>
            </w:pPr>
            <w:r>
              <w:rPr>
                <w:rFonts w:ascii="Arial" w:cs="Arial" w:eastAsia="Arial" w:hAnsi="Arial"/>
                <w:sz w:val="16"/>
                <w:szCs w:val="16"/>
                <w:color w:val="auto"/>
              </w:rPr>
              <w:t>(Loss) income from continuing operations before</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rPr>
              <w:t>tax</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(185,694)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(247,447)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121,138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25,666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(25,998)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89,294</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31,446</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Losses from equity method investments</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income from continuing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(155,541)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(178,462)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57,848</w:t>
            </w:r>
          </w:p>
        </w:tc>
        <w:tc>
          <w:tcPr>
            <w:tcW w:w="0" w:type="dxa"/>
            <w:vAlign w:val="bottom"/>
          </w:tcPr>
          <w:p>
            <w:pPr>
              <w:spacing w:after="0"/>
              <w:rPr>
                <w:sz w:val="1"/>
                <w:szCs w:val="1"/>
                <w:color w:val="auto"/>
              </w:rPr>
            </w:pPr>
          </w:p>
        </w:tc>
      </w:tr>
      <w:tr>
        <w:trPr>
          <w:trHeight w:val="231"/>
        </w:trPr>
        <w:tc>
          <w:tcPr>
            <w:tcW w:w="356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Income (loss) from discontinued operations, net of</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(64,663)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(14,893)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Impairment of discontinued operations, net of tax</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(78,283)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6"/>
              </w:rPr>
              <w:t>Net income (loss) from discontinued operations,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of tax</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56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(155,176)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(189,399)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(25,089)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(62,789)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(29,613)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57,848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66" w:right="239" w:bottom="1440" w:gutter="0" w:footer="0" w:header="0"/>
        </w:sectPr>
      </w:pPr>
    </w:p>
    <w:bookmarkStart w:id="27" w:name="page28"/>
    <w:bookmarkEnd w:id="27"/>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b w:val="1"/>
          <w:bCs w:val="1"/>
          <w:color w:val="auto"/>
        </w:rPr>
        <w:t>Consolidated Statements of Operations Data</w:t>
      </w:r>
    </w:p>
    <w:p>
      <w:pPr>
        <w:spacing w:after="0"/>
        <w:rPr>
          <w:sz w:val="20"/>
          <w:szCs w:val="20"/>
          <w:color w:val="auto"/>
        </w:rPr>
      </w:pPr>
      <w:r>
        <w:rPr>
          <w:rFonts w:ascii="Arial" w:cs="Arial" w:eastAsia="Arial" w:hAnsi="Arial"/>
          <w:sz w:val="14"/>
          <w:szCs w:val="14"/>
          <w:color w:val="auto"/>
        </w:rPr>
        <w:t>(In thousands, except per share data)</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Basic (loss) income per share:</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Continuing operations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Discontinued operations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Diluted (loss) income per share:</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Continuing operations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Discontinued operations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Shares used in computing basic (loss) income per share</w:t>
      </w:r>
    </w:p>
    <w:p>
      <w:pPr>
        <w:spacing w:after="0" w:line="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Shares used in computing diluted (loss) income per share</w:t>
      </w:r>
    </w:p>
    <w:p>
      <w:pPr>
        <w:spacing w:after="0" w:line="245" w:lineRule="exact"/>
        <w:rPr>
          <w:sz w:val="20"/>
          <w:szCs w:val="20"/>
          <w:color w:val="auto"/>
        </w:rPr>
      </w:pPr>
    </w:p>
    <w:p>
      <w:pPr>
        <w:ind w:right="780"/>
        <w:spacing w:after="0" w:line="259" w:lineRule="auto"/>
        <w:rPr>
          <w:sz w:val="20"/>
          <w:szCs w:val="20"/>
          <w:color w:val="auto"/>
        </w:rPr>
      </w:pPr>
      <w:r>
        <w:rPr>
          <w:rFonts w:ascii="Arial" w:cs="Arial" w:eastAsia="Arial" w:hAnsi="Arial"/>
          <w:sz w:val="18"/>
          <w:szCs w:val="18"/>
          <w:b w:val="1"/>
          <w:bCs w:val="1"/>
          <w:color w:val="auto"/>
        </w:rPr>
        <w:t xml:space="preserve">Consolidated Balance Sheet Data </w:t>
      </w:r>
      <w:r>
        <w:rPr>
          <w:rFonts w:ascii="Arial" w:cs="Arial" w:eastAsia="Arial" w:hAnsi="Arial"/>
          <w:sz w:val="16"/>
          <w:szCs w:val="16"/>
          <w:color w:val="auto"/>
        </w:rPr>
        <w:t>(In thousands)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Cash, cash equivalent and short-term 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(1)</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Long-term debt, net of current portion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 earnings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Transitional</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Period April 25,</w:t>
            </w: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Fiscal Year</w:t>
            </w:r>
          </w:p>
        </w:tc>
      </w:tr>
      <w:tr>
        <w:trPr>
          <w:trHeight w:val="203"/>
        </w:trPr>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2015 to December</w:t>
            </w:r>
          </w:p>
        </w:tc>
        <w:tc>
          <w:tcPr>
            <w:tcW w:w="12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Ended April</w:t>
            </w:r>
          </w:p>
        </w:tc>
      </w:tr>
      <w:tr>
        <w:trPr>
          <w:trHeight w:val="210"/>
        </w:trPr>
        <w:tc>
          <w:tcPr>
            <w:tcW w:w="100" w:type="dxa"/>
            <w:vAlign w:val="bottom"/>
          </w:tcPr>
          <w:p>
            <w:pPr>
              <w:spacing w:after="0"/>
              <w:rPr>
                <w:sz w:val="18"/>
                <w:szCs w:val="18"/>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31, 2015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24, 2015</w:t>
            </w:r>
          </w:p>
        </w:tc>
      </w:tr>
      <w:tr>
        <w:trPr>
          <w:trHeight w:val="33"/>
        </w:trPr>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01"/>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2.19</w:t>
            </w:r>
          </w:p>
        </w:tc>
      </w:tr>
      <w:tr>
        <w:trPr>
          <w:trHeight w:val="270"/>
        </w:trPr>
        <w:tc>
          <w:tcPr>
            <w:tcW w:w="1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2.19</w:t>
            </w:r>
          </w:p>
        </w:tc>
      </w:tr>
      <w:tr>
        <w:trPr>
          <w:trHeight w:val="33"/>
        </w:trPr>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12"/>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2.17</w:t>
            </w:r>
          </w:p>
        </w:tc>
      </w:tr>
      <w:tr>
        <w:trPr>
          <w:trHeight w:val="270"/>
        </w:trPr>
        <w:tc>
          <w:tcPr>
            <w:tcW w:w="1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2.17</w:t>
            </w:r>
          </w:p>
        </w:tc>
      </w:tr>
      <w:tr>
        <w:trPr>
          <w:trHeight w:val="33"/>
        </w:trPr>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31"/>
        </w:trPr>
        <w:tc>
          <w:tcPr>
            <w:tcW w:w="10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48,349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48,497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48,157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48,860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32,741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26,391</w:t>
            </w:r>
          </w:p>
        </w:tc>
      </w:tr>
      <w:tr>
        <w:trPr>
          <w:trHeight w:val="459"/>
        </w:trPr>
        <w:tc>
          <w:tcPr>
            <w:tcW w:w="10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48,349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48,497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48,501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49,014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32,741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26,626</w:t>
            </w:r>
          </w:p>
        </w:tc>
      </w:tr>
      <w:tr>
        <w:trPr>
          <w:trHeight w:val="505"/>
        </w:trPr>
        <w:tc>
          <w:tcPr>
            <w:tcW w:w="10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0"/>
        </w:trPr>
        <w:tc>
          <w:tcPr>
            <w:tcW w:w="100" w:type="dxa"/>
            <w:vAlign w:val="bottom"/>
          </w:tcPr>
          <w:p>
            <w:pPr>
              <w:spacing w:after="0"/>
              <w:rPr>
                <w:sz w:val="18"/>
                <w:szCs w:val="18"/>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April 24, 2015</w:t>
            </w:r>
          </w:p>
        </w:tc>
      </w:tr>
      <w:tr>
        <w:trPr>
          <w:trHeight w:val="33"/>
        </w:trPr>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61,137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47,204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93,615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39,789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119,610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151,207</w:t>
            </w:r>
          </w:p>
        </w:tc>
      </w:tr>
      <w:tr>
        <w:trPr>
          <w:trHeight w:val="270"/>
        </w:trPr>
        <w:tc>
          <w:tcPr>
            <w:tcW w:w="1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36,890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36,551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463,842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462,800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314,293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209,272</w:t>
            </w:r>
          </w:p>
        </w:tc>
      </w:tr>
      <w:tr>
        <w:trPr>
          <w:trHeight w:val="270"/>
        </w:trPr>
        <w:tc>
          <w:tcPr>
            <w:tcW w:w="1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2,411,797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2,549,701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2,503,891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2,342,631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2,558,739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315,944</w:t>
            </w:r>
          </w:p>
        </w:tc>
      </w:tr>
      <w:tr>
        <w:trPr>
          <w:trHeight w:val="270"/>
        </w:trPr>
        <w:tc>
          <w:tcPr>
            <w:tcW w:w="1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260,330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139,538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61,958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75,215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91,791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(406,755)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(251,579)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(39,664)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48,214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77,827</w:t>
            </w:r>
          </w:p>
        </w:tc>
      </w:tr>
      <w:tr>
        <w:trPr>
          <w:trHeight w:val="270"/>
        </w:trPr>
        <w:tc>
          <w:tcPr>
            <w:tcW w:w="1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1,383,717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1,503,738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1,815,314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1,706,909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1,811,462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276,574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-3709035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-3366135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-2962910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-2620010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-2268220</wp:posOffset>
            </wp:positionV>
            <wp:extent cx="72466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-1753870</wp:posOffset>
            </wp:positionV>
            <wp:extent cx="72466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-1007745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-664210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-321310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3320" w:space="200"/>
            <w:col w:w="7860"/>
          </w:cols>
          <w:pgMar w:left="280" w:top="828" w:right="239" w:bottom="1440" w:gutter="0" w:footer="0" w:header="0"/>
        </w:sectPr>
      </w:pPr>
    </w:p>
    <w:p>
      <w:pPr>
        <w:ind w:left="620" w:right="100" w:hanging="328"/>
        <w:spacing w:after="0" w:line="278" w:lineRule="auto"/>
        <w:tabs>
          <w:tab w:leader="none" w:pos="620" w:val="left"/>
        </w:tabs>
        <w:numPr>
          <w:ilvl w:val="0"/>
          <w:numId w:val="6"/>
        </w:numPr>
        <w:rPr>
          <w:rFonts w:ascii="Arial" w:cs="Arial" w:eastAsia="Arial" w:hAnsi="Arial"/>
          <w:sz w:val="14"/>
          <w:szCs w:val="14"/>
          <w:color w:val="auto"/>
        </w:rPr>
      </w:pPr>
      <w:r>
        <w:rPr>
          <w:rFonts w:ascii="Arial" w:cs="Arial" w:eastAsia="Arial" w:hAnsi="Arial"/>
          <w:sz w:val="16"/>
          <w:szCs w:val="16"/>
          <w:color w:val="auto"/>
        </w:rPr>
        <w:t>The selected financial data for fiscal year 2019 reflects the adoption of ASU 2016-02. Leases (Topic 842). For additional information refer to “Note 2. Basis of Presentation, Use of Accounting Estimates and Significant Accounting Policies.” The selected financial data for the periods prior to 2019 do not reflect the adoption of ASU 2016-02.</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80" w:top="828"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 xml:space="preserve">Item 7.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125"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You should read the following discussion and analysis together with the sections entitled “Business” and “Risk Factors” in Part I of this Annual Report on Form 10-K, the matters set forth in “Cautionary Statement About Forward-Looking Statements” and our consolidated financial statements and the related notes included elsewhere in this Annual Report on Form 10-K as of and for the years ended December 31, 2019, December 31, 2018 (“2018”) and December 31, 2017 (“2017”).</w:t>
      </w:r>
    </w:p>
    <w:p>
      <w:pPr>
        <w:spacing w:after="0" w:line="79" w:lineRule="exact"/>
        <w:rPr>
          <w:sz w:val="20"/>
          <w:szCs w:val="20"/>
          <w:color w:val="auto"/>
        </w:rPr>
      </w:pPr>
    </w:p>
    <w:p>
      <w:pPr>
        <w:jc w:val="both"/>
        <w:ind w:right="140" w:firstLine="162"/>
        <w:spacing w:after="0" w:line="286" w:lineRule="auto"/>
        <w:rPr>
          <w:sz w:val="20"/>
          <w:szCs w:val="20"/>
          <w:color w:val="auto"/>
        </w:rPr>
      </w:pPr>
      <w:r>
        <w:rPr>
          <w:rFonts w:ascii="Arial" w:cs="Arial" w:eastAsia="Arial" w:hAnsi="Arial"/>
          <w:sz w:val="17"/>
          <w:szCs w:val="17"/>
          <w:color w:val="auto"/>
        </w:rPr>
        <w:t>We have elected to omit certain discussions on the earliest of the three years covered in this Annual Report on Form 10-K. Refer to Item 7. Management’s Discussion and Analysis of Financial Condition and Results of Operations located in our Form 10-K for the year ended December 31, 2018, filed on March 18, 2019, for reference to discussion of the fiscal year ended December 31, 2017, the earliest of the three fiscal years presented.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the Business</w:t>
      </w:r>
    </w:p>
    <w:p>
      <w:pPr>
        <w:spacing w:after="0" w:line="125" w:lineRule="exact"/>
        <w:rPr>
          <w:sz w:val="20"/>
          <w:szCs w:val="20"/>
          <w:color w:val="auto"/>
        </w:rPr>
      </w:pPr>
    </w:p>
    <w:p>
      <w:pPr>
        <w:ind w:right="480" w:firstLine="162"/>
        <w:spacing w:after="0" w:line="276" w:lineRule="auto"/>
        <w:rPr>
          <w:sz w:val="20"/>
          <w:szCs w:val="20"/>
          <w:color w:val="auto"/>
        </w:rPr>
      </w:pPr>
      <w:r>
        <w:rPr>
          <w:rFonts w:ascii="Arial" w:cs="Arial" w:eastAsia="Arial" w:hAnsi="Arial"/>
          <w:sz w:val="17"/>
          <w:szCs w:val="17"/>
          <w:color w:val="auto"/>
        </w:rPr>
        <w:t>We are a public limited company organized under the laws of England and Wales, headquartered in London, England. We are a global medical device company focused on the development and delivery of important therapeutic solutions for the benefit of patients, healthcare professionals and healthcare systems throughout the world. Working closely with medical professionals in the fields of Cardiovascular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w:t>
      </w:r>
    </w:p>
    <w:p>
      <w:pPr>
        <w:spacing w:after="0" w:line="125"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We were organized under the laws of England and Wales on February 20, 2015 for the purpose of facilitating the business combination of Cyberonics, Inc., a Delaware corporation, and Sorin S.p.A., a joint stock company organized under the laws of Italy. The business combination became effective in October 2015. LivaNova’s ordinary shares are listed for trading on the NASDAQ Global Market under the symbol “LIVN.”</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Franchises</w:t>
      </w:r>
    </w:p>
    <w:p>
      <w:pPr>
        <w:spacing w:after="0" w:line="125"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LivaNova is comprised of two principal business franchises, which are also our reportable segments: Cardiovascular and Neuromodulation, corresponding to our primary therapeutic areas. Other corporate activities include corporate shared service expenses for finance, legal, human resources, information technology and New Ventures.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Cardiovascular</w:t>
      </w:r>
    </w:p>
    <w:p>
      <w:pPr>
        <w:spacing w:after="0" w:line="125" w:lineRule="exact"/>
        <w:rPr>
          <w:sz w:val="20"/>
          <w:szCs w:val="20"/>
          <w:color w:val="auto"/>
        </w:rPr>
      </w:pPr>
    </w:p>
    <w:p>
      <w:pPr>
        <w:ind w:right="280" w:firstLine="162"/>
        <w:spacing w:after="0" w:line="257" w:lineRule="auto"/>
        <w:rPr>
          <w:sz w:val="20"/>
          <w:szCs w:val="20"/>
          <w:color w:val="auto"/>
        </w:rPr>
      </w:pPr>
      <w:r>
        <w:rPr>
          <w:rFonts w:ascii="Arial" w:cs="Arial" w:eastAsia="Arial" w:hAnsi="Arial"/>
          <w:sz w:val="18"/>
          <w:szCs w:val="18"/>
          <w:color w:val="auto"/>
        </w:rPr>
        <w:t>Our Cardiovascular business franchise is engaged in the development, production and sale of cardiopulmonary products, heart valves and advanced circulatory support products. Cardiopulmonary products include oxygenators, heart-lung machines, autotransfusion systems, perfusion tubing systems, cannulae and other related accessories. Heart valves include mechanical heart valves, tissue heart valves, related repair products and minimally invasive surgical instruments. Advanced circulatory support includes temporary life support product kits that can include a combination of pumps, oxygenators and cannulae.</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Cardiopulmonary</w:t>
      </w:r>
    </w:p>
    <w:p>
      <w:pPr>
        <w:spacing w:after="0" w:line="110"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In July 2019, we launched Bi-Flow, our innovative arterial femoral cannula. Bi-Flow received CE Mark in early 2019 and is the only bidirectional arterial cannula designed to prevent leg ischemia during cardiac surgery procedures requiring femoral artery cannulation.</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Remediation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FDA Warning Letter</w:t>
      </w:r>
    </w:p>
    <w:p>
      <w:pPr>
        <w:spacing w:after="0" w:line="117" w:lineRule="exact"/>
        <w:rPr>
          <w:sz w:val="20"/>
          <w:szCs w:val="20"/>
          <w:color w:val="auto"/>
        </w:rPr>
      </w:pPr>
    </w:p>
    <w:p>
      <w:pPr>
        <w:ind w:right="100" w:firstLine="162"/>
        <w:spacing w:after="0" w:line="342" w:lineRule="auto"/>
        <w:rPr>
          <w:sz w:val="20"/>
          <w:szCs w:val="20"/>
          <w:color w:val="auto"/>
        </w:rPr>
      </w:pPr>
      <w:r>
        <w:rPr>
          <w:rFonts w:ascii="Arial" w:cs="Arial" w:eastAsia="Arial" w:hAnsi="Arial"/>
          <w:sz w:val="16"/>
          <w:szCs w:val="16"/>
          <w:color w:val="auto"/>
        </w:rPr>
        <w:t>On December 29, 2015, the FDA issued a Warning Letter alleging certain violations of FDA regulations applicable to medical device manufacturers at our Munich, Germany and Arvada, Colorado facilities and issued inspectional observations on FDA’s Form-483 applicable to our Munich, Germany facility.</w:t>
      </w:r>
    </w:p>
    <w:p>
      <w:pPr>
        <w:spacing w:after="0" w:line="16"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The Warning Letter further stated that our 3T Heater-Cooler devices (the “3T devices”) and other devices we manufactured at our Munich facility were subject to refusal of admission into the U.S. until resolution of the issues set forth by the FDA in the Warning Letter. The FDA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of all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2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66" w:right="239" w:bottom="1440" w:gutter="0" w:footer="0" w:header="0"/>
        </w:sectPr>
      </w:pPr>
    </w:p>
    <w:bookmarkStart w:id="29" w:name="page30"/>
    <w:bookmarkEnd w:id="29"/>
    <w:p>
      <w:pPr>
        <w:ind w:firstLine="162"/>
        <w:spacing w:after="0" w:line="264" w:lineRule="auto"/>
        <w:rPr>
          <w:sz w:val="20"/>
          <w:szCs w:val="20"/>
          <w:color w:val="auto"/>
        </w:rPr>
      </w:pPr>
      <w:r>
        <w:rPr>
          <w:rFonts w:ascii="Arial" w:cs="Arial" w:eastAsia="Arial" w:hAnsi="Arial"/>
          <w:sz w:val="18"/>
          <w:szCs w:val="18"/>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73"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w:t>
      </w:r>
    </w:p>
    <w:p>
      <w:pPr>
        <w:spacing w:after="0" w:line="79" w:lineRule="exact"/>
        <w:rPr>
          <w:sz w:val="20"/>
          <w:szCs w:val="20"/>
          <w:color w:val="auto"/>
        </w:rPr>
      </w:pPr>
    </w:p>
    <w:p>
      <w:pPr>
        <w:ind w:right="220" w:firstLine="162"/>
        <w:spacing w:after="0" w:line="259"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 For further information refer to “Note 14. Commitments and Contingencies” in our consolidated financial statements and accompanying notes, beginning on page F-1 of this Annual Report on Form 10-K.</w:t>
      </w:r>
    </w:p>
    <w:p>
      <w:pPr>
        <w:spacing w:after="0" w:line="79"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i w:val="1"/>
          <w:iCs w:val="1"/>
          <w:color w:val="auto"/>
        </w:rPr>
        <w:t>Centers for Disease Control and Prevention (“CDC”) and FDA Safety Communications, Company Field Safety Notice Update and Product Remediation Plan</w:t>
      </w:r>
    </w:p>
    <w:p>
      <w:pPr>
        <w:spacing w:after="0" w:line="62" w:lineRule="exact"/>
        <w:rPr>
          <w:sz w:val="20"/>
          <w:szCs w:val="20"/>
          <w:color w:val="auto"/>
        </w:rPr>
      </w:pPr>
    </w:p>
    <w:p>
      <w:pPr>
        <w:ind w:right="20" w:firstLine="162"/>
        <w:spacing w:after="0" w:line="253" w:lineRule="auto"/>
        <w:rPr>
          <w:sz w:val="20"/>
          <w:szCs w:val="20"/>
          <w:color w:val="auto"/>
        </w:rPr>
      </w:pPr>
      <w:r>
        <w:rPr>
          <w:rFonts w:ascii="Arial" w:cs="Arial" w:eastAsia="Arial" w:hAnsi="Arial"/>
          <w:sz w:val="18"/>
          <w:szCs w:val="18"/>
          <w:color w:val="auto"/>
        </w:rPr>
        <w:t xml:space="preserve">On October 13, 2016, the CDC and the FDA separately released safety notifications regarding the 3T devices. The CDC’s Morbidity and Mortality Weekly Report (“MMWR”) and Health Advisory Notice (“HAN”) reported that tests conducted by the CDC and its affiliates indicate that there appears to be genetic similarity between both patient and 3T device strains of the non-tuberculous mycobacterium bacteria </w:t>
      </w:r>
      <w:r>
        <w:rPr>
          <w:rFonts w:ascii="Arial" w:cs="Arial" w:eastAsia="Arial" w:hAnsi="Arial"/>
          <w:sz w:val="18"/>
          <w:szCs w:val="18"/>
          <w:i w:val="1"/>
          <w:iCs w:val="1"/>
          <w:color w:val="auto"/>
        </w:rPr>
        <w:t>M. chimaera</w:t>
      </w:r>
      <w:r>
        <w:rPr>
          <w:rFonts w:ascii="Arial" w:cs="Arial" w:eastAsia="Arial" w:hAnsi="Arial"/>
          <w:sz w:val="18"/>
          <w:szCs w:val="18"/>
          <w:color w:val="auto"/>
        </w:rPr>
        <w:t xml:space="preserve">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89"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This loaner program began in the U.S.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the risk mitigation strategies described above. We are currently implementing the vacuum and sealing upgrade program in as many countries as possible until all devices are upgraded. On April 12, 2018, the FDA agreed to allow us to move forward with the deep cleaning service in the U.S. adding to the growing list of countries around the world in which we offer this service. On October 11, 2018, after review of information provided by us, the FDA concluded that we could commence the vacuum and sealing upgrade program in the U.S., and on February 25, 2020, LivaNova received clearance for K191402, a 510(k) for the 3T devices that addressed issues contained in the 2015 Warning Letter along with design changes that further mitigate the potential risk of aerosolization. Furthermore, we continue to offer a no-charge deep disinfection service (deep cleaning service) for 3T device users as we receive the required regulatory approvals.</w:t>
      </w:r>
    </w:p>
    <w:p>
      <w:pPr>
        <w:spacing w:after="0" w:line="80"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December 31, 2019, the product remediation liability was $3.3 million. For further information, refer to “Note 7. Product Remediation Liability” in our consolidated financial statements and accompanying notes, beginning on page F-1 of this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Heart Valves</w:t>
      </w:r>
    </w:p>
    <w:p>
      <w:pPr>
        <w:spacing w:after="0" w:line="110"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color w:val="auto"/>
        </w:rPr>
        <w:t>In January 2018, we announced that we had started enrollment in our BELIEVE study. This study focuses on the overall incidence of reduced leaflet motion identified by CT imaging in patients receiving our aortic heart valve. We are planning to enroll a minimum of 75 patients at 11 sites in the U.S. and Canada.</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65" w:right="239" w:bottom="1440" w:gutter="0" w:footer="0" w:header="0"/>
        </w:sectPr>
      </w:pPr>
    </w:p>
    <w:bookmarkStart w:id="30" w:name="page31"/>
    <w:bookmarkEnd w:id="30"/>
    <w:p>
      <w:pPr>
        <w:ind w:right="500" w:firstLine="162"/>
        <w:spacing w:after="0" w:line="342" w:lineRule="auto"/>
        <w:rPr>
          <w:sz w:val="20"/>
          <w:szCs w:val="20"/>
          <w:color w:val="auto"/>
        </w:rPr>
      </w:pPr>
      <w:r>
        <w:rPr>
          <w:rFonts w:ascii="Arial" w:cs="Arial" w:eastAsia="Arial" w:hAnsi="Arial"/>
          <w:sz w:val="16"/>
          <w:szCs w:val="16"/>
          <w:color w:val="auto"/>
        </w:rPr>
        <w:t>In March 2018, we announced that we had started enrollment in PERFECT, a Perceval valve clinical study in China. The study is being conducted to demonstrate the safety and effectiveness of Perceval in the Chinese population. We plan to enroll up to 160 patients at 8 investigational sites.</w:t>
      </w:r>
    </w:p>
    <w:p>
      <w:pPr>
        <w:spacing w:after="0" w:line="16" w:lineRule="exact"/>
        <w:rPr>
          <w:sz w:val="20"/>
          <w:szCs w:val="20"/>
          <w:color w:val="auto"/>
        </w:rPr>
      </w:pPr>
    </w:p>
    <w:p>
      <w:pPr>
        <w:ind w:right="220" w:firstLine="162"/>
        <w:spacing w:after="0" w:line="291" w:lineRule="auto"/>
        <w:rPr>
          <w:sz w:val="20"/>
          <w:szCs w:val="20"/>
          <w:color w:val="auto"/>
        </w:rPr>
      </w:pPr>
      <w:r>
        <w:rPr>
          <w:rFonts w:ascii="Arial" w:cs="Arial" w:eastAsia="Arial" w:hAnsi="Arial"/>
          <w:sz w:val="16"/>
          <w:szCs w:val="16"/>
          <w:color w:val="auto"/>
        </w:rPr>
        <w:t>In June 2018, we announced that Japan’s Ministry of Health, Labour and Welfare approved our Perceval sutureless aortic heart valve to treat aortic valve disease, which will enable us to provide patients and clinicians in Japan with a new option for aortic heart valve replacement. In February 2019,</w:t>
      </w:r>
    </w:p>
    <w:p>
      <w:pPr>
        <w:spacing w:after="0"/>
        <w:rPr>
          <w:sz w:val="20"/>
          <w:szCs w:val="20"/>
          <w:color w:val="auto"/>
        </w:rPr>
      </w:pPr>
      <w:r>
        <w:rPr>
          <w:rFonts w:ascii="Arial" w:cs="Arial" w:eastAsia="Arial" w:hAnsi="Arial"/>
          <w:sz w:val="16"/>
          <w:szCs w:val="16"/>
          <w:color w:val="auto"/>
        </w:rPr>
        <w:t>Japan’s Ministry of Health, Labour and Welfare granted national reimbursement for the Perceval sutureless aortic heart valve to treat aortic valve disease.</w:t>
      </w:r>
    </w:p>
    <w:p>
      <w:pPr>
        <w:spacing w:after="0" w:line="126"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In June 2018, we announced FDA 510(k) clearance of the MEMO 4D semi-rigid mitral annuloplasty ring and confirmed the first implantation of the device. In October 2018, we received CE mark approval for Memo 4D. This next-generation of the MEMO device family offers several innovations, such as broader range of ring sizes, a new ring design and true semi-rigid stability and flexibility that allows us to reach a larger patient population with MR for treatment with the potential to improve patient outcomes.</w:t>
      </w:r>
    </w:p>
    <w:p>
      <w:pPr>
        <w:spacing w:after="0" w:line="79" w:lineRule="exact"/>
        <w:rPr>
          <w:sz w:val="20"/>
          <w:szCs w:val="20"/>
          <w:color w:val="auto"/>
        </w:rPr>
      </w:pPr>
    </w:p>
    <w:p>
      <w:pPr>
        <w:ind w:right="560" w:firstLine="162"/>
        <w:spacing w:after="0" w:line="308" w:lineRule="auto"/>
        <w:rPr>
          <w:sz w:val="20"/>
          <w:szCs w:val="20"/>
          <w:color w:val="auto"/>
        </w:rPr>
      </w:pPr>
      <w:r>
        <w:rPr>
          <w:rFonts w:ascii="Arial" w:cs="Arial" w:eastAsia="Arial" w:hAnsi="Arial"/>
          <w:sz w:val="17"/>
          <w:szCs w:val="17"/>
          <w:color w:val="auto"/>
        </w:rPr>
        <w:t>In June 2019, we acquired Miami Instruments, LLC’s minimally invasive cardiac surgery instruments business for cash consideration of up to $17.0 million. The related operations are integrated into our Cardiovascular business franchise as part of our Heart Valves portfolio.</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Advanced Circulatory Support</w:t>
      </w:r>
    </w:p>
    <w:p>
      <w:pPr>
        <w:spacing w:after="0" w:line="110" w:lineRule="exact"/>
        <w:rPr>
          <w:sz w:val="20"/>
          <w:szCs w:val="20"/>
          <w:color w:val="auto"/>
        </w:rPr>
      </w:pPr>
    </w:p>
    <w:p>
      <w:pPr>
        <w:jc w:val="both"/>
        <w:ind w:right="100" w:firstLine="162"/>
        <w:spacing w:after="0" w:line="264" w:lineRule="auto"/>
        <w:rPr>
          <w:sz w:val="20"/>
          <w:szCs w:val="20"/>
          <w:color w:val="auto"/>
        </w:rPr>
      </w:pPr>
      <w:r>
        <w:rPr>
          <w:rFonts w:ascii="Arial" w:cs="Arial" w:eastAsia="Arial" w:hAnsi="Arial"/>
          <w:sz w:val="18"/>
          <w:szCs w:val="18"/>
          <w:color w:val="auto"/>
        </w:rPr>
        <w:t>In April 2018, we acquired TandemLife, which is focused on the delivery of leading-edge temporary life support products, including cardiopulmonary and respiratory support solutions. For further information, refer to “Note 4. Business Combinations” in our consolidated financial statements and accompanying notes, beginning on page F-1 of this Annual Report on Form 10-K.</w:t>
      </w:r>
    </w:p>
    <w:p>
      <w:pPr>
        <w:spacing w:after="0" w:line="73" w:lineRule="exact"/>
        <w:rPr>
          <w:sz w:val="20"/>
          <w:szCs w:val="20"/>
          <w:color w:val="auto"/>
        </w:rPr>
      </w:pPr>
    </w:p>
    <w:p>
      <w:pPr>
        <w:jc w:val="both"/>
        <w:ind w:right="100" w:firstLine="162"/>
        <w:spacing w:after="0" w:line="277" w:lineRule="auto"/>
        <w:rPr>
          <w:sz w:val="20"/>
          <w:szCs w:val="20"/>
          <w:color w:val="auto"/>
        </w:rPr>
      </w:pPr>
      <w:r>
        <w:rPr>
          <w:rFonts w:ascii="Arial" w:cs="Arial" w:eastAsia="Arial" w:hAnsi="Arial"/>
          <w:sz w:val="18"/>
          <w:szCs w:val="18"/>
          <w:color w:val="auto"/>
        </w:rPr>
        <w:t>In July 2019, the FDA approved our LifeSPARC system, a new generation of the Advanced Circulatory Support pump and controller. In the fourth quarter of 2019, we began a limited commercial release in the U.S. and expect a full commercial launch in the second half of 2020.</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Neuromodulation</w:t>
      </w:r>
    </w:p>
    <w:p>
      <w:pPr>
        <w:spacing w:after="0" w:line="125"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color w:val="auto"/>
        </w:rPr>
        <w:t>Our Neuromodulation business franchise designs, develops and markets Neuromodulation therapy for the treatment of drug-resistant epilepsy, DTD and obstructive sleep apnea. We are also developing and conducting clinical testing of the VITARIA System for treating heart failure through vagus nerve stimulation.</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Epilepsy</w:t>
      </w:r>
    </w:p>
    <w:p>
      <w:pPr>
        <w:spacing w:after="0" w:line="110" w:lineRule="exact"/>
        <w:rPr>
          <w:sz w:val="20"/>
          <w:szCs w:val="20"/>
          <w:color w:val="auto"/>
        </w:rPr>
      </w:pPr>
    </w:p>
    <w:p>
      <w:pPr>
        <w:ind w:firstLine="162"/>
        <w:spacing w:after="0" w:line="286" w:lineRule="auto"/>
        <w:rPr>
          <w:sz w:val="20"/>
          <w:szCs w:val="20"/>
          <w:color w:val="auto"/>
        </w:rPr>
      </w:pPr>
      <w:r>
        <w:rPr>
          <w:rFonts w:ascii="Arial" w:cs="Arial" w:eastAsia="Arial" w:hAnsi="Arial"/>
          <w:sz w:val="17"/>
          <w:szCs w:val="17"/>
          <w:color w:val="auto"/>
        </w:rPr>
        <w:t>Our product development efforts are directed toward improving the VNS Therapy System and developing new products that provide additional features and functionality. We are conducting ongoing product development activities to enhance the VNS Therapy System pulse generator, lead and programming software, and we support studies for our product development efforts and to build clinical evidence for the VNS Therapy System.</w:t>
      </w:r>
    </w:p>
    <w:p>
      <w:pPr>
        <w:spacing w:after="0" w:line="57"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In October 2017, we obtained FDA approval and in April 2018, we received CE mark approval for our SenTiva VNS Therapy System, which consists of the SenTiva implantable generator and the next-generation VNS Therapy Programming System. SenTiva is the smallest and lightest responsive therapy for epilepsy. The new VNS Therapy Programming System features a wireless wand and new user interface on a small tablet. Together, these components offer patients with drug-resistant epilepsy a physician-directed, customizable therapy with smart technology that reduces the number of seizures, lessens the duration of seizures and enables a faster recovery.</w:t>
      </w:r>
    </w:p>
    <w:p>
      <w:pPr>
        <w:spacing w:after="0" w:line="80" w:lineRule="exact"/>
        <w:rPr>
          <w:sz w:val="20"/>
          <w:szCs w:val="20"/>
          <w:color w:val="auto"/>
        </w:rPr>
      </w:pPr>
    </w:p>
    <w:p>
      <w:pPr>
        <w:ind w:right="240" w:firstLine="162"/>
        <w:spacing w:after="0" w:line="259" w:lineRule="auto"/>
        <w:rPr>
          <w:sz w:val="20"/>
          <w:szCs w:val="20"/>
          <w:color w:val="auto"/>
        </w:rPr>
      </w:pPr>
      <w:r>
        <w:rPr>
          <w:rFonts w:ascii="Arial" w:cs="Arial" w:eastAsia="Arial" w:hAnsi="Arial"/>
          <w:sz w:val="18"/>
          <w:szCs w:val="18"/>
          <w:color w:val="auto"/>
        </w:rPr>
        <w:t>In March 2018, we announced the launch and enrollment of the first patient in a clinical study to examine the use of our VNS Therapy System using Microburst technology. This feasibility study will determine the initial safety and effectiveness of delivering VNS Therapy using high frequency bursts of stimulation in patients who have drug-resistant epilepsy. The study consists of two cohorts, enrolling up to 40 patients at approximately 15 sites in the U.S. and Europe.</w:t>
      </w:r>
    </w:p>
    <w:p>
      <w:pPr>
        <w:spacing w:after="0" w:line="79"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In August 2018, we announced a new cost analysis that found our VNS Therapy System results in lower resource utilization and lower cost for drug-resistant epilepsy patients when compared to continued treatment with anti-epileptic drugs. The analysis showed initial costs for the VNS Therapy device, including placement and programming, were estimated to be offset 1.7 years post-implant and equated to an estimated net cost savings of $77,480 per patient over five years. The net cost savings are due primarily to a reduction in seizure-related hospitalizations, resulting in a 21.5% decrease in costs compared to treatment with anti-epileptic drugs alone.</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665" w:right="259" w:bottom="1440" w:gutter="0" w:footer="0" w:header="0"/>
        </w:sectPr>
      </w:pPr>
    </w:p>
    <w:bookmarkStart w:id="31" w:name="page32"/>
    <w:bookmarkEnd w:id="31"/>
    <w:p>
      <w:pPr>
        <w:spacing w:after="0"/>
        <w:rPr>
          <w:sz w:val="20"/>
          <w:szCs w:val="20"/>
          <w:color w:val="auto"/>
        </w:rPr>
      </w:pPr>
      <w:r>
        <w:rPr>
          <w:rFonts w:ascii="Arial" w:cs="Arial" w:eastAsia="Arial" w:hAnsi="Arial"/>
          <w:sz w:val="20"/>
          <w:szCs w:val="20"/>
          <w:i w:val="1"/>
          <w:iCs w:val="1"/>
          <w:color w:val="auto"/>
        </w:rPr>
        <w:t>Depression</w:t>
      </w:r>
    </w:p>
    <w:p>
      <w:pPr>
        <w:spacing w:after="0" w:line="110"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In March 2017, the American Journal of Psychiatry published the results of the longest and largest naturalistic study on effective treatments for patients experiencing chronic and severe depression. The findings showed that the use of a VNS Therapy System in conjunction with traditional treatment methods is effective in reducing symptoms in patients with DTD.</w:t>
      </w:r>
    </w:p>
    <w:p>
      <w:pPr>
        <w:spacing w:after="0" w:line="73"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In January 2018, we announced the launch and enrollment of the first patient in our Global RESTORE-LIFE study, which evaluates the use of our VNS Therapy System in patients who have DTD and failed to achieve an adequate response to standard psychiatric management. We expect to enroll up to 500 patients at approximately 80 sites outside of the U.S. We are currently enrolling patients in Germany and will expand to other countries during the remainder of the year.</w:t>
      </w:r>
    </w:p>
    <w:p>
      <w:pPr>
        <w:spacing w:after="0" w:line="79"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In July 2005, the FDA approved the VNS Therapy System for the adjunctive treatment of chronic or recurrent depression for patients 18 years or older who are experiencing a major depressive episode and have not had an adequate response to four or more antidepressant treatments. In May 2007, CMS issued a national determination of non-coverage within the U.S. with respect to reimbursement of the VNS Therapy System for patients with DTD, significantly limiting access to this therapeutic option for most patients. In May 2018, CMS published a tracking sheet to reconsider its National Coverage Determination (“NCD”) of our VNS Therapy System for DTD in response to a letter that we submitted to CMS requesting a formal reconsideration of the NCD. We requested this review after a significant body of new evidence emerged about DTD and the role of VNS Therapy in its treatment.</w:t>
      </w:r>
    </w:p>
    <w:p>
      <w:pPr>
        <w:spacing w:after="0" w:line="57"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In February 2019, CMS finalized its NCD for the VNS Therapy System for DTD. This final decision initiates coverage for Medicare beneficiaries through Coverage with Evidence Development (“CED”) when offered in a CMS-approved, double-blind, randomized, placebo-controlled trial with a follow-up duration of at least one year, as well as coverage for VNS Therapy device replacement. The CED also includes the possibility to extend the study to a prospective longitudinal study.</w:t>
      </w:r>
    </w:p>
    <w:p>
      <w:pPr>
        <w:spacing w:after="0" w:line="79"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In September 2019, CMS accepted the protocol for our RECOVER clinical study, evaluating VNS Therapy for DTD. RECOVER is a double-blind randomized, placebo-controlled study with a follow-up duration of at least one year. The CED framework also includes the possibility to extend the study to a prospective registry. RECOVER will include up to 500 unipolar and up to 500 bipolar patients at a maximum of 100 sites in the United States. On September 27, 2019, the first patient was enrolled in the RECOVER study. Separate from the study, CMS is also covering device replacement for patients with a VNS Therapy device for DTD.</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Obstructive Sleep Apnea</w:t>
      </w:r>
    </w:p>
    <w:p>
      <w:pPr>
        <w:spacing w:after="0" w:line="110" w:lineRule="exact"/>
        <w:rPr>
          <w:sz w:val="20"/>
          <w:szCs w:val="20"/>
          <w:color w:val="auto"/>
        </w:rPr>
      </w:pPr>
    </w:p>
    <w:p>
      <w:pPr>
        <w:ind w:right="120" w:firstLine="162"/>
        <w:spacing w:after="0" w:line="276" w:lineRule="auto"/>
        <w:rPr>
          <w:sz w:val="20"/>
          <w:szCs w:val="20"/>
          <w:color w:val="auto"/>
        </w:rPr>
      </w:pPr>
      <w:r>
        <w:rPr>
          <w:rFonts w:ascii="Arial" w:cs="Arial" w:eastAsia="Arial" w:hAnsi="Arial"/>
          <w:sz w:val="17"/>
          <w:szCs w:val="17"/>
          <w:color w:val="auto"/>
        </w:rPr>
        <w:t>We have invested in ImThera, a privately held, emerging-growth company developing an implantable neurostimulation device system for the treatment of obstructive sleep apnea, since 2011. On January 16, 2018, we acquired the remaining 86% outstanding equity interests in ImThera for up to approximately $225 million. Up-front costs were approximately $78 million with the balance paid on a schedule driven by regulatory and sales milestones. ImThera manufactures an implantable device that stimulates multiple tongue muscles via the hypoglossal nerve, which opens the airway while a patient is sleeping. ImThera has a commercial presence in the European market, and an FDA pivotal study is ongoing in the U.S.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Heart Failure</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are focused on the development and clinical testing of the VITARIA System for treating heart failure through vagus nerve stimulation.</w:t>
      </w:r>
    </w:p>
    <w:p>
      <w:pPr>
        <w:spacing w:after="0" w:line="117"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The VITARIA System provides a specific method of VNS called autonomic regulation therapy (“ART”), and it includes the same elements as the VNS Therapy System. We conducted a pilot study, ANTHEM-HF, outside the U.S., which concluded in 2014. The study results support the safety and efficacy of ART delivered by the VITARIA System. During 2014, we also initiated a second pilot study, ANTHEM-HFPEF, to study ART in patients experiencing symptomatic heart failure with preserved ejection fraction. This pilot study is currently underway outside the U.S. The VITARIA System is not approved in the U.S.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September 2018, we announced the first successful implantation of the VITARIA System in a patient enrolled in the ANTHEM-HFrEF pivotal study.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ANTHEM-HFrEF is an international, multi-center, randomized trial to evaluate the VITARIA System for the treatment of advanced heart failure.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Discontinued Operations</w:t>
      </w:r>
    </w:p>
    <w:p>
      <w:pPr>
        <w:spacing w:after="0" w:line="125"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We completed the sale of our CRM business franchise to MicroPort Cardiac Rhythm B.V. and MicroPort Scientific Corporation (the “CRM Sale”) on April 30, 2018 for total cash proceeds of $195.9 million, less cash transferred of $9.2 million, subject to a closing working capital adjustment. In conjunction with the CRM Sale, we entered into transition services agreements to provide certain support services generally for up to twelve months from the closing date of the sale. We</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663" w:right="279" w:bottom="1440" w:gutter="0" w:footer="0" w:header="0"/>
        </w:sectPr>
      </w:pPr>
    </w:p>
    <w:bookmarkStart w:id="32" w:name="page33"/>
    <w:bookmarkEnd w:id="32"/>
    <w:p>
      <w:pPr>
        <w:ind w:right="160"/>
        <w:spacing w:after="0" w:line="259" w:lineRule="auto"/>
        <w:rPr>
          <w:sz w:val="20"/>
          <w:szCs w:val="20"/>
          <w:color w:val="auto"/>
        </w:rPr>
      </w:pPr>
      <w:r>
        <w:rPr>
          <w:rFonts w:ascii="Arial" w:cs="Arial" w:eastAsia="Arial" w:hAnsi="Arial"/>
          <w:sz w:val="18"/>
          <w:szCs w:val="18"/>
          <w:color w:val="auto"/>
        </w:rPr>
        <w:t>previously concluded that the sale of CRM represented a strategic shift in our business that has a major effect on future operations and financial results. Accordingly, the results of operations of the CRM business franchise are reflected as discontinued operations for all periods presented in this Annual Report on Form 10-K. For further information, refer to “Note 5. Discontinued Operations” in our consolidated financial statements and accompanying notes, beginning on page F-1 of this Annual Report on Form 10-K.</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Activities and New Ventures Update</w:t>
      </w:r>
    </w:p>
    <w:p>
      <w:pPr>
        <w:spacing w:after="0" w:line="125"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color w:val="auto"/>
        </w:rPr>
        <w:t>Corporate activities include shared services for finance, legal, human resources and information technology, corporate business development and New Ventures.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Mitral Valve Regurgitation</w:t>
      </w:r>
    </w:p>
    <w:p>
      <w:pPr>
        <w:spacing w:after="0" w:line="110" w:lineRule="exact"/>
        <w:rPr>
          <w:sz w:val="20"/>
          <w:szCs w:val="20"/>
          <w:color w:val="auto"/>
        </w:rPr>
      </w:pPr>
    </w:p>
    <w:p>
      <w:pPr>
        <w:ind w:right="200" w:firstLine="162"/>
        <w:spacing w:after="0" w:line="312" w:lineRule="auto"/>
        <w:rPr>
          <w:sz w:val="20"/>
          <w:szCs w:val="20"/>
          <w:color w:val="auto"/>
        </w:rPr>
      </w:pPr>
      <w:r>
        <w:rPr>
          <w:rFonts w:ascii="Arial" w:cs="Arial" w:eastAsia="Arial" w:hAnsi="Arial"/>
          <w:sz w:val="16"/>
          <w:szCs w:val="16"/>
          <w:color w:val="auto"/>
        </w:rPr>
        <w:t>MR occurs when the heart’s mitral valve does not close tightly, which allows blood to flow backwards in the heart. This reduces the amount of blood that flows to the rest of the body, making the patient feel tired or out of breath. Treatment depends on the nature and the severity of MR. In certain cases, heart surgery may be needed to repair or replace the valve. Left untreated, severe MR can cause heart failure or heart rhythm problems (arrhythmias).</w:t>
      </w:r>
    </w:p>
    <w:p>
      <w:pPr>
        <w:spacing w:after="0" w:line="39" w:lineRule="exact"/>
        <w:rPr>
          <w:sz w:val="20"/>
          <w:szCs w:val="20"/>
          <w:color w:val="auto"/>
        </w:rPr>
      </w:pPr>
    </w:p>
    <w:p>
      <w:pPr>
        <w:ind w:right="180" w:firstLine="162"/>
        <w:spacing w:after="0" w:line="286" w:lineRule="auto"/>
        <w:rPr>
          <w:sz w:val="20"/>
          <w:szCs w:val="20"/>
          <w:color w:val="auto"/>
        </w:rPr>
      </w:pPr>
      <w:r>
        <w:rPr>
          <w:rFonts w:ascii="Arial" w:cs="Arial" w:eastAsia="Arial" w:hAnsi="Arial"/>
          <w:sz w:val="17"/>
          <w:szCs w:val="17"/>
          <w:color w:val="auto"/>
        </w:rPr>
        <w:t>In May 2017, we acquired the remaining 51% outstanding equity interests in Caisson, a clinical-stage medical device company focused on the design, development and clinical evaluation of a novel TMVR implant device with a fully transvenous delivery system for the treatment of MR for a purchase price of up to $72.0 million. As a result of our acquisition of Caisson, we began consolidating the results of Caisson as of May 2, 2017.</w:t>
      </w:r>
    </w:p>
    <w:p>
      <w:pPr>
        <w:spacing w:after="0" w:line="57" w:lineRule="exact"/>
        <w:rPr>
          <w:sz w:val="20"/>
          <w:szCs w:val="20"/>
          <w:color w:val="auto"/>
        </w:rPr>
      </w:pPr>
    </w:p>
    <w:p>
      <w:pPr>
        <w:jc w:val="both"/>
        <w:ind w:right="160" w:firstLine="162"/>
        <w:spacing w:after="0" w:line="264" w:lineRule="auto"/>
        <w:rPr>
          <w:sz w:val="20"/>
          <w:szCs w:val="20"/>
          <w:color w:val="auto"/>
        </w:rPr>
      </w:pPr>
      <w:r>
        <w:rPr>
          <w:rFonts w:ascii="Arial" w:cs="Arial" w:eastAsia="Arial" w:hAnsi="Arial"/>
          <w:sz w:val="18"/>
          <w:szCs w:val="18"/>
          <w:color w:val="auto"/>
        </w:rPr>
        <w:t>As we announced in November 2019, we ended our Caisson TMVR program effective December 31, 2019, and as a result, we fully impaired the IPR&amp;D asset and goodwill of $89.0 million and $42.4 million, respectively. Patients who participated in clinical trials related to TMVR will continue to be followed within the parameters of the trial.</w:t>
      </w:r>
    </w:p>
    <w:p>
      <w:pPr>
        <w:spacing w:after="0" w:line="73"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We are also invested in two mitral valve startups, Cardiosolutions, Inc. (“Cardiosolutions”) and Highlife S.A.S. (“Highlife”). Cardiosolutions, a startup headquartered in the U.S. in which we have held an interest since 2012, is developing an innovative spacer technology for treating MR. Highlife, headquartered in France, is focused on developing devices for treating MR through percutaneous replacement of the native mitral valve. We recognized an impairment of our equity method investment in, and notes receivable from, Highlife during the year ended December 31, 2017, due to certain factors including a revision in our investment strategy indicating that the carrying value of our aggregate investment might not be recoverable and that the decrease in value of our aggregate investment was other than temporary. We, therefore, estimated the fair value of our investment and notes receivable using the market approach and recorded an aggregate impairment of $13.0 million. For further information regarding Highlife, refer to “Note 9. Investments” in our consolidated financial statements and accompanying notes, beginning on page F-1 of this Annual Report on Form 10-K.</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Central Sleep Apnea</w:t>
      </w:r>
    </w:p>
    <w:p>
      <w:pPr>
        <w:spacing w:after="0" w:line="110" w:lineRule="exact"/>
        <w:rPr>
          <w:sz w:val="20"/>
          <w:szCs w:val="20"/>
          <w:color w:val="auto"/>
        </w:rPr>
      </w:pPr>
    </w:p>
    <w:p>
      <w:pPr>
        <w:ind w:right="60" w:firstLine="162"/>
        <w:spacing w:after="0" w:line="254" w:lineRule="auto"/>
        <w:rPr>
          <w:sz w:val="20"/>
          <w:szCs w:val="20"/>
          <w:color w:val="auto"/>
        </w:rPr>
      </w:pPr>
      <w:r>
        <w:rPr>
          <w:rFonts w:ascii="Arial" w:cs="Arial" w:eastAsia="Arial" w:hAnsi="Arial"/>
          <w:sz w:val="18"/>
          <w:szCs w:val="18"/>
          <w:color w:val="auto"/>
        </w:rPr>
        <w:t>We are invested in Respicardia Inc. (“Respicardia”), a U.S.-based developer of implantable therapies designed to improve Respiratory Rhythm Management and cardiovascular health. Respicardia’s remedē System is an implantable device system designed to restore a more natural breathing pattern during sleep in patients with central sleep apnea by transvenously stimulating the phrenic nerve. The remedē System received CE Mark certification in 2010 and in October 2017, Respicardia received U.S. FDA market approval. In December 2017, certain factors, including an additional round of external financing with a new investor, indicated that the carrying value of our investment might not be recoverable and the decrease in value of our investment was other than temporary. Our estimate of the fair value of our investment using the income approach was below our carrying value and as a result, we recorded an impairment of $5.5 million. This impairment was recorded in impairment of investments in our consolidated statement of income (loss) for our fiscal year 2017.</w:t>
      </w: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65" w:right="2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Results of Operations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gridSpan w:val="8"/>
          </w:tcPr>
          <w:p>
            <w:pPr>
              <w:ind w:left="180"/>
              <w:spacing w:after="0"/>
              <w:rPr>
                <w:sz w:val="20"/>
                <w:szCs w:val="20"/>
                <w:color w:val="auto"/>
              </w:rPr>
            </w:pPr>
            <w:r>
              <w:rPr>
                <w:rFonts w:ascii="Arial" w:cs="Arial" w:eastAsia="Arial" w:hAnsi="Arial"/>
                <w:sz w:val="18"/>
                <w:szCs w:val="18"/>
                <w:color w:val="auto"/>
                <w:w w:val="91"/>
              </w:rPr>
              <w:t>The following table summarizes our consolidated results for the years ended December 31, 2019, 2018 and 2017 (in thousands):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5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40" w:type="dxa"/>
            <w:vAlign w:val="bottom"/>
            <w:gridSpan w:val="4"/>
          </w:tcPr>
          <w:p>
            <w:pPr>
              <w:ind w:left="40"/>
              <w:spacing w:after="0"/>
              <w:rPr>
                <w:sz w:val="20"/>
                <w:szCs w:val="20"/>
                <w:color w:val="auto"/>
              </w:rPr>
            </w:pPr>
            <w:r>
              <w:rPr>
                <w:rFonts w:ascii="Arial" w:cs="Arial" w:eastAsia="Arial" w:hAnsi="Arial"/>
                <w:sz w:val="18"/>
                <w:szCs w:val="18"/>
                <w:b w:val="1"/>
                <w:bCs w:val="1"/>
                <w:color w:val="auto"/>
                <w:w w:val="89"/>
              </w:rPr>
              <w:t>Year Ended December 31,</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5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5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80" w:type="dxa"/>
            <w:vAlign w:val="bottom"/>
            <w:tcBorders>
              <w:bottom w:val="single" w:sz="8" w:color="CCEEFF"/>
            </w:tcBorders>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1,084,170</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1,106,961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1,012,277</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 - exclusive of amortization</w:t>
            </w:r>
          </w:p>
        </w:tc>
        <w:tc>
          <w:tcPr>
            <w:tcW w:w="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323,635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361,812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353,192</w:t>
            </w: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Product remediation</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15,777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10,680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7,254</w:t>
            </w:r>
          </w:p>
        </w:tc>
      </w:tr>
      <w:tr>
        <w:trPr>
          <w:trHeight w:val="27"/>
        </w:trPr>
        <w:tc>
          <w:tcPr>
            <w:tcW w:w="5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506,542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464,967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380,100</w:t>
            </w: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149,889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146,024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109,516</w:t>
            </w:r>
          </w:p>
        </w:tc>
      </w:tr>
      <w:tr>
        <w:trPr>
          <w:trHeight w:val="27"/>
        </w:trPr>
        <w:tc>
          <w:tcPr>
            <w:tcW w:w="5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expenses</w:t>
            </w:r>
          </w:p>
        </w:tc>
        <w:tc>
          <w:tcPr>
            <w:tcW w:w="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15,528</w:t>
            </w: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12,254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15,915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17,056</w:t>
            </w:r>
          </w:p>
        </w:tc>
      </w:tr>
      <w:tr>
        <w:trPr>
          <w:trHeight w:val="27"/>
        </w:trPr>
        <w:tc>
          <w:tcPr>
            <w:tcW w:w="5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goodwill</w:t>
            </w:r>
          </w:p>
        </w:tc>
        <w:tc>
          <w:tcPr>
            <w:tcW w:w="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Impairment of intangible assets</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139,295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33,144</w:t>
            </w: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Litigation provision, net</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294,021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 income from continuing operations</w:t>
            </w:r>
          </w:p>
        </w:tc>
        <w:tc>
          <w:tcPr>
            <w:tcW w:w="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96,487</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1,318</w:t>
            </w:r>
          </w:p>
        </w:tc>
      </w:tr>
      <w:tr>
        <w:trPr>
          <w:trHeight w:val="27"/>
        </w:trPr>
        <w:tc>
          <w:tcPr>
            <w:tcW w:w="5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Gain on acquisitions</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11,484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39,428</w:t>
            </w:r>
          </w:p>
        </w:tc>
      </w:tr>
      <w:tr>
        <w:trPr>
          <w:trHeight w:val="27"/>
        </w:trPr>
        <w:tc>
          <w:tcPr>
            <w:tcW w:w="5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investments</w:t>
            </w:r>
          </w:p>
        </w:tc>
        <w:tc>
          <w:tcPr>
            <w:tcW w:w="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(8,565)</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
        </w:trPr>
        <w:tc>
          <w:tcPr>
            <w:tcW w:w="5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continuing operations before tax</w:t>
            </w:r>
          </w:p>
        </w:tc>
        <w:tc>
          <w:tcPr>
            <w:tcW w:w="6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(247,447)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121,138</w:t>
            </w: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6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(30,153)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(69,629)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49,954</w:t>
            </w:r>
          </w:p>
        </w:tc>
      </w:tr>
      <w:tr>
        <w:trPr>
          <w:trHeight w:val="27"/>
        </w:trPr>
        <w:tc>
          <w:tcPr>
            <w:tcW w:w="5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6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(16,719)</w:t>
            </w:r>
          </w:p>
        </w:tc>
      </w:tr>
      <w:tr>
        <w:trPr>
          <w:trHeight w:val="237"/>
        </w:trPr>
        <w:tc>
          <w:tcPr>
            <w:tcW w:w="5100" w:type="dxa"/>
            <w:vAlign w:val="bottom"/>
          </w:tcPr>
          <w:p>
            <w:pPr>
              <w:ind w:left="280"/>
              <w:spacing w:after="0"/>
              <w:rPr>
                <w:sz w:val="20"/>
                <w:szCs w:val="20"/>
                <w:color w:val="auto"/>
              </w:rPr>
            </w:pPr>
            <w:r>
              <w:rPr>
                <w:rFonts w:ascii="Arial" w:cs="Arial" w:eastAsia="Arial" w:hAnsi="Arial"/>
                <w:sz w:val="18"/>
                <w:szCs w:val="18"/>
                <w:color w:val="auto"/>
              </w:rPr>
              <w:t>Net (loss) income from continuing operations</w:t>
            </w:r>
          </w:p>
        </w:tc>
        <w:tc>
          <w:tcPr>
            <w:tcW w:w="6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(155,541)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(178,462)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54,465</w:t>
            </w:r>
          </w:p>
        </w:tc>
      </w:tr>
      <w:tr>
        <w:trPr>
          <w:trHeight w:val="27"/>
        </w:trPr>
        <w:tc>
          <w:tcPr>
            <w:tcW w:w="5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(10,937)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(1,271)</w:t>
            </w:r>
          </w:p>
        </w:tc>
      </w:tr>
      <w:tr>
        <w:trPr>
          <w:trHeight w:val="27"/>
        </w:trPr>
        <w:tc>
          <w:tcPr>
            <w:tcW w:w="5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discontinued operations, net of tax</w:t>
            </w:r>
          </w:p>
        </w:tc>
        <w:tc>
          <w:tcPr>
            <w:tcW w:w="6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(78,283)</w:t>
            </w:r>
          </w:p>
        </w:tc>
      </w:tr>
      <w:tr>
        <w:trPr>
          <w:trHeight w:val="237"/>
        </w:trPr>
        <w:tc>
          <w:tcPr>
            <w:tcW w:w="5100" w:type="dxa"/>
            <w:vAlign w:val="bottom"/>
          </w:tcPr>
          <w:p>
            <w:pPr>
              <w:ind w:left="280"/>
              <w:spacing w:after="0"/>
              <w:rPr>
                <w:sz w:val="20"/>
                <w:szCs w:val="20"/>
                <w:color w:val="auto"/>
              </w:rPr>
            </w:pPr>
            <w:r>
              <w:rPr>
                <w:rFonts w:ascii="Arial" w:cs="Arial" w:eastAsia="Arial" w:hAnsi="Arial"/>
                <w:sz w:val="18"/>
                <w:szCs w:val="18"/>
                <w:color w:val="auto"/>
              </w:rPr>
              <w:t>Net income (loss) from discontinued operations, net of tax</w:t>
            </w:r>
          </w:p>
        </w:tc>
        <w:tc>
          <w:tcPr>
            <w:tcW w:w="6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(79,554)</w:t>
            </w:r>
          </w:p>
        </w:tc>
      </w:tr>
      <w:tr>
        <w:trPr>
          <w:trHeight w:val="27"/>
        </w:trPr>
        <w:tc>
          <w:tcPr>
            <w:tcW w:w="5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(155,176)</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5100" w:type="dxa"/>
            <w:vAlign w:val="bottom"/>
          </w:tcPr>
          <w:p>
            <w:pPr>
              <w:spacing w:after="0"/>
              <w:rPr>
                <w:sz w:val="24"/>
                <w:szCs w:val="24"/>
                <w:color w:val="auto"/>
              </w:rPr>
            </w:pPr>
          </w:p>
        </w:tc>
        <w:tc>
          <w:tcPr>
            <w:tcW w:w="108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34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666" w:right="239" w:bottom="1440" w:gutter="0" w:footer="0" w:header="0"/>
        </w:sectPr>
      </w:pPr>
    </w:p>
    <w:bookmarkStart w:id="34" w:name="page35"/>
    <w:bookmarkEnd w:id="34"/>
    <w:p>
      <w:pPr>
        <w:spacing w:after="0"/>
        <w:rPr>
          <w:sz w:val="20"/>
          <w:szCs w:val="20"/>
          <w:color w:val="auto"/>
        </w:rPr>
      </w:pPr>
      <w:r>
        <w:rPr>
          <w:rFonts w:ascii="Arial" w:cs="Arial" w:eastAsia="Arial" w:hAnsi="Arial"/>
          <w:sz w:val="20"/>
          <w:szCs w:val="20"/>
          <w:color w:val="auto"/>
        </w:rPr>
        <w:t>Net Sales by segments and geographic area:</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tables below present net sales by operating segment and geographic region (in thousands, except for percentages):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gridSpan w:val="6"/>
          </w:tcPr>
          <w:p>
            <w:pPr>
              <w:ind w:left="1180"/>
              <w:spacing w:after="0"/>
              <w:rPr>
                <w:sz w:val="20"/>
                <w:szCs w:val="20"/>
                <w:color w:val="auto"/>
              </w:rPr>
            </w:pPr>
            <w:r>
              <w:rPr>
                <w:rFonts w:ascii="Arial" w:cs="Arial" w:eastAsia="Arial" w:hAnsi="Arial"/>
                <w:sz w:val="18"/>
                <w:szCs w:val="18"/>
                <w:b w:val="1"/>
                <w:bCs w:val="1"/>
                <w:color w:val="auto"/>
                <w:w w:val="89"/>
              </w:rPr>
              <w:t>Year Ended December 31,</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 Change</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2019 vs 2018</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 vs 2017</w:t>
            </w:r>
          </w:p>
        </w:tc>
        <w:tc>
          <w:tcPr>
            <w:tcW w:w="0" w:type="dxa"/>
            <w:vAlign w:val="bottom"/>
          </w:tcPr>
          <w:p>
            <w:pPr>
              <w:spacing w:after="0"/>
              <w:rPr>
                <w:sz w:val="1"/>
                <w:szCs w:val="1"/>
                <w:color w:val="auto"/>
              </w:rPr>
            </w:pPr>
          </w:p>
        </w:tc>
      </w:tr>
      <w:tr>
        <w:trPr>
          <w:trHeight w:val="27"/>
        </w:trPr>
        <w:tc>
          <w:tcPr>
            <w:tcW w:w="28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Cardiopulmonary</w:t>
            </w: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152,828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43"/>
        </w:trPr>
        <w:tc>
          <w:tcPr>
            <w:tcW w:w="2800" w:type="dxa"/>
            <w:vAlign w:val="bottom"/>
          </w:tcPr>
          <w:p>
            <w:pPr>
              <w:ind w:left="38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135,632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141,720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133,585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 of World</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207,613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233,554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210,911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504,716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536,408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497,324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Heart Valves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24,709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24,977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44,258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42,120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43"/>
        </w:trPr>
        <w:tc>
          <w:tcPr>
            <w:tcW w:w="2800" w:type="dxa"/>
            <w:vAlign w:val="bottom"/>
          </w:tcPr>
          <w:p>
            <w:pPr>
              <w:ind w:left="380"/>
              <w:spacing w:after="0"/>
              <w:rPr>
                <w:sz w:val="20"/>
                <w:szCs w:val="20"/>
                <w:color w:val="auto"/>
              </w:rPr>
            </w:pPr>
            <w:r>
              <w:rPr>
                <w:rFonts w:ascii="Arial" w:cs="Arial" w:eastAsia="Arial" w:hAnsi="Arial"/>
                <w:sz w:val="18"/>
                <w:szCs w:val="18"/>
                <w:color w:val="auto"/>
              </w:rPr>
              <w:t>Rest of World</w:t>
            </w:r>
          </w:p>
        </w:tc>
        <w:tc>
          <w:tcPr>
            <w:tcW w:w="4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60,559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56,989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71,096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125,956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138,193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2800" w:type="dxa"/>
            <w:vAlign w:val="bottom"/>
          </w:tcPr>
          <w:p>
            <w:pPr>
              <w:ind w:left="180"/>
              <w:spacing w:after="0"/>
              <w:rPr>
                <w:sz w:val="20"/>
                <w:szCs w:val="20"/>
                <w:color w:val="auto"/>
              </w:rPr>
            </w:pPr>
            <w:r>
              <w:rPr>
                <w:rFonts w:ascii="Arial" w:cs="Arial" w:eastAsia="Arial" w:hAnsi="Arial"/>
                <w:sz w:val="18"/>
                <w:szCs w:val="18"/>
                <w:b w:val="1"/>
                <w:bCs w:val="1"/>
                <w:color w:val="auto"/>
                <w:w w:val="99"/>
              </w:rPr>
              <w:t>Advanced Circulatory Support</w:t>
            </w: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18,588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65.6 %</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00" w:type="dxa"/>
            <w:vAlign w:val="bottom"/>
          </w:tcPr>
          <w:p>
            <w:pPr>
              <w:ind w:left="38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27.8 %</w:t>
            </w:r>
          </w:p>
        </w:tc>
        <w:tc>
          <w:tcPr>
            <w:tcW w:w="12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 of World</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36.9 %</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31,923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19,461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64.0 %</w:t>
            </w:r>
          </w:p>
        </w:tc>
        <w:tc>
          <w:tcPr>
            <w:tcW w:w="120" w:type="dxa"/>
            <w:vAlign w:val="bottom"/>
          </w:tcPr>
          <w:p>
            <w:pPr>
              <w:spacing w:after="0"/>
              <w:rPr>
                <w:sz w:val="20"/>
                <w:szCs w:val="20"/>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Cardiovascular</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4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211,152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204,431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177,805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176,921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186,558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175,705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43"/>
        </w:trPr>
        <w:tc>
          <w:tcPr>
            <w:tcW w:w="280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4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268,573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290,836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282,007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656,646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681,825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635,517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b w:val="1"/>
                <w:bCs w:val="1"/>
                <w:color w:val="auto"/>
              </w:rPr>
              <w:t>Neuromodulation</w:t>
            </w: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348,980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316,916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43"/>
        </w:trPr>
        <w:tc>
          <w:tcPr>
            <w:tcW w:w="2800" w:type="dxa"/>
            <w:vAlign w:val="bottom"/>
          </w:tcPr>
          <w:p>
            <w:pPr>
              <w:ind w:left="28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46,262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42,443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34,765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31,567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23,295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424,547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422,990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374,976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8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1,784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38.7 %</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4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546,484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553,411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494,721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223,183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229,001</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210,470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43"/>
        </w:trPr>
        <w:tc>
          <w:tcPr>
            <w:tcW w:w="280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4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314,503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324,549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307,086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1,084,170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1,106,961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1,012,277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5"/>
          <w:szCs w:val="15"/>
          <w:color w:val="auto"/>
        </w:rPr>
        <w:t>Includes those countries in Europe where we have a direct sales presence. Countries where sales are made through distributors are included in ‘Rest of World’.</w:t>
      </w:r>
    </w:p>
    <w:p>
      <w:pPr>
        <w:spacing w:after="0" w:line="349" w:lineRule="exact"/>
        <w:rPr>
          <w:rFonts w:ascii="Arial" w:cs="Arial" w:eastAsia="Arial" w:hAnsi="Arial"/>
          <w:sz w:val="14"/>
          <w:szCs w:val="14"/>
          <w:color w:val="auto"/>
        </w:rPr>
      </w:pPr>
    </w:p>
    <w:p>
      <w:pPr>
        <w:ind w:left="5700"/>
        <w:spacing w:after="0"/>
        <w:rPr>
          <w:rFonts w:ascii="Arial" w:cs="Arial" w:eastAsia="Arial" w:hAnsi="Arial"/>
          <w:sz w:val="14"/>
          <w:szCs w:val="14"/>
          <w:color w:val="auto"/>
        </w:rPr>
      </w:pPr>
      <w:r>
        <w:rPr>
          <w:rFonts w:ascii="Arial" w:cs="Arial" w:eastAsia="Arial" w:hAnsi="Arial"/>
          <w:sz w:val="18"/>
          <w:szCs w:val="18"/>
          <w:color w:val="auto"/>
        </w:rPr>
        <w:t>35</w:t>
      </w:r>
    </w:p>
    <w:p>
      <w:pPr>
        <w:sectPr>
          <w:pgSz w:w="11900" w:h="16838" w:orient="portrait"/>
          <w:cols w:equalWidth="0" w:num="1">
            <w:col w:w="11420"/>
          </w:cols>
          <w:pgMar w:left="240" w:top="676" w:right="239" w:bottom="1440" w:gutter="0" w:footer="0" w:header="0"/>
        </w:sectPr>
      </w:pPr>
    </w:p>
    <w:bookmarkStart w:id="35" w:name="page36"/>
    <w:bookmarkEnd w:id="35"/>
    <w:p>
      <w:pPr>
        <w:ind w:left="180"/>
        <w:spacing w:after="0"/>
        <w:rPr>
          <w:sz w:val="20"/>
          <w:szCs w:val="20"/>
          <w:color w:val="auto"/>
        </w:rPr>
      </w:pPr>
      <w:r>
        <w:rPr>
          <w:rFonts w:ascii="Arial" w:cs="Arial" w:eastAsia="Arial" w:hAnsi="Arial"/>
          <w:sz w:val="18"/>
          <w:szCs w:val="18"/>
          <w:color w:val="auto"/>
        </w:rPr>
        <w:t>The table below presents segment (loss) income from continuing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 Change</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2019 vs 2018</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 vs 2017</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81,412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83,483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184,674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183,228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(102,425)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111.7 %</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09"/>
        </w:trPr>
        <w:tc>
          <w:tcPr>
            <w:tcW w:w="3000" w:type="dxa"/>
            <w:vAlign w:val="bottom"/>
          </w:tcPr>
          <w:p>
            <w:pPr>
              <w:ind w:left="40"/>
              <w:spacing w:after="0"/>
              <w:rPr>
                <w:sz w:val="20"/>
                <w:szCs w:val="20"/>
                <w:color w:val="auto"/>
              </w:rPr>
            </w:pPr>
            <w:r>
              <w:rPr>
                <w:rFonts w:ascii="Arial" w:cs="Arial" w:eastAsia="Arial" w:hAnsi="Arial"/>
                <w:sz w:val="18"/>
                <w:szCs w:val="18"/>
                <w:color w:val="auto"/>
                <w:w w:val="94"/>
              </w:rPr>
              <w:t>Total reportable segment (loss) income</w:t>
            </w: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(92,784)</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(170,543)</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162,215</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00" w:type="dxa"/>
            <w:vAlign w:val="bottom"/>
          </w:tcPr>
          <w:p>
            <w:pPr>
              <w:ind w:left="40"/>
              <w:spacing w:after="0" w:line="244" w:lineRule="exact"/>
              <w:rPr>
                <w:sz w:val="20"/>
                <w:szCs w:val="20"/>
                <w:color w:val="auto"/>
              </w:rPr>
            </w:pPr>
            <w:r>
              <w:rPr>
                <w:rFonts w:ascii="Arial" w:cs="Arial" w:eastAsia="Arial" w:hAnsi="Arial"/>
                <w:sz w:val="18"/>
                <w:szCs w:val="18"/>
                <w:color w:val="auto"/>
              </w:rPr>
              <w:t xml:space="preserve">from continuing operations </w:t>
            </w:r>
            <w:r>
              <w:rPr>
                <w:rFonts w:ascii="Arial" w:cs="Arial" w:eastAsia="Arial" w:hAnsi="Arial"/>
                <w:sz w:val="25"/>
                <w:szCs w:val="25"/>
                <w:color w:val="auto"/>
                <w:vertAlign w:val="superscript"/>
              </w:rPr>
              <w:t>(1)</w:t>
            </w:r>
          </w:p>
        </w:tc>
        <w:tc>
          <w:tcPr>
            <w:tcW w:w="36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jc w:val="both"/>
        <w:ind w:left="660" w:right="100" w:hanging="328"/>
        <w:spacing w:after="0" w:line="278"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6"/>
          <w:szCs w:val="16"/>
          <w:color w:val="auto"/>
        </w:rPr>
        <w:t>For a reconciliation of segment (loss) income from continuing operations to our consolidated (loss) income from continuing operations before tax, refer to “Note 20. Geographic and Segment Information” in our consolidated financial statements and accompanying notes, beginning on page F-1 of this Annual Report on Form 10-K.</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Cardiovascular</w:t>
      </w:r>
    </w:p>
    <w:p>
      <w:pPr>
        <w:spacing w:after="0" w:line="110" w:lineRule="exact"/>
        <w:rPr>
          <w:sz w:val="20"/>
          <w:szCs w:val="20"/>
          <w:color w:val="auto"/>
        </w:rPr>
      </w:pPr>
    </w:p>
    <w:p>
      <w:pPr>
        <w:ind w:right="220" w:firstLine="162"/>
        <w:spacing w:after="0" w:line="271" w:lineRule="auto"/>
        <w:rPr>
          <w:sz w:val="20"/>
          <w:szCs w:val="20"/>
          <w:color w:val="auto"/>
        </w:rPr>
      </w:pPr>
      <w:r>
        <w:rPr>
          <w:rFonts w:ascii="Arial" w:cs="Arial" w:eastAsia="Arial" w:hAnsi="Arial"/>
          <w:sz w:val="17"/>
          <w:szCs w:val="17"/>
          <w:color w:val="auto"/>
        </w:rPr>
        <w:t>Cardiovascular net sales for the year ended December 31, 2019 compared to the year ended December 31, 2018 decreased 3.7%. The decline in net sales for the year ended December 31, 2019 was due to declines in Cardiopulmonary and Heart Valves sales of 5.9% and 4.7%, respectively, partially offset by a $12.5 million increase in Advanced Circulatory Support sales due to strong growth in the first half of 2019 and the inclusion of the operating results of TandemLife starting from the acquisition date in April 2018. Cardiopulmonary sales of $504.7 million were negatively impacted as a result of exiting a Canadian distribution agreement on January 1, 2019 that accounted for $32.9 million in sales during the year ended December 31, 2018. Growth in sales of oxygenators, autotransfusion systems and heart-lung machines were mostly offset by the impacts of foreign currency. Growth in oxygenator sales was impacted by an unexpected component supplier issue that occurred during the fourth quarter of 2019. Heart Valves sales declined as Rest of World growth was more than offset by softness in the U.S. and the impacts of foreign currency.</w:t>
      </w:r>
    </w:p>
    <w:p>
      <w:pPr>
        <w:spacing w:after="0" w:line="71"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Cardiovascular segment operating income increased for the year ended December 31, 2019 as compared to the year ended December 31, 2018, primarily due to the recording of a $294.1 million litigation provision liability related to our 3T device during 2018.</w:t>
      </w:r>
    </w:p>
    <w:p>
      <w:pPr>
        <w:spacing w:after="0" w:line="62" w:lineRule="exact"/>
        <w:rPr>
          <w:sz w:val="20"/>
          <w:szCs w:val="20"/>
          <w:color w:val="auto"/>
        </w:rPr>
      </w:pPr>
    </w:p>
    <w:p>
      <w:pPr>
        <w:ind w:right="80" w:firstLine="162"/>
        <w:spacing w:after="0" w:line="254" w:lineRule="auto"/>
        <w:rPr>
          <w:sz w:val="20"/>
          <w:szCs w:val="20"/>
          <w:color w:val="auto"/>
        </w:rPr>
      </w:pPr>
      <w:r>
        <w:rPr>
          <w:rFonts w:ascii="Arial" w:cs="Arial" w:eastAsia="Arial" w:hAnsi="Arial"/>
          <w:sz w:val="18"/>
          <w:szCs w:val="18"/>
          <w:color w:val="auto"/>
        </w:rPr>
        <w:t>Cardiovascular segment net sales increased $46.3 million, or 7.3% for the year ended December 31, 2018, as compared to the year ended December 31, 2017, primarily due to growth of $39.1 million in cardiopulmonary product revenue and $19.5 million from the acquisition of TandemLife on April 4, 2018, partially offset by a $12.2 million decline in heart valve net sales. Cardiopulmonary product sales increased year-over-year primarily due to strong heart-lung machine sales as customers continued in 2018 to upgrade from our legacy S3 device to our current S5 device and as well as strong sales of the Inspire oxygenator. With respect to heart valves, the expected termination of a manufacturing contract resulted in a decrease in heart valve net sales of $8.4 million for the year ended December 31, 2018 as compared to 2017. Additionally, increased sales of our Perceval sutureless aortic heart valves were more than offset by a non-recurring sales return reserve of $3.4 million recorded during 2018 and continuing global declines in traditional tissue heart valve and mechanical heart valve sales.</w:t>
      </w:r>
    </w:p>
    <w:p>
      <w:pPr>
        <w:spacing w:after="0" w:line="84" w:lineRule="exact"/>
        <w:rPr>
          <w:sz w:val="20"/>
          <w:szCs w:val="20"/>
          <w:color w:val="auto"/>
        </w:rPr>
      </w:pPr>
    </w:p>
    <w:p>
      <w:pPr>
        <w:ind w:right="120" w:firstLine="162"/>
        <w:spacing w:after="0" w:line="297" w:lineRule="auto"/>
        <w:rPr>
          <w:sz w:val="20"/>
          <w:szCs w:val="20"/>
          <w:color w:val="auto"/>
        </w:rPr>
      </w:pPr>
      <w:r>
        <w:rPr>
          <w:rFonts w:ascii="Arial" w:cs="Arial" w:eastAsia="Arial" w:hAnsi="Arial"/>
          <w:sz w:val="16"/>
          <w:szCs w:val="16"/>
          <w:color w:val="auto"/>
        </w:rPr>
        <w:t>Cardiovascular segment operating income decreased for the year ended December 31, 2018 as compared to 2017, primarily due to the $294.1 million litigation provision related to our 3T device that was recorded during 2018. Additionally, positive impacts to operating income associated with the increases in net sales were more than offset by increased sales and marketing expenses related to our efforts to expand market share in international markets, increased R&amp;D investments in support of the next generation heart-lung machine and increased legal costs associated with our 3T litigation. The inclusion of the operating results of TandemLife also resulted in a $10.8 million decrease in operating income for the year ended December 31, 2018 as compared to 2017.</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Neuromodulation</w:t>
      </w:r>
    </w:p>
    <w:p>
      <w:pPr>
        <w:spacing w:after="0" w:line="110" w:lineRule="exact"/>
        <w:rPr>
          <w:sz w:val="20"/>
          <w:szCs w:val="20"/>
          <w:color w:val="auto"/>
        </w:rPr>
      </w:pPr>
    </w:p>
    <w:p>
      <w:pPr>
        <w:ind w:right="20" w:firstLine="162"/>
        <w:spacing w:after="0" w:line="286" w:lineRule="auto"/>
        <w:rPr>
          <w:sz w:val="20"/>
          <w:szCs w:val="20"/>
          <w:color w:val="auto"/>
        </w:rPr>
      </w:pPr>
      <w:r>
        <w:rPr>
          <w:rFonts w:ascii="Arial" w:cs="Arial" w:eastAsia="Arial" w:hAnsi="Arial"/>
          <w:sz w:val="17"/>
          <w:szCs w:val="17"/>
          <w:color w:val="auto"/>
        </w:rPr>
        <w:t>Neuromodulation net sales for the year ended December 31, 2019 compared to the year ended December 31, 2018 increased 0.4%. The increase in net sales for the year ended December 31, 2019 was due to adoption of the Sentiva VNS Therapy System and strong growth in Europe and Rest of World, offset by a decline in U.S. sales principally due to competitive dynamics and sales force turnover during the first half of 2019.</w:t>
      </w:r>
    </w:p>
    <w:p>
      <w:pPr>
        <w:spacing w:after="0" w:line="57"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Neuromodulation segment operating income decreased for the year ended December 31, 2019 compared to the year ended December 31, 2018 primarily due to a $50.3 million impairment of an IPR&amp;D asset associated with obstructive sleep apnea, increased selling costs in the U.S. and increased R&amp;D expenses associated with DTD, heart failure and obstructive sleep apnea.</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65" w:right="239" w:bottom="1440" w:gutter="0" w:footer="0" w:header="0"/>
        </w:sectPr>
      </w:pPr>
    </w:p>
    <w:bookmarkStart w:id="36" w:name="page37"/>
    <w:bookmarkEnd w:id="36"/>
    <w:p>
      <w:pPr>
        <w:ind w:right="120" w:firstLine="162"/>
        <w:spacing w:after="0" w:line="312" w:lineRule="auto"/>
        <w:rPr>
          <w:sz w:val="20"/>
          <w:szCs w:val="20"/>
          <w:color w:val="auto"/>
        </w:rPr>
      </w:pPr>
      <w:r>
        <w:rPr>
          <w:rFonts w:ascii="Arial" w:cs="Arial" w:eastAsia="Arial" w:hAnsi="Arial"/>
          <w:sz w:val="16"/>
          <w:szCs w:val="16"/>
          <w:color w:val="auto"/>
        </w:rPr>
        <w:t>Neuromodulation segment net sales increased $48.0 million or 12.8% for the year ended December 31, 2018 compared to 2017 primarily due to strong adoption of the SenTiva VNS Therapy System in the U.S. Net sales in 2018 also benefited from increased sales in Europe following the approval and launch of the SenTiva VNS Therapy System in April 2018, and strong growth in the Rest of World region despite the short-term impact of business model changes.</w:t>
      </w:r>
    </w:p>
    <w:p>
      <w:pPr>
        <w:spacing w:after="0" w:line="106" w:lineRule="exact"/>
        <w:rPr>
          <w:sz w:val="20"/>
          <w:szCs w:val="20"/>
          <w:color w:val="auto"/>
        </w:rPr>
      </w:pPr>
    </w:p>
    <w:p>
      <w:pPr>
        <w:ind w:right="120" w:firstLine="162"/>
        <w:spacing w:after="0" w:line="312" w:lineRule="auto"/>
        <w:rPr>
          <w:sz w:val="20"/>
          <w:szCs w:val="20"/>
          <w:color w:val="auto"/>
        </w:rPr>
      </w:pPr>
      <w:r>
        <w:rPr>
          <w:rFonts w:ascii="Arial" w:cs="Arial" w:eastAsia="Arial" w:hAnsi="Arial"/>
          <w:sz w:val="16"/>
          <w:szCs w:val="16"/>
          <w:color w:val="auto"/>
        </w:rPr>
        <w:t>Neuromodulation segment operating income slightly increased for the year ended December 31, 2018 compared to 2017 primarily due to increased sales, partially offset by increased marketing expenses related to efforts to market direct to consumer, increased R&amp;D expenses for new projects surrounding our SenTiva VNS Therapy System, DTD and heart failure and the inclusion of the operating results of ImThera in 2018 which represented a loss of $8.8 million.</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Costs and Expenses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illustrates our costs and expenses as a percentage of net sales:</w:t>
      </w:r>
    </w:p>
    <w:p>
      <w:pPr>
        <w:spacing w:after="0" w:line="167"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34290</wp:posOffset>
            </wp:positionV>
            <wp:extent cx="37134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2"/>
          </w:tcPr>
          <w:p>
            <w:pPr>
              <w:ind w:left="634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7"/>
        </w:trPr>
        <w:tc>
          <w:tcPr>
            <w:tcW w:w="55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sales - exclusive of amortization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Product remediation</w:t>
            </w:r>
          </w:p>
        </w:tc>
        <w:tc>
          <w:tcPr>
            <w:tcW w:w="6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5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5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Restructuring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Impairment of intangible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21"/>
                <w:szCs w:val="21"/>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Litigation provision, net</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Cost of Sales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 consisted primarily of direct labor, allocated manufacturing overhead, the acquisition cost of raw materials and components.</w:t>
      </w:r>
    </w:p>
    <w:p>
      <w:pPr>
        <w:spacing w:after="0" w:line="117" w:lineRule="exact"/>
        <w:rPr>
          <w:sz w:val="20"/>
          <w:szCs w:val="20"/>
          <w:color w:val="auto"/>
        </w:rPr>
      </w:pPr>
    </w:p>
    <w:p>
      <w:pPr>
        <w:ind w:right="300" w:firstLine="162"/>
        <w:spacing w:after="0" w:line="259" w:lineRule="auto"/>
        <w:rPr>
          <w:sz w:val="20"/>
          <w:szCs w:val="20"/>
          <w:color w:val="auto"/>
        </w:rPr>
      </w:pPr>
      <w:r>
        <w:rPr>
          <w:rFonts w:ascii="Arial" w:cs="Arial" w:eastAsia="Arial" w:hAnsi="Arial"/>
          <w:sz w:val="18"/>
          <w:szCs w:val="18"/>
          <w:color w:val="auto"/>
        </w:rPr>
        <w:t>Cost of sales as a percentage of net sales was 29.9% for the year ended December 31, 2019, a decrease of 2.8% as compared to 2018. This decrease was primarily due to the amortization of inventory step-up value associated with the acquisition of TandemLife of $8.0 million for the twelve months ended December 31, 2018, reduced expense associated with the change in the fair value of sales-based contingent consideration arrangements, favorable product mix and the impacts of foreign currency.</w:t>
      </w:r>
    </w:p>
    <w:p>
      <w:pPr>
        <w:spacing w:after="0" w:line="79"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Cost of sales as a percentage of net sales was 32.7% for the year ended December 31, 2018, a decrease of 2.2% as compared to 2017. This decrease was primarily due to favorable product mix, pricing discipline and our focus on cost efficiencies.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Product Remediation</w:t>
      </w:r>
    </w:p>
    <w:p>
      <w:pPr>
        <w:spacing w:after="0" w:line="110" w:lineRule="exact"/>
        <w:rPr>
          <w:sz w:val="20"/>
          <w:szCs w:val="20"/>
          <w:color w:val="auto"/>
        </w:rPr>
      </w:pPr>
    </w:p>
    <w:p>
      <w:pPr>
        <w:ind w:right="220" w:firstLine="162"/>
        <w:spacing w:after="0" w:line="286" w:lineRule="auto"/>
        <w:rPr>
          <w:sz w:val="20"/>
          <w:szCs w:val="20"/>
          <w:color w:val="auto"/>
        </w:rPr>
      </w:pPr>
      <w:r>
        <w:rPr>
          <w:rFonts w:ascii="Arial" w:cs="Arial" w:eastAsia="Arial" w:hAnsi="Arial"/>
          <w:sz w:val="17"/>
          <w:szCs w:val="17"/>
          <w:color w:val="auto"/>
        </w:rPr>
        <w:t>Product remediation as a percentage of net sales was 1.5%, 1.0% and 0.7% for the years ended December 31, 2019, 2018 and 2017, respectively. Product remediation expenses include internal labor costs, costs to remediate certain inspectional observations made by the FDA at our Munich facility and costs associated with the incorporation of the modification of the 3T device design into the next generation heater cooler device.</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Selling, General and Administrative (“SG&amp;A”) Expenses</w:t>
      </w:r>
    </w:p>
    <w:p>
      <w:pPr>
        <w:spacing w:after="0" w:line="110"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SG&amp;A expenses are comprised of sales, marketing, general and administrative activities. SG&amp;A expenses exclude integration costs incurred following the merger between Cyberonics and Sorin and restructuring costs under the restructuring plans.</w:t>
      </w:r>
    </w:p>
    <w:p>
      <w:pPr>
        <w:spacing w:after="0" w:line="62" w:lineRule="exact"/>
        <w:rPr>
          <w:sz w:val="20"/>
          <w:szCs w:val="20"/>
          <w:color w:val="auto"/>
        </w:rPr>
      </w:pPr>
    </w:p>
    <w:p>
      <w:pPr>
        <w:ind w:right="360" w:firstLine="162"/>
        <w:spacing w:after="0" w:line="259" w:lineRule="auto"/>
        <w:rPr>
          <w:sz w:val="20"/>
          <w:szCs w:val="20"/>
          <w:color w:val="auto"/>
        </w:rPr>
      </w:pPr>
      <w:r>
        <w:rPr>
          <w:rFonts w:ascii="Arial" w:cs="Arial" w:eastAsia="Arial" w:hAnsi="Arial"/>
          <w:sz w:val="18"/>
          <w:szCs w:val="18"/>
          <w:color w:val="auto"/>
        </w:rPr>
        <w:t>SG&amp;A expenses as a percentage of net sales increased for the year ended December 31, 2019 as compared to 2018 primarily due to increased litigation expenses related to our 3T devices, the full impact of expanding Advanced Circulatory Support commercial capabilities, increased investment in Neuromodulation, strengthening our commercial organization in international markets, costs associated with material weakness remediation, expenses associated with the expiration of a contract with one of our distributors and overall lower sales.</w:t>
      </w:r>
    </w:p>
    <w:p>
      <w:pPr>
        <w:spacing w:after="0" w:line="79"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SG&amp;A expenses as a percentage of net sales increased for the year ended December 31, 2018 as compared to 2017 primarily due to key growth driver investments in the U.S., including efforts to market directly to consumers within our Neuromodulation</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65" w:right="239" w:bottom="1440" w:gutter="0" w:footer="0" w:header="0"/>
        </w:sectPr>
      </w:pPr>
    </w:p>
    <w:bookmarkStart w:id="37" w:name="page38"/>
    <w:bookmarkEnd w:id="37"/>
    <w:p>
      <w:pPr>
        <w:jc w:val="both"/>
        <w:ind w:right="860"/>
        <w:spacing w:after="0" w:line="312" w:lineRule="auto"/>
        <w:rPr>
          <w:sz w:val="20"/>
          <w:szCs w:val="20"/>
          <w:color w:val="auto"/>
        </w:rPr>
      </w:pPr>
      <w:r>
        <w:rPr>
          <w:rFonts w:ascii="Arial" w:cs="Arial" w:eastAsia="Arial" w:hAnsi="Arial"/>
          <w:sz w:val="16"/>
          <w:szCs w:val="16"/>
          <w:color w:val="auto"/>
        </w:rPr>
        <w:t>business, acquisition costs and additional SG&amp;A costs from the acquisitions of TandemLife and ImThera. Increased sales and marketing expenses internationally for general market expansion, increased litigation expenses primarily related to our 3T devices and the overall strengthening of our organizational capabilities to support growth also contributed to the increase in SG&amp;A expenses as a percentage of net sales.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Expenses</w:t>
      </w:r>
    </w:p>
    <w:p>
      <w:pPr>
        <w:spacing w:after="0" w:line="110"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R&amp;D expenses consist of product design and development efforts, clinical study programs and regulatory activities, which are essential to our strategic portfolio initiatives, including DTD, obstructive sleep apnea and heart failure.</w:t>
      </w:r>
    </w:p>
    <w:p>
      <w:pPr>
        <w:spacing w:after="0" w:line="62" w:lineRule="exact"/>
        <w:rPr>
          <w:sz w:val="20"/>
          <w:szCs w:val="20"/>
          <w:color w:val="auto"/>
        </w:rPr>
      </w:pPr>
    </w:p>
    <w:p>
      <w:pPr>
        <w:ind w:right="520" w:firstLine="162"/>
        <w:spacing w:after="0" w:line="264" w:lineRule="auto"/>
        <w:rPr>
          <w:sz w:val="20"/>
          <w:szCs w:val="20"/>
          <w:color w:val="auto"/>
        </w:rPr>
      </w:pPr>
      <w:r>
        <w:rPr>
          <w:rFonts w:ascii="Arial" w:cs="Arial" w:eastAsia="Arial" w:hAnsi="Arial"/>
          <w:sz w:val="18"/>
          <w:szCs w:val="18"/>
          <w:color w:val="auto"/>
        </w:rPr>
        <w:t>R&amp;D expenses as a percentage of net sales increased for the year ended December 31, 2019 as compared to 2018 primarily due to additional R&amp;D expenses associated with obstructive sleep apnea, heart failure and DTD, offset by reductions in fair value of milestone-based contingent consideration arrangements.</w:t>
      </w:r>
    </w:p>
    <w:p>
      <w:pPr>
        <w:spacing w:after="0" w:line="73"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R&amp;D expenses as a percentage of net sales increased for the year ended December 31, 2018 as compared to 2017 primarily due to additional R&amp;D expenses for our development of next generation products, including heart-lung machines, the SenTiva VNS Therapy System and TandemLife and clinical trials and investments in DTD, TMVR, obstructive sleep apnea and heart failure.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Merger and Integration (“M&amp;I”) Expenses</w:t>
      </w:r>
    </w:p>
    <w:p>
      <w:pPr>
        <w:spacing w:after="0" w:line="110" w:lineRule="exact"/>
        <w:rPr>
          <w:sz w:val="20"/>
          <w:szCs w:val="20"/>
          <w:color w:val="auto"/>
        </w:rPr>
      </w:pPr>
    </w:p>
    <w:p>
      <w:pPr>
        <w:ind w:right="640" w:firstLine="162"/>
        <w:spacing w:after="0" w:line="277" w:lineRule="auto"/>
        <w:rPr>
          <w:sz w:val="20"/>
          <w:szCs w:val="20"/>
          <w:color w:val="auto"/>
        </w:rPr>
      </w:pPr>
      <w:r>
        <w:rPr>
          <w:rFonts w:ascii="Arial" w:cs="Arial" w:eastAsia="Arial" w:hAnsi="Arial"/>
          <w:sz w:val="18"/>
          <w:szCs w:val="18"/>
          <w:color w:val="auto"/>
        </w:rPr>
        <w:t>M&amp;I expenses consist primarily of costs associated with computer systems integration efforts, organizational structure integration, synergy and tax planning.</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M&amp;I expenses as a percentage of net sales for the year ended December 31, 2019 was consistent with the year ended December 31, 2018.</w:t>
      </w:r>
    </w:p>
    <w:p>
      <w:pPr>
        <w:spacing w:after="0" w:line="117"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M&amp;I expenses as a percentage of net sales increased 0.7% to 2.2% for the year ended December 31, 2018 as compared to 2017, primarily due to efforts to improve and standardize product pricing and procurement strategies.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Restructuring Expenses</w:t>
      </w:r>
    </w:p>
    <w:p>
      <w:pPr>
        <w:spacing w:after="0" w:line="11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Our restructuring plans leverage economies of scale, eliminate duplicate corporate expenses and streamline distributions, logistics and office functions in order to reduce overall costs. Restructuring expenses are detailed in “Note 6. Restructuring” in our consolidated financial statements and accompanying notes, beginning on page F-1 of this Annual Report on Form 10-K. Our 2015 and 2016 Reorganization Plans (the “Prior Plans”) were initiated in October 2015 and March 2016, respectively, in conjunction with the completion of the merger of Sorin and Cyberonics. The Prior Plans included the Costa Rica manufacturing operation exit plan, initiated in December 2016 and completed during 2017, and the Suzhou, China exit plan, initiated in March 2017 and completed during 2018.</w:t>
      </w:r>
    </w:p>
    <w:p>
      <w:pPr>
        <w:spacing w:after="0" w:line="85"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In December 2018, we initiated a reorganization plan (the “2018 Plan”) in order to reduce manufacturing and operational costs associated with our Cardiovascular facilities in Saluggia and Mirandola, Italy and Arvada, Colorado. The 2018 Plan resulted in a net reduction of approximately 75 personnel and was completed at the end of 2019.</w:t>
      </w:r>
    </w:p>
    <w:p>
      <w:pPr>
        <w:spacing w:after="0" w:line="73" w:lineRule="exact"/>
        <w:rPr>
          <w:sz w:val="20"/>
          <w:szCs w:val="20"/>
          <w:color w:val="auto"/>
        </w:rPr>
      </w:pPr>
    </w:p>
    <w:p>
      <w:pPr>
        <w:ind w:right="140" w:firstLine="162"/>
        <w:spacing w:after="0" w:line="286" w:lineRule="auto"/>
        <w:rPr>
          <w:sz w:val="20"/>
          <w:szCs w:val="20"/>
          <w:color w:val="auto"/>
        </w:rPr>
      </w:pPr>
      <w:r>
        <w:rPr>
          <w:rFonts w:ascii="Arial" w:cs="Arial" w:eastAsia="Arial" w:hAnsi="Arial"/>
          <w:sz w:val="17"/>
          <w:szCs w:val="17"/>
          <w:color w:val="auto"/>
        </w:rPr>
        <w:t>In November 2019, we initiated a reorganization plan (the “2019 Plan”) to streamline our organizational structure in order to address new regulatory requirements, create efficiencies, improve profitability and ensure business continuity. As a result, we incurred restructuring expenses of $4.4 million during the year ended December 31, 2019, primarily associated with severance costs for approximately 35 impacted employees.</w:t>
      </w:r>
    </w:p>
    <w:p>
      <w:pPr>
        <w:spacing w:after="0" w:line="57"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Also in November 2019, we announced that we would be ending our Caisson TMVR program effective December 31, 2019 after determining that it was no longer viable to continue to invest in the program. As a result, we recognized restructuring expenses of $3.5 million during the year ended December 31, 2019, primarily associated with severance costs for approximately 50 impacted employees.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Impairment of Goodwill and Intangibles</w:t>
      </w:r>
    </w:p>
    <w:p>
      <w:pPr>
        <w:spacing w:after="0" w:line="110"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During the second quarter of 2019, we determined that there would be a delay in the estimated commercialization date of the Company’s obstructive sleep apnea product currently under development. This delay constituted a triggering event that required evaluation of the IPR&amp;D asset arising from the ImThera acquisition for impairment. Based on the assessment performed, we determined that the IPR&amp;D asset was impaired and as a result, recorded an impairment of $50.3 million, which is included in our Neuromodulation segment. The estimated fair value of IPR&amp;D was determined using the income approach. Future delays in commercialization or changes in management estimates could result in further impairment.</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665" w:right="259" w:bottom="1440" w:gutter="0" w:footer="0" w:header="0"/>
        </w:sectPr>
      </w:pPr>
    </w:p>
    <w:bookmarkStart w:id="38" w:name="page39"/>
    <w:bookmarkEnd w:id="38"/>
    <w:p>
      <w:pPr>
        <w:ind w:right="380" w:firstLine="162"/>
        <w:spacing w:after="0" w:line="308" w:lineRule="auto"/>
        <w:rPr>
          <w:sz w:val="20"/>
          <w:szCs w:val="20"/>
          <w:color w:val="auto"/>
        </w:rPr>
      </w:pPr>
      <w:r>
        <w:rPr>
          <w:rFonts w:ascii="Arial" w:cs="Arial" w:eastAsia="Arial" w:hAnsi="Arial"/>
          <w:sz w:val="17"/>
          <w:szCs w:val="17"/>
          <w:color w:val="auto"/>
        </w:rPr>
        <w:t>Our announcement that we would be ending our Caisson TMVR program effective December 31, 2019, triggered an evaluation of finite and indefinite lived assets for impairment. As a result, we fully impaired the goodwill and IPR&amp;D asset of $42.4 million and $89.0 million,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Amortization of Intangibles</w:t>
      </w:r>
    </w:p>
    <w:p>
      <w:pPr>
        <w:spacing w:after="0" w:line="110"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Amortization of intangible assets for the years ended December 31, 2019, 2018 and 2017, consisted primarily of the amortization of finite-lived intangible assets, primarily intellectual property and customer relationships.</w:t>
      </w:r>
    </w:p>
    <w:p>
      <w:pPr>
        <w:spacing w:after="0" w:line="62" w:lineRule="exact"/>
        <w:rPr>
          <w:sz w:val="20"/>
          <w:szCs w:val="20"/>
          <w:color w:val="auto"/>
        </w:rPr>
      </w:pPr>
    </w:p>
    <w:p>
      <w:pPr>
        <w:ind w:right="440" w:firstLine="162"/>
        <w:spacing w:after="0" w:line="291" w:lineRule="auto"/>
        <w:rPr>
          <w:sz w:val="20"/>
          <w:szCs w:val="20"/>
          <w:color w:val="auto"/>
        </w:rPr>
      </w:pPr>
      <w:r>
        <w:rPr>
          <w:rFonts w:ascii="Arial" w:cs="Arial" w:eastAsia="Arial" w:hAnsi="Arial"/>
          <w:sz w:val="16"/>
          <w:szCs w:val="16"/>
          <w:color w:val="auto"/>
        </w:rPr>
        <w:t>Amortization of intangibles increased for the year ended December 31, 2019 to $40.4 million as compared to $37.2 million for the year ended December 31, 2018 primarily due to amortization of developed technology associated with the acquisition of TandemLife. The developed technology of</w:t>
      </w:r>
    </w:p>
    <w:p>
      <w:pPr>
        <w:ind w:right="40"/>
        <w:spacing w:after="0" w:line="261" w:lineRule="auto"/>
        <w:rPr>
          <w:sz w:val="20"/>
          <w:szCs w:val="20"/>
          <w:color w:val="auto"/>
        </w:rPr>
      </w:pPr>
      <w:r>
        <w:rPr>
          <w:rFonts w:ascii="Arial" w:cs="Arial" w:eastAsia="Arial" w:hAnsi="Arial"/>
          <w:sz w:val="18"/>
          <w:szCs w:val="18"/>
          <w:color w:val="auto"/>
        </w:rPr>
        <w:t>$107.5 million was initially recorded to IPR&amp;D assets upon acquisition in April 2018 but was reclassified to developed technology during the third quarter of 2019 upon receiving FDA approval of the LifeSPARC system.</w:t>
      </w:r>
    </w:p>
    <w:p>
      <w:pPr>
        <w:spacing w:after="0" w:line="76"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Amortization for the year ended December 31, 2018 increased by $4.1 million as compared to 2017 due primarily to the amortization of intangible assets recognized as part of the acquisition of TandemLife in April 2018.</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Litigation Provision, Net</w:t>
      </w:r>
    </w:p>
    <w:p>
      <w:pPr>
        <w:spacing w:after="0" w:line="110"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During 2018, we recognized a $294.1 million litigation provision involving our 3T device. During 2019, we entered into agreements with our insurance carriers to recover $33.8 million under our product liability insurance policies. The insurance recovery was received and recognized in 2019. We recorded an additional liability of $33.2 million due to additional information obtained in the fourth quarter of 2019, including but not limited to: the nature and quality of filed and unfiled claims; certain settlement discussions with plaintiffs’ counsel; and the current stage of litigation in our remaining filed and unfiled claims. For further information, refer to “Note 14. Commitments and Contingencies” in our consolidated financial statements and accompanying notes, beginning on page F-1 of this Annual Report on Form 10-K.</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w:t>
      </w:r>
    </w:p>
    <w:p>
      <w:pPr>
        <w:spacing w:after="0" w:line="110"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We incurred interest expense of $15.1 million for the year ended December 31, 2019, as compared to $9.8 million and $7.8 million for 2018 and 2017, respectively. The increase for the year ended December 31, 2019 as compared to 2018 was primarily due to increased debt borrowings in 2019 mostly associated with 3T litigation settlements. The increase for the year ended December 31, 2018 as compared to 2017 was also primarily due to increased debt borrowings in 2018.</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Gain on Acquisitions</w:t>
      </w:r>
    </w:p>
    <w:p>
      <w:pPr>
        <w:spacing w:after="0" w:line="110"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On January 16, 2018, we acquired the remaining outstanding interest of ImThera. On the acquisition date, we remeasured our existing investment in ImThera at fair value and recognized a pre-tax non-cash gain of $11.5 million.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and the changes in tax laws, our consolidated effective income tax rate may vary substantially from one reporting period to another.</w:t>
      </w:r>
    </w:p>
    <w:p>
      <w:pPr>
        <w:spacing w:after="0" w:line="79" w:lineRule="exact"/>
        <w:rPr>
          <w:sz w:val="20"/>
          <w:szCs w:val="20"/>
          <w:color w:val="auto"/>
        </w:rPr>
      </w:pPr>
    </w:p>
    <w:p>
      <w:pPr>
        <w:ind w:right="140" w:firstLine="162"/>
        <w:spacing w:after="0" w:line="286" w:lineRule="auto"/>
        <w:rPr>
          <w:sz w:val="20"/>
          <w:szCs w:val="20"/>
          <w:color w:val="auto"/>
        </w:rPr>
      </w:pPr>
      <w:r>
        <w:rPr>
          <w:rFonts w:ascii="Arial" w:cs="Arial" w:eastAsia="Arial" w:hAnsi="Arial"/>
          <w:sz w:val="17"/>
          <w:szCs w:val="17"/>
          <w:color w:val="auto"/>
        </w:rPr>
        <w:t>Our effective income tax rate from continuing operations for the year ended December 31, 2019 was 16.2% compared with 28.1% for 2018.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57" w:lineRule="exact"/>
        <w:rPr>
          <w:sz w:val="20"/>
          <w:szCs w:val="20"/>
          <w:color w:val="auto"/>
        </w:rPr>
      </w:pPr>
    </w:p>
    <w:p>
      <w:pPr>
        <w:ind w:right="140" w:firstLine="162"/>
        <w:spacing w:after="0" w:line="286" w:lineRule="auto"/>
        <w:rPr>
          <w:sz w:val="20"/>
          <w:szCs w:val="20"/>
          <w:color w:val="auto"/>
        </w:rPr>
      </w:pPr>
      <w:r>
        <w:rPr>
          <w:rFonts w:ascii="Arial" w:cs="Arial" w:eastAsia="Arial" w:hAnsi="Arial"/>
          <w:sz w:val="17"/>
          <w:szCs w:val="17"/>
          <w:color w:val="auto"/>
        </w:rPr>
        <w:t>Our effective income tax rate from continuing operations for the year ended December 31, 2018 was 28.1% compared with 41.2% for 2017.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57"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Compared with the year ended December 31, 2018, the decrease in the effective tax rate for 2019 was primarily attributable to the impact of a full valuation allowance for the U.S. losses, release of uncertain tax positions, change in our UK group filing exemption and other discrete items.</w:t>
      </w:r>
    </w:p>
    <w:p>
      <w:pPr>
        <w:spacing w:after="0" w:line="38"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Compared with the year ended December 31, 2017, the decrease in the effective tax rate for 2018 was primarily attributable to the impact of the reduction to the U.S. federal statutory tax rate as a result of the Tax Act enacted on December 22, 2017, the</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665" w:right="259" w:bottom="1440" w:gutter="0" w:footer="0" w:header="0"/>
        </w:sectPr>
      </w:pPr>
    </w:p>
    <w:bookmarkStart w:id="39" w:name="page40"/>
    <w:bookmarkEnd w:id="39"/>
    <w:p>
      <w:pPr>
        <w:ind w:right="20"/>
        <w:spacing w:after="0" w:line="264" w:lineRule="auto"/>
        <w:rPr>
          <w:sz w:val="20"/>
          <w:szCs w:val="20"/>
          <w:color w:val="auto"/>
        </w:rPr>
      </w:pPr>
      <w:r>
        <w:rPr>
          <w:rFonts w:ascii="Arial" w:cs="Arial" w:eastAsia="Arial" w:hAnsi="Arial"/>
          <w:sz w:val="18"/>
          <w:szCs w:val="18"/>
          <w:color w:val="auto"/>
        </w:rPr>
        <w:t>repeal of the U.S. domestic production activity deduction, certain tax law changes in the UK that occurred during the three months ended December 31, 2017, the 2018 acquisitions of ImThera Medical Inc. and CardiacAssist, Inc., the sale of CRM, audit settlements in Italy and Germany and the impact of other discrete tax items.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 Tax Reform</w:t>
      </w:r>
    </w:p>
    <w:p>
      <w:pPr>
        <w:spacing w:after="0" w:line="110" w:lineRule="exact"/>
        <w:rPr>
          <w:sz w:val="20"/>
          <w:szCs w:val="20"/>
          <w:color w:val="auto"/>
        </w:rPr>
      </w:pPr>
    </w:p>
    <w:p>
      <w:pPr>
        <w:ind w:right="500" w:firstLine="162"/>
        <w:spacing w:after="0" w:line="277" w:lineRule="auto"/>
        <w:rPr>
          <w:sz w:val="20"/>
          <w:szCs w:val="20"/>
          <w:color w:val="auto"/>
        </w:rPr>
      </w:pPr>
      <w:r>
        <w:rPr>
          <w:rFonts w:ascii="Arial" w:cs="Arial" w:eastAsia="Arial" w:hAnsi="Arial"/>
          <w:sz w:val="18"/>
          <w:szCs w:val="18"/>
          <w:color w:val="auto"/>
        </w:rPr>
        <w:t>The Tax Act, which is also commonly referred to as “U.S. tax reform,” significantly changed U.S. corporate income tax laws by, among other things, reducing the U.S. corporate income tax rate to 21%, which commenced in 2018.</w:t>
      </w:r>
    </w:p>
    <w:p>
      <w:pPr>
        <w:spacing w:after="0" w:line="62"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During the fourth quarter of 2018, we finalized our accounting under Staff Accounting Bulletin No. 118 for the remeasurement of the deferred tax assets and liabilities and impairment of foreign tax credits related to the Tax Act. Our accounting for the remeasurement is complete with a final non-cash net charge of $21.0 million.</w:t>
      </w:r>
    </w:p>
    <w:p>
      <w:pPr>
        <w:spacing w:after="0" w:line="73" w:lineRule="exact"/>
        <w:rPr>
          <w:sz w:val="20"/>
          <w:szCs w:val="20"/>
          <w:color w:val="auto"/>
        </w:rPr>
      </w:pPr>
    </w:p>
    <w:p>
      <w:pPr>
        <w:ind w:right="80" w:firstLine="162"/>
        <w:spacing w:after="0" w:line="276" w:lineRule="auto"/>
        <w:rPr>
          <w:sz w:val="20"/>
          <w:szCs w:val="20"/>
          <w:color w:val="auto"/>
        </w:rPr>
      </w:pPr>
      <w:r>
        <w:rPr>
          <w:rFonts w:ascii="Arial" w:cs="Arial" w:eastAsia="Arial" w:hAnsi="Arial"/>
          <w:sz w:val="17"/>
          <w:szCs w:val="17"/>
          <w:color w:val="auto"/>
        </w:rPr>
        <w:t>The Tax Act also established various other new U.S. corporate income tax laws that came into effect in 2018 along with proposed regulations issued in 2018 and final regulations issued in 2019. The extent to which these and other provisions of the Tax Act, or future legislation or additional final regulations clarifying the Tax Act, could impact our consolidated effective income tax rate in future periods depends on many factors including, but not limited to, the amount of profit generated by our subsidiaries operating in the U.S., the impact of the Company’s current or contemplated tax planning strategies, the impact of new or amended tax laws or regulations by the U.S. and by countries outside the U.S., and other factors beyond our control.</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Brexit</w:t>
      </w:r>
    </w:p>
    <w:p>
      <w:pPr>
        <w:spacing w:after="0" w:line="110"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On January 31, 2020, the UK departed from the EU (in a move commonly referred to as “Brexit”), and the UK will now enter a transition period that is scheduled to end on December 31, 2020, unless requested to be extended before July 1, 2020. During the transition period, the UK will cease to be an EU member but the trading relationship will remain the same under the EU's rules. Although the long-term effects of Brexit will depend on any agreements the UK makes to retain access to the EU markets, Brexit has created additional uncertainties that may ultimately result in new regulatory costs and challenges for medical device companies and increased restrictions on imports and exports throughout Europe. This could adversely affect our ability to conduct and expand our operations in Europe and may have an adverse effect on our business, financial condition and results of operations.</w:t>
      </w:r>
    </w:p>
    <w:p>
      <w:pPr>
        <w:spacing w:after="0" w:line="57" w:lineRule="exact"/>
        <w:rPr>
          <w:sz w:val="20"/>
          <w:szCs w:val="20"/>
          <w:color w:val="auto"/>
        </w:rPr>
      </w:pPr>
    </w:p>
    <w:p>
      <w:pPr>
        <w:ind w:firstLine="162"/>
        <w:spacing w:after="0" w:line="297" w:lineRule="auto"/>
        <w:rPr>
          <w:sz w:val="20"/>
          <w:szCs w:val="20"/>
          <w:color w:val="auto"/>
        </w:rPr>
      </w:pPr>
      <w:r>
        <w:rPr>
          <w:rFonts w:ascii="Arial" w:cs="Arial" w:eastAsia="Arial" w:hAnsi="Arial"/>
          <w:sz w:val="16"/>
          <w:szCs w:val="16"/>
          <w:color w:val="auto"/>
        </w:rPr>
        <w:t>Passage of the withdrawal bill does not change the application of existing tax laws and does not establish a clear framework for what the ultimate outcome of the transition period will be. Various tax reliefs and exemptions that apply to transactions between EU Member States under existing tax laws may cease to apply to transactions between the UK and EU Member States when the transition period is over. It is unclear at this stage if or when any new tax treaties between the UK and the EU or individual EU Member States will replace those reliefs and exemptions. It is also unclear at this stage what financial, trade and legal implications will ensue from Brexit and how Brexit may ultimately affect us, our customers, suppliers, vendors, or our industry.</w:t>
      </w:r>
    </w:p>
    <w:p>
      <w:pPr>
        <w:spacing w:after="0" w:line="50" w:lineRule="exact"/>
        <w:rPr>
          <w:sz w:val="20"/>
          <w:szCs w:val="20"/>
          <w:color w:val="auto"/>
        </w:rPr>
      </w:pPr>
    </w:p>
    <w:p>
      <w:pPr>
        <w:ind w:right="100" w:firstLine="162"/>
        <w:spacing w:after="0" w:line="257" w:lineRule="auto"/>
        <w:rPr>
          <w:sz w:val="20"/>
          <w:szCs w:val="20"/>
          <w:color w:val="auto"/>
        </w:rPr>
      </w:pPr>
      <w:r>
        <w:rPr>
          <w:rFonts w:ascii="Arial" w:cs="Arial" w:eastAsia="Arial" w:hAnsi="Arial"/>
          <w:sz w:val="18"/>
          <w:szCs w:val="18"/>
          <w:color w:val="auto"/>
        </w:rPr>
        <w:t>We and several of our wholly owned subsidiaries that are domiciled either in the UK, various EU Member States, or in the U.S., are party to intercompany transactions and agreements under which we receive various tax reliefs and exemptions in accordance with applicable international tax laws, treaties and regulations. If certain treaties applicable to our transactions and agreements change materially, Brexit may have a material adverse impact on our future financial results and results of operations. We continue to monitor and assess the potential impact of this event and explore possible tax-planning strategies that may mitigate or eliminate potential adverse impacts.</w:t>
      </w:r>
    </w:p>
    <w:p>
      <w:pPr>
        <w:spacing w:after="0" w:line="80"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We will not account for the impact of Brexit in our income tax provisions until there are material changes in tax laws or treaties between the UK and other countries.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European Union State Aid Challenge</w:t>
      </w:r>
    </w:p>
    <w:p>
      <w:pPr>
        <w:spacing w:after="0" w:line="110" w:lineRule="exact"/>
        <w:rPr>
          <w:sz w:val="20"/>
          <w:szCs w:val="20"/>
          <w:color w:val="auto"/>
        </w:rPr>
      </w:pPr>
    </w:p>
    <w:p>
      <w:pPr>
        <w:ind w:right="80" w:firstLine="162"/>
        <w:spacing w:after="0" w:line="289" w:lineRule="auto"/>
        <w:rPr>
          <w:sz w:val="20"/>
          <w:szCs w:val="20"/>
          <w:color w:val="auto"/>
        </w:rPr>
      </w:pPr>
      <w:r>
        <w:rPr>
          <w:rFonts w:ascii="Arial" w:cs="Arial" w:eastAsia="Arial" w:hAnsi="Arial"/>
          <w:sz w:val="16"/>
          <w:szCs w:val="16"/>
          <w:color w:val="auto"/>
        </w:rPr>
        <w:t>On October 26, 2017, the European Commission (“EC”) announced that an investigation would be opened with respect to the UK’s controlled foreign company (“CFC”) rules for the period January 1, 2013 through December 31, 2018. Under the CFC rules, financing profits of entities controlled by UK parent companies are taxed when the funding originates in the UK, or Significant People Functions relating to the financing are located in the UK. The provisions under investigation provide group finance exemptions related to the profits of entities involved in financing of the non-UK group activities. On April 2, 2019, the EC concluded that “when financing income from a foreign group company, channeled through an offshore subsidiary, is financed with UK connected capital and there are no UK activities involved in generating the finance profits, the group finance exemption is justified and does not constitute State aid under EU rules.” However, in relation to Significant People Functions, “when financing income from a foreign group company, channeled through an offshore subsidiary, derives from UK activities, the group finance exemption is not justified and constitutes State aid under EU rules.” Her Majesty’s Revenue and Customs (“HMRC”) has stated that they do not consider the timing and form of the UK’s exit from the EU will have a practical impact</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665" w:right="259" w:bottom="1440" w:gutter="0" w:footer="0" w:header="0"/>
        </w:sectPr>
      </w:pPr>
    </w:p>
    <w:bookmarkStart w:id="40" w:name="page41"/>
    <w:bookmarkEnd w:id="40"/>
    <w:p>
      <w:pPr>
        <w:spacing w:after="0" w:line="255" w:lineRule="auto"/>
        <w:rPr>
          <w:sz w:val="20"/>
          <w:szCs w:val="20"/>
          <w:color w:val="auto"/>
        </w:rPr>
      </w:pPr>
      <w:r>
        <w:rPr>
          <w:rFonts w:ascii="Arial" w:cs="Arial" w:eastAsia="Arial" w:hAnsi="Arial"/>
          <w:sz w:val="18"/>
          <w:szCs w:val="18"/>
          <w:color w:val="auto"/>
        </w:rPr>
        <w:t>on the requirement to recover the alleged aid. On June 14, 2019, the UK filed an appeal to the Commission’s decision. On July 5, 2019, HMRC began the first step in the recovery process to identify beneficiaries and sent letters asking for information. Based upon our assessment of the technical arguments as to whether the exemption is State aid, together with no UK activities involved in our financing, no uncertain tax position reserve has been recognized related to this matter. Furthermore, in December 2019, we amended our 2017 tax return filing to avail ourselves of different rules to determine UK taxation, which are not subject to the EU decision. We filed our 2018 tax return similarly, and therefore, we do not believe that the EU state aid decision will result in a material liability.</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Losses from Equity Method Investments</w:t>
      </w:r>
    </w:p>
    <w:p>
      <w:pPr>
        <w:spacing w:after="0" w:line="110"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Due to an additional investment by a third party during the year ended December 31, 2018, our equity interest in Highlife decreased to 7.8% from 24.6%. We determined that we no longer had significant influence over Highlife and, as a result, we began to measure Highlife at cost minus impairment, if any, plus or minus changes resulting from observable price changes in orderly transactions for the identical or similar investment of the same issuer. Losses from equity method investments were $0.6 million for the year ended December 31, 2018, which was attributable to Highlife.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Results of Discontinued Operations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The table below illustrates the results of discontinued operations (in thousands):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6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2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4"/>
                <w:szCs w:val="24"/>
                <w:color w:val="auto"/>
              </w:rPr>
            </w:pPr>
          </w:p>
        </w:tc>
      </w:tr>
      <w:tr>
        <w:trPr>
          <w:trHeight w:val="27"/>
        </w:trPr>
        <w:tc>
          <w:tcPr>
            <w:tcW w:w="67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(10,937)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(1,271)</w:t>
            </w:r>
          </w:p>
        </w:tc>
      </w:tr>
      <w:tr>
        <w:trPr>
          <w:trHeight w:val="27"/>
        </w:trPr>
        <w:tc>
          <w:tcPr>
            <w:tcW w:w="6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discontinued operations, net of tax</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(78,283)</w:t>
            </w:r>
          </w:p>
        </w:tc>
      </w:tr>
      <w:tr>
        <w:trPr>
          <w:trHeight w:val="257"/>
        </w:trPr>
        <w:tc>
          <w:tcPr>
            <w:tcW w:w="6760" w:type="dxa"/>
            <w:vAlign w:val="bottom"/>
          </w:tcPr>
          <w:p>
            <w:pPr>
              <w:ind w:left="280"/>
              <w:spacing w:after="0"/>
              <w:rPr>
                <w:sz w:val="20"/>
                <w:szCs w:val="20"/>
                <w:color w:val="auto"/>
              </w:rPr>
            </w:pPr>
            <w:r>
              <w:rPr>
                <w:rFonts w:ascii="Arial" w:cs="Arial" w:eastAsia="Arial" w:hAnsi="Arial"/>
                <w:sz w:val="18"/>
                <w:szCs w:val="18"/>
                <w:color w:val="auto"/>
              </w:rPr>
              <w:t>Net income (loss) from discontinued operations, net of tax</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(79,554)</w:t>
            </w:r>
          </w:p>
        </w:tc>
      </w:tr>
      <w:tr>
        <w:trPr>
          <w:trHeight w:val="20"/>
        </w:trPr>
        <w:tc>
          <w:tcPr>
            <w:tcW w:w="6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162"/>
        <w:spacing w:after="0" w:line="302" w:lineRule="auto"/>
        <w:rPr>
          <w:sz w:val="20"/>
          <w:szCs w:val="20"/>
          <w:color w:val="auto"/>
        </w:rPr>
      </w:pPr>
      <w:r>
        <w:rPr>
          <w:rFonts w:ascii="Arial" w:cs="Arial" w:eastAsia="Arial" w:hAnsi="Arial"/>
          <w:sz w:val="16"/>
          <w:szCs w:val="16"/>
          <w:color w:val="auto"/>
        </w:rPr>
        <w:t>In November 2017, we concluded that the sale of CRM represented a strategic shift in our business that would have a major effect on future operations and financial results. Accordingly, the operating results of CRM are classified as discontinued operations in our consolidated statements of income (loss) for all the periods presented in this Annual Report on Form 10-K. Additionally, we tested the long-lived assets of CRM for impairment and recognized an impairment to tangible and intangible assets of $78.3 million, net of a $15.3 million tax benefit during the year ended December 31, 2017.</w:t>
      </w:r>
    </w:p>
    <w:p>
      <w:pPr>
        <w:spacing w:after="0" w:line="46"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We completed the CRM Sale on April 30, 2018, for total cash proceeds of $195.9 million, less cash transferred of $9.2 million, subject to a closing working capital adjustment. In conjunction with the sale, we entered into transition services agreements to provide certain support services generally for up to twelve months from the closing date of the sale. The services include, among others, accounting, information technology, human resources, quality assurance, regulatory affairs, supply chain, clinical affairs and customer support. For the year ended December 31, 2019 and December 31, 2018, we recognized income of $0.9 million and $2.8 million, respectively, for providing these services. Income recognized related to the transition services agreements is recorded as a reduction to the related expenses in the associated expense line items in our consolidated statement of income (loss).</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Accounting Policies and Critical Accounting Estimates</w:t>
      </w:r>
    </w:p>
    <w:p>
      <w:pPr>
        <w:spacing w:after="0" w:line="125"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accounting principles generally accepted in the U.S. (“U.S. GAAP”). Our most significant accounting policies are disclosed in “Note 2. Basis of Presentation, Use of Accounting Estimates and Significant Accounting Policies” in our consolidated financial statements and accompanying notes, beginning on page F-1 of this Annual Report on Form 10-K. New accounting pronouncements are disclosed in “Note 23. New Accounting Pronouncements” in our consolidated financial statements and accompanying notes, beginning on page F-1 of this Annual Report on Form 10-K.</w:t>
      </w:r>
    </w:p>
    <w:p>
      <w:pPr>
        <w:spacing w:after="0" w:line="80"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To prepare our consolidated financial statements in conformity with U.S. GAAP, management makes estimates and assumptions that may affect the reported amounts of our assets and liabilities, the disclosure of contingent liabilities as of the date of our consolidated financial statements and the reported amounts of our revenue and expenses during the reporting period. Our actual results may differ from these estimates. We consider estimates to be critical if we are required to make assumptions about material matters that are uncertain at the time of estimation, or if materially different estimates could have been made or it is reasonably likely that the accounting estimate will change from period to period. The following are areas requiring management’s judgment that we consider critical:</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65" w:right="239" w:bottom="1440" w:gutter="0" w:footer="0" w:header="0"/>
        </w:sectPr>
      </w:pPr>
    </w:p>
    <w:bookmarkStart w:id="41" w:name="page42"/>
    <w:bookmarkEnd w:id="41"/>
    <w:p>
      <w:pPr>
        <w:spacing w:after="0"/>
        <w:rPr>
          <w:sz w:val="20"/>
          <w:szCs w:val="20"/>
          <w:color w:val="auto"/>
        </w:rPr>
      </w:pPr>
      <w:r>
        <w:rPr>
          <w:rFonts w:ascii="Arial" w:cs="Arial" w:eastAsia="Arial" w:hAnsi="Arial"/>
          <w:sz w:val="20"/>
          <w:szCs w:val="20"/>
          <w:color w:val="auto"/>
        </w:rPr>
        <w:t>Leases</w:t>
      </w:r>
    </w:p>
    <w:p>
      <w:pPr>
        <w:spacing w:after="0" w:line="110" w:lineRule="exact"/>
        <w:rPr>
          <w:sz w:val="20"/>
          <w:szCs w:val="20"/>
          <w:color w:val="auto"/>
        </w:rPr>
      </w:pPr>
    </w:p>
    <w:p>
      <w:pPr>
        <w:ind w:right="80" w:firstLine="162"/>
        <w:spacing w:after="0" w:line="291" w:lineRule="auto"/>
        <w:rPr>
          <w:sz w:val="20"/>
          <w:szCs w:val="20"/>
          <w:color w:val="auto"/>
        </w:rPr>
      </w:pPr>
      <w:r>
        <w:rPr>
          <w:rFonts w:ascii="Arial" w:cs="Arial" w:eastAsia="Arial" w:hAnsi="Arial"/>
          <w:sz w:val="16"/>
          <w:szCs w:val="16"/>
          <w:color w:val="auto"/>
        </w:rPr>
        <w:t xml:space="preserve">On January 1, 2019, we adopted ASC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including subsequent related accounting updates (collectively referred to as “Topic 842”), which supersedes the previous accounting model for leases. We adopted the standard using the modified retrospective approach with an effective date as of January 1, 2019. Prior year financial statements were not recast under the new standard. In addition, we elected the package of practical expedients permitted under the transition guidance within the new standard, which among other things, allowed us to carry forward our historical assessment of whether contracts are or contain leases and lease classification. We also elected the practical expedient to account for lease and non-lease components together as a single combined lease component, which is applicable to all asset classes. We did not, however, elect the practical expedient related to using hindsight in determining the lease term as this was not relevant following our election of the modified retrospective approach.</w:t>
      </w:r>
    </w:p>
    <w:p>
      <w:pPr>
        <w:spacing w:after="0" w:line="59" w:lineRule="exact"/>
        <w:rPr>
          <w:sz w:val="20"/>
          <w:szCs w:val="20"/>
          <w:color w:val="auto"/>
        </w:rPr>
      </w:pPr>
    </w:p>
    <w:p>
      <w:pPr>
        <w:jc w:val="both"/>
        <w:ind w:right="80" w:firstLine="162"/>
        <w:spacing w:after="0" w:line="257" w:lineRule="auto"/>
        <w:rPr>
          <w:sz w:val="20"/>
          <w:szCs w:val="20"/>
          <w:color w:val="auto"/>
        </w:rPr>
      </w:pPr>
      <w:r>
        <w:rPr>
          <w:rFonts w:ascii="Arial" w:cs="Arial" w:eastAsia="Arial" w:hAnsi="Arial"/>
          <w:sz w:val="18"/>
          <w:szCs w:val="18"/>
          <w:color w:val="auto"/>
        </w:rPr>
        <w:t>In addition, we elect certain practical expedients on an ongoing basis, including the practical expedient for short-term leases pursuant to which a lessee is permitted to make an accounting policy election by class of underlying asset not to recognize a lease liability and operating lease asset for leases with a term of 12 months or less and that do not include an option to purchase the underlying asset that the lessee is reasonably certain to exercise. We have applied this accounting policy to all asset classes in our portfolio and will recognize the lease payments for such short-term leases within profit and loss on a straight-line basis over the lease term.</w:t>
      </w:r>
    </w:p>
    <w:p>
      <w:pPr>
        <w:spacing w:after="0" w:line="80" w:lineRule="exact"/>
        <w:rPr>
          <w:sz w:val="20"/>
          <w:szCs w:val="20"/>
          <w:color w:val="auto"/>
        </w:rPr>
      </w:pPr>
    </w:p>
    <w:p>
      <w:pPr>
        <w:ind w:right="240" w:firstLine="162"/>
        <w:spacing w:after="0" w:line="302" w:lineRule="auto"/>
        <w:rPr>
          <w:sz w:val="20"/>
          <w:szCs w:val="20"/>
          <w:color w:val="auto"/>
        </w:rPr>
      </w:pPr>
      <w:r>
        <w:rPr>
          <w:rFonts w:ascii="Arial" w:cs="Arial" w:eastAsia="Arial" w:hAnsi="Arial"/>
          <w:sz w:val="16"/>
          <w:szCs w:val="16"/>
          <w:color w:val="auto"/>
        </w:rPr>
        <w:t>Furthermore, from a lessor perspective, certain of our agreements that allow the customer to use, rather than purchase, our medical devices will meet the criteria of being a lease in accordance with the new standard. While the amount of revenue and expenses recognized over the contract term will not be impacted, the timing of revenue and expense recognition will be impacted depending upon lease classification. We enacted appropriate changes to our business processes, systems and internal controls to support identification, recognition and disclosure of leases under the new standard.</w:t>
      </w:r>
    </w:p>
    <w:p>
      <w:pPr>
        <w:spacing w:after="0" w:line="46" w:lineRule="exact"/>
        <w:rPr>
          <w:sz w:val="20"/>
          <w:szCs w:val="20"/>
          <w:color w:val="auto"/>
        </w:rPr>
      </w:pPr>
    </w:p>
    <w:p>
      <w:pPr>
        <w:ind w:firstLine="162"/>
        <w:spacing w:after="0" w:line="288" w:lineRule="auto"/>
        <w:rPr>
          <w:sz w:val="20"/>
          <w:szCs w:val="20"/>
          <w:color w:val="auto"/>
        </w:rPr>
      </w:pPr>
      <w:r>
        <w:rPr>
          <w:rFonts w:ascii="Arial" w:cs="Arial" w:eastAsia="Arial" w:hAnsi="Arial"/>
          <w:sz w:val="16"/>
          <w:szCs w:val="16"/>
          <w:color w:val="auto"/>
        </w:rPr>
        <w:t>We determine if an arrangement is or contains a lease at inception. Operating lease assets and operating lease liabilities are recognized based on the present value of the future minimum lease payments over the lease term at the latter of our lease standard effective date for adoption or the lease commencement date. Variable lease payments, such as common area rent maintenance charges and rent escalations not known upon lease commencement, are not included in determination of the minimum lease payments and will be expensed in the period in which the obligation for those payments is incurred. As most of our leases do not provide an implicit rate, we use our incremental borrowing rate based on the information available at commencement in determining the present value of future payments. The incremental borrowing rate represents an estimate of the interest rate we would incur at lease commencement to borrow an amount equal to the lease payments on a collateralized basis over the term of a lease within a particular currency environment. We used the incremental borrowing rate available nearest to our adoption date for leases that commenced prior to that date. The operating lease asset also includes any lease payments made in advance and excludes lease incentives. Our lease terms may include options to extend or terminate the lease when it is reasonably certain that we will exercise that option. Lease expense for minimum lease payments is recognized on a straight-line basis over the lease term.</w:t>
      </w:r>
    </w:p>
    <w:p>
      <w:pPr>
        <w:spacing w:after="0" w:line="61"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For additional information refer to “Note 13. Leases” in our consolidated financial statements and accompanying notes, beginning on page F-1 of this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Business Combinations and Goodwill</w:t>
      </w:r>
    </w:p>
    <w:p>
      <w:pPr>
        <w:spacing w:after="0" w:line="110" w:lineRule="exact"/>
        <w:rPr>
          <w:sz w:val="20"/>
          <w:szCs w:val="20"/>
          <w:color w:val="auto"/>
        </w:rPr>
      </w:pPr>
    </w:p>
    <w:p>
      <w:pPr>
        <w:ind w:right="40" w:firstLine="162"/>
        <w:spacing w:after="0" w:line="270" w:lineRule="auto"/>
        <w:rPr>
          <w:sz w:val="20"/>
          <w:szCs w:val="20"/>
          <w:color w:val="auto"/>
        </w:rPr>
      </w:pPr>
      <w:r>
        <w:rPr>
          <w:rFonts w:ascii="Arial" w:cs="Arial" w:eastAsia="Arial" w:hAnsi="Arial"/>
          <w:sz w:val="17"/>
          <w:szCs w:val="17"/>
          <w:color w:val="auto"/>
        </w:rPr>
        <w:t>We allocate the amounts we pay for an acquisition to the assets we acquire and liabilities we assume based on their fair values at the date of acquisition, including property, plant and equipment, inventories, accounts receivable, long-term debt, and identifiable intangible assets which either arise from a contractual or legal right or are separable from goodwill. We base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 We allocate any excess purchase price over the fair value of the net tangible and identifiable intangible assets acquired to goodwill. Transaction costs associated with these acquisitions are expensed as incurred and are reported in selling, general and administrative on the consolidated statements of income (loss). We recognize adjustments to the provisional amounts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are recorded in the same period’s consolidated financial statements, calculated as if the accounting had been completed at the acquisition date.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Assets, Other than Goodwill</w:t>
      </w:r>
    </w:p>
    <w:p>
      <w:pPr>
        <w:spacing w:after="0" w:line="110"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Intangible assets shown on the consolidated balance sheets consist of finite-lived and indefinite-lived assets expected to generate future economic benefits and are recorded at their respective fair values as of their acquisition date. Finite-lived</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676" w:right="259" w:bottom="1440" w:gutter="0" w:footer="0" w:header="0"/>
        </w:sectPr>
      </w:pPr>
    </w:p>
    <w:bookmarkStart w:id="42" w:name="page43"/>
    <w:bookmarkEnd w:id="42"/>
    <w:p>
      <w:pPr>
        <w:ind w:right="160"/>
        <w:spacing w:after="0" w:line="302" w:lineRule="auto"/>
        <w:rPr>
          <w:sz w:val="20"/>
          <w:szCs w:val="20"/>
          <w:color w:val="auto"/>
        </w:rPr>
      </w:pPr>
      <w:r>
        <w:rPr>
          <w:rFonts w:ascii="Arial" w:cs="Arial" w:eastAsia="Arial" w:hAnsi="Arial"/>
          <w:sz w:val="16"/>
          <w:szCs w:val="16"/>
          <w:color w:val="auto"/>
        </w:rPr>
        <w:t>intangible assets consist primarily of developed technology and technical capabilities, including patents, related know-how and licensed patent rights, trade names and customer relationships. Customer relationships consist of relationships with hospitals and surgeons in the countries where we operate. Indefinite-lived intangible assets other than goodwill are composed of IPR&amp;D assets acquired in acquisitions. We estimate the useful lives of our intangible assets, which requires significant management judgment. We amortize our finite-lived intangible assets over their useful lives using the straight-line method.</w:t>
      </w:r>
    </w:p>
    <w:p>
      <w:pPr>
        <w:spacing w:after="0" w:line="46" w:lineRule="exact"/>
        <w:rPr>
          <w:sz w:val="20"/>
          <w:szCs w:val="20"/>
          <w:color w:val="auto"/>
        </w:rPr>
      </w:pPr>
    </w:p>
    <w:p>
      <w:pPr>
        <w:jc w:val="both"/>
        <w:ind w:right="220" w:firstLine="162"/>
        <w:spacing w:after="0" w:line="264" w:lineRule="auto"/>
        <w:rPr>
          <w:sz w:val="20"/>
          <w:szCs w:val="20"/>
          <w:color w:val="auto"/>
        </w:rPr>
      </w:pPr>
      <w:r>
        <w:rPr>
          <w:rFonts w:ascii="Arial" w:cs="Arial" w:eastAsia="Arial" w:hAnsi="Arial"/>
          <w:sz w:val="18"/>
          <w:szCs w:val="18"/>
          <w:color w:val="auto"/>
        </w:rPr>
        <w:t>Amortization expense is disclosed separately on our consolidated statements of income (loss). We evaluate our intangible assets each reporting period to determine whether events and circumstances indicate either a different useful life or impairment. If we change our estimate of the useful life of an asset, we amortize the carrying amount over the revised remaining useful life.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Impairment of Long-Lived Assets and Goodwill</w:t>
      </w:r>
    </w:p>
    <w:p>
      <w:pPr>
        <w:spacing w:after="0" w:line="11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We review, when circumstances warrant, the carrying amounts of our property and equipment and our intangible assets to determine whether such carrying amounts continue to be recoverable. Such changes in circumstance may include, among other items, an expectation of a sale or disposal of a long-lived asset or asset group, adverse changes in market or competitive conditions, an adverse change in legal factors or business climate in the markets in which we operate and operating or cash flow losses. For purposes of impairment testing, long-lived assets are grouped at the lowest level for which cash flows are largely independent of other assets and liabilities, generally at or below the reporting unit level.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sale prices for similar assets, discounted estimated future cash flows using an appropriate discount rate and/or estimated replacement cost. Assets to be disposed of are carried at the lower of their financial statement carrying amount or fair value less costs to sell.</w:t>
      </w:r>
    </w:p>
    <w:p>
      <w:pPr>
        <w:spacing w:after="0" w:line="74" w:lineRule="exact"/>
        <w:rPr>
          <w:sz w:val="20"/>
          <w:szCs w:val="20"/>
          <w:color w:val="auto"/>
        </w:rPr>
      </w:pPr>
    </w:p>
    <w:p>
      <w:pPr>
        <w:ind w:right="60" w:firstLine="162"/>
        <w:spacing w:after="0" w:line="269" w:lineRule="auto"/>
        <w:rPr>
          <w:sz w:val="20"/>
          <w:szCs w:val="20"/>
          <w:color w:val="auto"/>
        </w:rPr>
      </w:pPr>
      <w:r>
        <w:rPr>
          <w:rFonts w:ascii="Arial" w:cs="Arial" w:eastAsia="Arial" w:hAnsi="Arial"/>
          <w:sz w:val="17"/>
          <w:szCs w:val="17"/>
          <w:color w:val="auto"/>
        </w:rPr>
        <w:t>We evaluate the goodwill and indefinite-lived intangible assets for impairment at least annually on October 1st and whenever other facts and circumstances indicate that the carrying amounts of goodwill and other indefinite-lived intangible assets may not be recoverable. In the case of goodwill, if it is more-likely-than-not that a reporting unit’s fair value is less than its carrying value, we then compare the fair value of the reporting unit to its respective carrying amount. A reporting unit is an operating segment or one level below an operating segment (referred to as a “component”). Our operating segments are deemed to be our reporting units. If the carrying value of a reporting unit were to exceed its fair value, we would then compare the implied fair value of the reporting unit’s goodwill to its carrying amount, and any excess of the carrying amount over the fair value would be charged to operations as an impairment loss. Estimating the fair value requires various assumptions, including revenue and gross margin growth rates and discount rates. With respect to indefinite-lived intangible assets, if it is more-likely-than-not that the fair value of an indefinite-lived intangible asset is less than its carrying value, we then estimate its fair value and any excess of the carrying value over the fair value of the indefinite-lived intangible asset is also charged to operations as an impairment loss. Estimating the fair value of indefinite-lived intangible assets requires various assumptions, including revenue growth rates, timing and probability of commercialization, and discount rates.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rPr>
        <w:t>Revenue</w:t>
      </w:r>
    </w:p>
    <w:p>
      <w:pPr>
        <w:spacing w:after="0" w:line="110"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For the years presented in our consolidated statements of income (loss) prior to December 31, 2018, we recognized revenue under the Financial Accounting Standards Board (the “FASB”) Accounting Standards Codification Topi</w:t>
      </w:r>
      <w:r>
        <w:rPr>
          <w:rFonts w:ascii="Arial" w:cs="Arial" w:eastAsia="Arial" w:hAnsi="Arial"/>
          <w:sz w:val="16"/>
          <w:szCs w:val="16"/>
          <w:i w:val="1"/>
          <w:iCs w:val="1"/>
          <w:color w:val="auto"/>
        </w:rPr>
        <w:t>c</w:t>
      </w:r>
      <w:r>
        <w:rPr>
          <w:rFonts w:ascii="Arial" w:cs="Arial" w:eastAsia="Arial" w:hAnsi="Arial"/>
          <w:sz w:val="16"/>
          <w:szCs w:val="16"/>
          <w:color w:val="auto"/>
        </w:rPr>
        <w:t xml:space="preserve">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We recognized revenue when persuasive evidence of a sales arrangement existed, title to the goods and risk of loss transferred to the customer or to an independent distributor, the selling price was fixed or determinable and collectability was reasonably assured. We estimated expected sales returns based on historical data and recorded a reduction of sales with a return reserve. We recorded state and local sales taxes net; that is, we excluded sales tax from revenue. Service-related revenue was recognized on the basis of progress of the services, when services were rendered, when collectability was reasonably assured and when the amount was fixed and determinable.</w:t>
      </w:r>
    </w:p>
    <w:p>
      <w:pPr>
        <w:spacing w:after="0" w:line="68" w:lineRule="exact"/>
        <w:rPr>
          <w:sz w:val="20"/>
          <w:szCs w:val="20"/>
          <w:color w:val="auto"/>
        </w:rPr>
      </w:pPr>
    </w:p>
    <w:p>
      <w:pPr>
        <w:ind w:right="200" w:firstLine="162"/>
        <w:spacing w:after="0" w:line="289" w:lineRule="auto"/>
        <w:rPr>
          <w:sz w:val="20"/>
          <w:szCs w:val="20"/>
          <w:color w:val="auto"/>
        </w:rPr>
      </w:pPr>
      <w:r>
        <w:rPr>
          <w:rFonts w:ascii="Arial" w:cs="Arial" w:eastAsia="Arial" w:hAnsi="Arial"/>
          <w:sz w:val="18"/>
          <w:szCs w:val="18"/>
          <w:color w:val="auto"/>
        </w:rPr>
        <w:t xml:space="preserve">In May 2014, the FASB issued ASC Update (“ASU”) No. 2014-09, </w:t>
      </w:r>
      <w:r>
        <w:rPr>
          <w:rFonts w:ascii="Arial" w:cs="Arial" w:eastAsia="Arial" w:hAnsi="Arial"/>
          <w:sz w:val="19"/>
          <w:szCs w:val="19"/>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9"/>
          <w:szCs w:val="19"/>
          <w:color w:val="auto"/>
        </w:rPr>
        <w:t>(Topic 606)</w:t>
      </w:r>
      <w:r>
        <w:rPr>
          <w:rFonts w:ascii="Arial" w:cs="Arial" w:eastAsia="Arial" w:hAnsi="Arial"/>
          <w:sz w:val="18"/>
          <w:szCs w:val="18"/>
          <w:i w:val="1"/>
          <w:iCs w:val="1"/>
          <w:color w:val="auto"/>
        </w:rPr>
        <w:t>.</w:t>
      </w:r>
      <w:r>
        <w:rPr>
          <w:rFonts w:ascii="Arial" w:cs="Arial" w:eastAsia="Arial" w:hAnsi="Arial"/>
          <w:sz w:val="18"/>
          <w:szCs w:val="18"/>
          <w:color w:val="auto"/>
        </w:rPr>
        <w:t xml:space="preserve"> Update No. 2014-09 requires an entity to recognize the amount of revenue to which it expects to be entitled for the transfer of promised goods or services to customers and replaces most existing revenue recognition guidance. We adopted the new revenue guidance on January 1, 2018. We elected the cumulative effect transition method; however, we recognized no cumulative effect to the opening balance of retained earnings because the impact on the timing of when revenue is recognized was insignificant.</w:t>
      </w:r>
    </w:p>
    <w:p>
      <w:pPr>
        <w:spacing w:after="0" w:line="66"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We generate our revenue through contracts with customers. Our customers are primarily hospitals, healthcare institutions, distributors and other organizations. Revenue is measured based on consideration specified in a contract with a customer, and excludes amounts collected on behalf of third parties, such as sales tax. We measure the consideration based upon the estimated amount to be received. The amount of consideration we ultimately receive varies depending upon the return terms, sales</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65" w:right="239" w:bottom="1440" w:gutter="0" w:footer="0" w:header="0"/>
        </w:sectPr>
      </w:pPr>
    </w:p>
    <w:bookmarkStart w:id="43" w:name="page44"/>
    <w:bookmarkEnd w:id="43"/>
    <w:p>
      <w:pPr>
        <w:ind w:right="540"/>
        <w:spacing w:after="0" w:line="277" w:lineRule="auto"/>
        <w:rPr>
          <w:sz w:val="20"/>
          <w:szCs w:val="20"/>
          <w:color w:val="auto"/>
        </w:rPr>
      </w:pPr>
      <w:r>
        <w:rPr>
          <w:rFonts w:ascii="Arial" w:cs="Arial" w:eastAsia="Arial" w:hAnsi="Arial"/>
          <w:sz w:val="18"/>
          <w:szCs w:val="18"/>
          <w:color w:val="auto"/>
        </w:rPr>
        <w:t>rebates, discounts, and other incentives that we may offer, which are accounted for as variable consideration when estimating the amount of revenue to recognize. The estimate of variable consideration requires significant judgment.</w:t>
      </w:r>
    </w:p>
    <w:p>
      <w:pPr>
        <w:spacing w:after="0" w:line="62" w:lineRule="exact"/>
        <w:rPr>
          <w:sz w:val="20"/>
          <w:szCs w:val="20"/>
          <w:color w:val="auto"/>
        </w:rPr>
      </w:pPr>
    </w:p>
    <w:p>
      <w:pPr>
        <w:ind w:right="120" w:firstLine="162"/>
        <w:spacing w:after="0" w:line="302" w:lineRule="auto"/>
        <w:rPr>
          <w:sz w:val="20"/>
          <w:szCs w:val="20"/>
          <w:color w:val="auto"/>
        </w:rPr>
      </w:pPr>
      <w:r>
        <w:rPr>
          <w:rFonts w:ascii="Arial" w:cs="Arial" w:eastAsia="Arial" w:hAnsi="Arial"/>
          <w:sz w:val="16"/>
          <w:szCs w:val="16"/>
          <w:color w:val="auto"/>
        </w:rPr>
        <w:t>We recognize revenue when a performance obligation is satisfied by transferring the control of a product, or providing service, to a customer. Some of our contracts include the purchase of multiple products and/or services. In such cases, we allocate the transaction price based upon the relative estimated stand-alone price of each product and/or service sold. Typically, our contracts do not have a significant financing component. We have historically experienced a low rate of product returns and the total dollar value of product returns has not been significant to our consolidated financial statements.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incur incremental commission fees paid to the sales force associated with the sale of products. We elected the practical expedient within ASC 606-10-</w:t>
      </w:r>
    </w:p>
    <w:p>
      <w:pPr>
        <w:spacing w:after="0" w:line="46" w:lineRule="exact"/>
        <w:rPr>
          <w:sz w:val="20"/>
          <w:szCs w:val="20"/>
          <w:color w:val="auto"/>
        </w:rPr>
      </w:pPr>
    </w:p>
    <w:p>
      <w:pPr>
        <w:ind w:right="620"/>
        <w:spacing w:after="0" w:line="290" w:lineRule="auto"/>
        <w:rPr>
          <w:sz w:val="20"/>
          <w:szCs w:val="20"/>
          <w:color w:val="auto"/>
        </w:rPr>
      </w:pPr>
      <w:r>
        <w:rPr>
          <w:rFonts w:ascii="Arial" w:cs="Arial" w:eastAsia="Arial" w:hAnsi="Arial"/>
          <w:sz w:val="17"/>
          <w:szCs w:val="17"/>
          <w:color w:val="auto"/>
        </w:rPr>
        <w:t>50-22 and recognize the incremental costs of obtaining a contract as an expense when incurred if the amortization period of the asset the entity would otherwise recognize is one year or less. As a result, no commissions are capitalized as contract costs at December 31, 2019.</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ind w:right="60" w:firstLine="243"/>
        <w:spacing w:after="0" w:line="276" w:lineRule="auto"/>
        <w:rPr>
          <w:sz w:val="20"/>
          <w:szCs w:val="20"/>
          <w:color w:val="auto"/>
        </w:rPr>
      </w:pPr>
      <w:r>
        <w:rPr>
          <w:rFonts w:ascii="Arial" w:cs="Arial" w:eastAsia="Arial" w:hAnsi="Arial"/>
          <w:sz w:val="17"/>
          <w:szCs w:val="17"/>
          <w:color w:val="auto"/>
        </w:rPr>
        <w:t>We are a UK corporation, and we operate through our various subsidiaries in a number of countries throughout the world. Our provision for income taxes is based on the tax laws and rates applicable in the jurisdictions in which we operate and earn income. We use significant judgment and estimates in accounting for our income taxes. We recognize deferred tax assets and liabilities for the anticipated future tax effects of temporary differences between the financial statements basis and the tax basis of our assets and liabilities, which are measured using enacted tax rates expected to apply to taxable income in the years in which those temporary differences are expected to be recovered or settled.</w:t>
      </w:r>
    </w:p>
    <w:p>
      <w:pPr>
        <w:spacing w:after="0" w:line="64" w:lineRule="exact"/>
        <w:rPr>
          <w:sz w:val="20"/>
          <w:szCs w:val="20"/>
          <w:color w:val="auto"/>
        </w:rPr>
      </w:pPr>
    </w:p>
    <w:p>
      <w:pPr>
        <w:ind w:firstLine="204"/>
        <w:spacing w:after="0" w:line="287" w:lineRule="auto"/>
        <w:rPr>
          <w:sz w:val="20"/>
          <w:szCs w:val="20"/>
          <w:color w:val="auto"/>
        </w:rPr>
      </w:pPr>
      <w:r>
        <w:rPr>
          <w:rFonts w:ascii="Arial" w:cs="Arial" w:eastAsia="Arial" w:hAnsi="Arial"/>
          <w:sz w:val="16"/>
          <w:szCs w:val="16"/>
          <w:color w:val="auto"/>
        </w:rPr>
        <w:t>We file federal and local tax returns in many jurisdictions throughout the world and are subject to income tax examinations for our fiscal year 2001 and subsequent years, with certain exceptions. While we believe that our tax return positions are fully supported, tax authorities may disagree with certain positions we have taken and assess additional taxes and as a result, we may establish reserves for uncertain tax positions, which require a significant degree of management judgment. We regularly assess the likely outcomes of our tax positions in order to determine the appropriateness of our reserves; however, the actual outcome of an audit can be significantly different than our expectations, which could have a material impact on our tax provision. The total amount of unrecognized tax benefit, as of December 31, 2019, if recognized, would reduce our income tax expense by approximately $12.9 million. Our tax positions are evaluated for recognition using a more-likely-than-not threshold. Uncertain tax positions requiring recognition are measured as the largest amount of tax benefit that has a greater than 50% likelihood of being realized upon effective settlement with a taxing authority that has full knowledge of all relevant information. Some of the reasons a reserve for an uncertain tax position may be reversed are: completion of a tax audit; a change in applicable tax law including a tax case or legislative guidance; or an expiration of the statute of limitations. We recognize interest and penalties associated with unrecognized tax benefits and record interest in interest expense, and penalties in selling, general and administrative expense, in our consolidated statements of income (loss).</w:t>
      </w:r>
    </w:p>
    <w:p>
      <w:pPr>
        <w:spacing w:after="0" w:line="65" w:lineRule="exact"/>
        <w:rPr>
          <w:sz w:val="20"/>
          <w:szCs w:val="20"/>
          <w:color w:val="auto"/>
        </w:rPr>
      </w:pPr>
    </w:p>
    <w:p>
      <w:pPr>
        <w:ind w:right="20" w:firstLine="162"/>
        <w:spacing w:after="0" w:line="254" w:lineRule="auto"/>
        <w:rPr>
          <w:sz w:val="20"/>
          <w:szCs w:val="20"/>
          <w:color w:val="auto"/>
        </w:rPr>
      </w:pPr>
      <w:r>
        <w:rPr>
          <w:rFonts w:ascii="Arial" w:cs="Arial" w:eastAsia="Arial" w:hAnsi="Arial"/>
          <w:sz w:val="18"/>
          <w:szCs w:val="18"/>
          <w:color w:val="auto"/>
        </w:rPr>
        <w:t>We periodically assess the recoverability of our deferred tax assets by considering whether it is more-likely-than-not that some or all of the actual benefit of those assets will be realized. To the extent that realization does not meet the “more-likely-than-not” criterion, we establish a valuation allowance. We periodically review the adequacy and necessity of the valuation allowance by considering significant positive and negative evidence relative to our ability to recover deferred tax assets and to determine the timing and amount of valuation allowance that should be released. This evidence includes: profitability in the most recent quarters; internal forecasts for the current and next two future years; size of deferred tax asset relative to estimated profitability; the potential effects on future profitability from increasing competition, healthcare reforms and overall economic conditions; limitations and potential limitations on the use of our net operating losses due to ownership changes, pursuant to IRC Section 382; and the implementation of prudent and feasible tax planning strategies, if any.</w:t>
      </w:r>
    </w:p>
    <w:p>
      <w:pPr>
        <w:spacing w:after="0" w:line="84"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The Tax Act also established various other new U.S. corporate income tax laws that came into effect in 2018 along with proposed regulations issued in 2018 and final regulations issued in 2019. The extent to which these and other provisions of the Tax Act, or future legislation or additional final regulations clarifying the Tax Act, could impact our consolidated effective income tax rate in future periods depends on many factors including, but not limited to, the amount of profit generated by our subsidiaries operating in the U.S., the impact of the Company’s current or contemplated tax planning strategies, the impact of new or amended tax laws or regulations by the U.S. and by countries outside the U.S., and other factors beyond our control. During the fourth quarter of 2018, we finalized our accounting under SAB 118 for the remeasurement of the deferred tax assets and liabilities and impairment of foreign tax credits related to the Tax Act. Our accounting for the remeasurement is complete with a final non-cash net charge of $21.0 million.</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665" w:right="25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auto"/>
        </w:rPr>
        <w:t>New Accounting Pronouncements</w:t>
      </w:r>
    </w:p>
    <w:p>
      <w:pPr>
        <w:spacing w:after="0" w:line="125"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For a discussion of new accounting standards and disclosure requirements, please refer to “Note 23. New Accounting Pronouncements” in our consolidated financial statements and accompanying notes, beginning on page F-1 of this Annual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25"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Based on our current business plan, we believe that our existing cash and cash equivalents, future cash generated from operations and borrowings under our existing credit facilities will be sufficient to fund our expected operating needs, working capital requirements, R&amp;D opportunities, capital expenditures, obligations associated with the litigation involving our 3T device and debt service requirements over the 12-month period beginning from the issuance date of these financial statements. We regularly review our capital needs and consider various investing and financing alternatives to support our requirements. Refer to “Note 11. Financing Arrangements” in the consolidated financial statements in this Annual Report on Form 10-K for additional information regarding our debt. Our liquidity could be adversely affected by the factors affecting future operating results, including those referred to in “Item 1A. Risk Factors” above.</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Cash Flows</w:t>
      </w:r>
    </w:p>
    <w:p>
      <w:pPr>
        <w:spacing w:after="0" w:line="110"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increase (decrease) in the balance of cash and cash equivalents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6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(91,142)</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120,489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91,339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(41,290)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(120,556)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(52,855)</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146,581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4,048</w:t>
            </w: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13,933</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53,826</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200" w:firstLine="162"/>
        <w:spacing w:after="0" w:line="277" w:lineRule="auto"/>
        <w:rPr>
          <w:sz w:val="20"/>
          <w:szCs w:val="20"/>
          <w:color w:val="auto"/>
        </w:rPr>
      </w:pPr>
      <w:r>
        <w:rPr>
          <w:rFonts w:ascii="Arial" w:cs="Arial" w:eastAsia="Arial" w:hAnsi="Arial"/>
          <w:sz w:val="18"/>
          <w:szCs w:val="18"/>
          <w:color w:val="auto"/>
        </w:rPr>
        <w:t>Cash used in operating activities for the year ended December 31, 2019 increased $211.6 million as compared to 2018, primarily due to $156.9 million in 3T litigation settlement payments made during 2019 and the change in operating assets and liabilities.</w:t>
      </w:r>
    </w:p>
    <w:p>
      <w:pPr>
        <w:spacing w:after="0" w:line="62" w:lineRule="exact"/>
        <w:rPr>
          <w:sz w:val="20"/>
          <w:szCs w:val="20"/>
          <w:color w:val="auto"/>
        </w:rPr>
      </w:pPr>
    </w:p>
    <w:p>
      <w:pPr>
        <w:ind w:right="480" w:firstLine="162"/>
        <w:spacing w:after="0" w:line="277" w:lineRule="auto"/>
        <w:rPr>
          <w:sz w:val="20"/>
          <w:szCs w:val="20"/>
          <w:color w:val="auto"/>
        </w:rPr>
      </w:pPr>
      <w:r>
        <w:rPr>
          <w:rFonts w:ascii="Arial" w:cs="Arial" w:eastAsia="Arial" w:hAnsi="Arial"/>
          <w:sz w:val="18"/>
          <w:szCs w:val="18"/>
          <w:color w:val="auto"/>
        </w:rPr>
        <w:t>Cash provided by operating activities for the year ended December 31, 2018 increased $29.2 million as compared to 2017, primarily due to improved working capital management offset by a decrease in net income adjusted for non-cash items.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180" w:firstLine="162"/>
        <w:spacing w:after="0" w:line="342" w:lineRule="auto"/>
        <w:rPr>
          <w:sz w:val="20"/>
          <w:szCs w:val="20"/>
          <w:color w:val="auto"/>
        </w:rPr>
      </w:pPr>
      <w:r>
        <w:rPr>
          <w:rFonts w:ascii="Arial" w:cs="Arial" w:eastAsia="Arial" w:hAnsi="Arial"/>
          <w:sz w:val="16"/>
          <w:szCs w:val="16"/>
          <w:color w:val="auto"/>
        </w:rPr>
        <w:t>Cash used in investing activities during the year ended December 31, 2019 decreased $79.3 million as compared to 2018. The decrease primarily resulted from a decrease in cash paid for acquisitions of $268.9 million, partially offset by cash received from the sale of CRM in 2018 of $186.7 million.</w:t>
      </w:r>
    </w:p>
    <w:p>
      <w:pPr>
        <w:spacing w:after="0" w:line="16" w:lineRule="exact"/>
        <w:rPr>
          <w:sz w:val="20"/>
          <w:szCs w:val="20"/>
          <w:color w:val="auto"/>
        </w:rPr>
      </w:pPr>
    </w:p>
    <w:p>
      <w:pPr>
        <w:jc w:val="both"/>
        <w:ind w:right="200" w:firstLine="162"/>
        <w:spacing w:after="0" w:line="264" w:lineRule="auto"/>
        <w:rPr>
          <w:sz w:val="20"/>
          <w:szCs w:val="20"/>
          <w:color w:val="auto"/>
        </w:rPr>
      </w:pPr>
      <w:r>
        <w:rPr>
          <w:rFonts w:ascii="Arial" w:cs="Arial" w:eastAsia="Arial" w:hAnsi="Arial"/>
          <w:sz w:val="18"/>
          <w:szCs w:val="18"/>
          <w:color w:val="auto"/>
        </w:rPr>
        <w:t>Cash used in investing activities during the year ended December 31, 2018 increased $67.7 million as compared to 2017. The increase primarily resulted from an increase in cash paid for acquisitions of $265.5 million, partially offset by cash received from the sale of CRM of $186.7 million and an increase in proceeds from asset sales of $8.3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162"/>
        <w:spacing w:after="0" w:line="308" w:lineRule="auto"/>
        <w:rPr>
          <w:sz w:val="20"/>
          <w:szCs w:val="20"/>
          <w:color w:val="auto"/>
        </w:rPr>
      </w:pPr>
      <w:r>
        <w:rPr>
          <w:rFonts w:ascii="Arial" w:cs="Arial" w:eastAsia="Arial" w:hAnsi="Arial"/>
          <w:sz w:val="17"/>
          <w:szCs w:val="17"/>
          <w:color w:val="auto"/>
        </w:rPr>
        <w:t>Cash provided by financing activities during the year ended December 31, 2019 increased $188.9 million as compared to 2018, primarily due to an increase in net borrowings of $139.0 million and cash used in 2018 of $50.0 million to repurchase shares under a publicly announced repurchase plan.</w:t>
      </w:r>
    </w:p>
    <w:p>
      <w:pPr>
        <w:spacing w:after="0" w:line="38"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Cash used in financing activities during the year ended December 31, 2018 increased $53.6 million as compared to 2017, primarily due to $50.0 million in cash used to repurchase shares in 2018 under a publicly announced repurchase plan and a $13.0 million payment for deferred consideration related to an acquisition, partially offset by an increase in net borrowings of $17.3 million.</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66" w:right="239" w:bottom="1440" w:gutter="0" w:footer="0" w:header="0"/>
        </w:sectPr>
      </w:pPr>
    </w:p>
    <w:bookmarkStart w:id="45" w:name="page46"/>
    <w:bookmarkEnd w:id="45"/>
    <w:p>
      <w:pPr>
        <w:spacing w:after="0"/>
        <w:rPr>
          <w:sz w:val="20"/>
          <w:szCs w:val="20"/>
          <w:color w:val="auto"/>
        </w:rPr>
      </w:pPr>
      <w:r>
        <w:rPr>
          <w:rFonts w:ascii="Arial" w:cs="Arial" w:eastAsia="Arial" w:hAnsi="Arial"/>
          <w:sz w:val="20"/>
          <w:szCs w:val="20"/>
          <w:color w:val="auto"/>
        </w:rPr>
        <w:t>Debt and Capital</w:t>
      </w:r>
    </w:p>
    <w:p>
      <w:pPr>
        <w:spacing w:after="0" w:line="110"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Our capital structure consists of debt and equity. As of December 31, 2019, our total debt of $337.7 million was 24.4% of total equity of $1.4 billion. As of December 31, 2018, our total debt of $168.3 million was 11.2% of total equity of $1.5 billion.</w:t>
      </w:r>
    </w:p>
    <w:p>
      <w:pPr>
        <w:spacing w:after="0" w:line="62" w:lineRule="exact"/>
        <w:rPr>
          <w:sz w:val="20"/>
          <w:szCs w:val="20"/>
          <w:color w:val="auto"/>
        </w:rPr>
      </w:pPr>
    </w:p>
    <w:p>
      <w:pPr>
        <w:jc w:val="both"/>
        <w:ind w:right="220" w:firstLine="162"/>
        <w:spacing w:after="0" w:line="264" w:lineRule="auto"/>
        <w:rPr>
          <w:sz w:val="20"/>
          <w:szCs w:val="20"/>
          <w:color w:val="auto"/>
        </w:rPr>
      </w:pPr>
      <w:r>
        <w:rPr>
          <w:rFonts w:ascii="Arial" w:cs="Arial" w:eastAsia="Arial" w:hAnsi="Arial"/>
          <w:sz w:val="18"/>
          <w:szCs w:val="18"/>
          <w:color w:val="auto"/>
        </w:rPr>
        <w:t>During the year ended December 31, 2019, we borrowed $197.2 million in long-term debt, incurred $3.8 million in debt issuance costs, and repaid $24.2 million in long-term debt. Additionally, we reduced our short-term unsecured revolving credit agreements and other agreements with various banks by $1.2 million.</w:t>
      </w:r>
    </w:p>
    <w:p>
      <w:pPr>
        <w:spacing w:after="0" w:line="73"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During the year ended December 31, 2018, we reduced our outstanding revolving credit facilities by $50.7 million, repaid $23.8 million of long-term debt obligations and borrowed $103.6 million in additional long-term debt.</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Off-Balance Sheet Arrangements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December 31, 2019, we did not have any off-balance sheet arrangements.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Contractual Obligations</w:t>
      </w:r>
    </w:p>
    <w:p>
      <w:pPr>
        <w:spacing w:after="0" w:line="110"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We have various contractual commitments that we expect to fund from existing cash, future operating cash flows and borrowings under our credit facilities. The following table summarizes our significant contractual obligations as of December 31, 2019 and the periods in which such obligations are due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Less Than One</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One to Three</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Three to Five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Years</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Thereafter</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Obligations</w:t>
            </w:r>
          </w:p>
        </w:tc>
      </w:tr>
      <w:tr>
        <w:trPr>
          <w:trHeight w:val="81"/>
        </w:trPr>
        <w:tc>
          <w:tcPr>
            <w:tcW w:w="4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r>
        <w:trPr>
          <w:trHeight w:val="298"/>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on debt obligations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77,710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203,300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24,261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338,881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payments on long-term debt</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8,623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22,355</w:t>
            </w:r>
          </w:p>
        </w:tc>
      </w:tr>
      <w:tr>
        <w:trPr>
          <w:trHeight w:val="81"/>
        </w:trPr>
        <w:tc>
          <w:tcPr>
            <w:tcW w:w="4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3T litigation settlements</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90,000</w:t>
            </w:r>
          </w:p>
        </w:tc>
      </w:tr>
      <w:tr>
        <w:trPr>
          <w:trHeight w:val="81"/>
        </w:trPr>
        <w:tc>
          <w:tcPr>
            <w:tcW w:w="4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13,499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16,907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62,431</w:t>
            </w:r>
          </w:p>
        </w:tc>
      </w:tr>
      <w:tr>
        <w:trPr>
          <w:trHeight w:val="81"/>
        </w:trPr>
        <w:tc>
          <w:tcPr>
            <w:tcW w:w="4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Inventory supply contract obligations</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22,881</w:t>
            </w:r>
          </w:p>
        </w:tc>
      </w:tr>
      <w:tr>
        <w:trPr>
          <w:trHeight w:val="81"/>
        </w:trPr>
        <w:tc>
          <w:tcPr>
            <w:tcW w:w="4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3,680</w:t>
            </w:r>
          </w:p>
        </w:tc>
      </w:tr>
      <w:tr>
        <w:trPr>
          <w:trHeight w:val="81"/>
        </w:trPr>
        <w:tc>
          <w:tcPr>
            <w:tcW w:w="4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32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113,503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137,349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commitments</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702</w:t>
            </w:r>
          </w:p>
        </w:tc>
      </w:tr>
      <w:tr>
        <w:trPr>
          <w:trHeight w:val="81"/>
        </w:trPr>
        <w:tc>
          <w:tcPr>
            <w:tcW w:w="4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r>
        <w:trPr>
          <w:trHeight w:val="318"/>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 xml:space="preserve">Total contractual obligations </w:t>
            </w:r>
            <w:r>
              <w:rPr>
                <w:rFonts w:ascii="Arial" w:cs="Arial" w:eastAsia="Arial" w:hAnsi="Arial"/>
                <w:sz w:val="25"/>
                <w:szCs w:val="25"/>
                <w:color w:val="auto"/>
                <w:vertAlign w:val="superscript"/>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237,331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235,264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163,605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42,079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678,279</w:t>
            </w: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580" w:hanging="328"/>
        <w:spacing w:after="0" w:line="266"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6"/>
          <w:szCs w:val="16"/>
          <w:color w:val="auto"/>
        </w:rPr>
        <w:t>Includes the fair value of our current and non-current positions of contingent consideration. While it is not certain if and/or when payments will be made, the maturity dates and amounts included in this table reflect our best estimates.</w:t>
      </w:r>
    </w:p>
    <w:p>
      <w:pPr>
        <w:spacing w:after="0" w:line="1" w:lineRule="exact"/>
        <w:rPr>
          <w:rFonts w:ascii="Arial" w:cs="Arial" w:eastAsia="Arial" w:hAnsi="Arial"/>
          <w:sz w:val="14"/>
          <w:szCs w:val="14"/>
          <w:color w:val="auto"/>
        </w:rPr>
      </w:pPr>
    </w:p>
    <w:p>
      <w:pPr>
        <w:ind w:left="660" w:right="20" w:hanging="328"/>
        <w:spacing w:after="0" w:line="32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5"/>
          <w:szCs w:val="15"/>
          <w:color w:val="auto"/>
        </w:rPr>
        <w:t>Contractual obligations above do not include $4.3 million of unrecognized tax benefits, inclusive of interest and penalties, included on our consolidated balance sheet as of December 31, 2019, because we are unable to specify with certainty the future periods in which we may be obligated to settle such amounts.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Guarantees and Other Commitments</w:t>
      </w:r>
    </w:p>
    <w:p>
      <w:pPr>
        <w:spacing w:after="0" w:line="110"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We have other commitments that we are contractually obligated to fulfill with cash under certain circumstances. Obligations under these guarantees are not normally called, as we typically comply with underlying performance requirements. As of December 31, 2019, no liability has been recorded in the consolidated financial statements associated with these obligations.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guarantees as of December 31, 2019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Less Than One</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One to Three</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Three to Five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Years</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Thereafter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Guarantees</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41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Guarantees on government bids </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10,148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19,043</w:t>
            </w: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Guarantees - commercial </w:t>
            </w:r>
            <w:r>
              <w:rPr>
                <w:rFonts w:ascii="Arial" w:cs="Arial" w:eastAsia="Arial" w:hAnsi="Arial"/>
                <w:sz w:val="25"/>
                <w:szCs w:val="25"/>
                <w:color w:val="auto"/>
                <w:vertAlign w:val="superscript"/>
              </w:rPr>
              <w:t>(2)</w:t>
            </w:r>
          </w:p>
        </w:tc>
        <w:tc>
          <w:tcPr>
            <w:tcW w:w="12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3,203</w:t>
            </w: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Guarantees to tax authorities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Guarantees to third-parties</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guarantees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40,447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Government bid guarantees include such items as unconditional bank guarantees, irrevocable letters of credit and bid bonds.</w:t>
      </w:r>
    </w:p>
    <w:p>
      <w:pPr>
        <w:ind w:left="660" w:hanging="328"/>
        <w:spacing w:after="0" w:line="211"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Commercial guarantees include our lease and tenancy guarantees.</w:t>
      </w: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Guarantees to tax authorities consist of guarantees issued to the Italian Revenue Agency.</w:t>
      </w:r>
    </w:p>
    <w:p>
      <w:pPr>
        <w:sectPr>
          <w:pgSz w:w="11900" w:h="16838" w:orient="portrait"/>
          <w:cols w:equalWidth="0" w:num="1">
            <w:col w:w="11420"/>
          </w:cols>
          <w:pgMar w:left="240" w:top="676" w:right="239" w:bottom="1440" w:gutter="0" w:footer="0" w:header="0"/>
        </w:sectPr>
      </w:pP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676"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22"/>
          <w:szCs w:val="22"/>
          <w:b w:val="1"/>
          <w:bCs w:val="1"/>
          <w:color w:val="auto"/>
        </w:rPr>
        <w:t>Market Risk</w:t>
      </w:r>
    </w:p>
    <w:p>
      <w:pPr>
        <w:spacing w:after="0" w:line="125" w:lineRule="exact"/>
        <w:rPr>
          <w:sz w:val="20"/>
          <w:szCs w:val="20"/>
          <w:color w:val="auto"/>
        </w:rPr>
      </w:pPr>
    </w:p>
    <w:p>
      <w:pPr>
        <w:ind w:right="160" w:firstLine="162"/>
        <w:spacing w:after="0" w:line="342" w:lineRule="auto"/>
        <w:rPr>
          <w:sz w:val="20"/>
          <w:szCs w:val="20"/>
          <w:color w:val="auto"/>
        </w:rPr>
      </w:pPr>
      <w:r>
        <w:rPr>
          <w:rFonts w:ascii="Arial" w:cs="Arial" w:eastAsia="Arial" w:hAnsi="Arial"/>
          <w:sz w:val="16"/>
          <w:szCs w:val="16"/>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manage these risks through regular operating and financing activities and, at certain times, derivative financial instruments.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Foreign Currency Exchange Rate Risk</w:t>
      </w:r>
    </w:p>
    <w:p>
      <w:pPr>
        <w:spacing w:after="0" w:line="110" w:lineRule="exact"/>
        <w:rPr>
          <w:sz w:val="20"/>
          <w:szCs w:val="20"/>
          <w:color w:val="auto"/>
        </w:rPr>
      </w:pPr>
    </w:p>
    <w:p>
      <w:pPr>
        <w:jc w:val="both"/>
        <w:ind w:right="240" w:firstLine="162"/>
        <w:spacing w:after="0" w:line="264"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We maintain a foreign currency exchange rate risk management strategy that utilizes derivatives to reduce our exposure to unanticipated fluctuations in forecast revenue and costs and fair values of debt, inter-company debt and accounts receivable caused by changes in foreign currency exchange rates.</w:t>
      </w:r>
    </w:p>
    <w:p>
      <w:pPr>
        <w:spacing w:after="0" w:line="73"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We mitigate our credit risk relating to counter-parties of our derivatives through a variety of techniques, including transacting with multiple, high-quality financial institutions, thereby limiting our exposure to individual counter-parties and by entering into International Swaps and Derivatives Association, Inc. (“ISDA”) Master Agreements, which include provisions for a legally enforceable master netting agreement, with almost all of our derivative counter-parties. The terms of the ISDA agreements may also include credit support requirements, cross default provisions, termination events, and set-off provisions. Legally enforceable master netting agreements reduce credit risk by providing protection in bankruptcy in certain circumstances and generally permitting the closeout and netting of transactions with the same counter-party upon the occurrence of certain events.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Interest Rate Risk</w:t>
      </w:r>
    </w:p>
    <w:p>
      <w:pPr>
        <w:spacing w:after="0" w:line="11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are subject to interest rate risk on our investments and debt. We manage a portion of our interest rate risk with contracts that swap floating-rate interest payments for fixed rate interest payments. If interest rates were to increase or decrease by 0.5%, the effects on our consolidated statement of income (loss) would not be material.</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Concentration of Credit Risk</w:t>
      </w:r>
    </w:p>
    <w:p>
      <w:pPr>
        <w:spacing w:after="0" w:line="110"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Our trade accounts receivable represent potential concentrations of credit risk. This risk is limited due to the large number of customers and their dispersion across a number of geographic areas, as well as our efforts to control our exposure to credit risk by monitoring our receivables and the use of credit approvals and credit limits. In addition, we have historically had strong collections and minimal write-offs. While we believe that our reserves for credit losses are adequate, essentially all of our trade receivables are concentrated in the hospital and healthcare sectors worldwide, and accordingly, we are exposed to their respective business, economic and country-specific variables. Although we do not currently foresee a concentrated credit risk associated with these receivables, repayment is dependent on the financial stability of these industry sectors and the respective countries’ national economies and healthcare systems.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Factors Affecting Future Operating Results and Share Price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material factors affecting our future operating results and share prices are disclosed in “Item 1A. Risk Factors” of this Annual Report on Form 10-K.</w:t>
      </w: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66" w:right="23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auto"/>
        </w:rPr>
        <w:t xml:space="preserve">Item 7A. </w:t>
      </w:r>
      <w:r>
        <w:rPr>
          <w:rFonts w:ascii="Arial" w:cs="Arial" w:eastAsia="Arial" w:hAnsi="Arial"/>
          <w:sz w:val="22"/>
          <w:szCs w:val="22"/>
          <w:b w:val="1"/>
          <w:bCs w:val="1"/>
          <w:i w:val="1"/>
          <w:iCs w:val="1"/>
          <w:color w:val="auto"/>
        </w:rPr>
        <w:t>Quantitative and Qualitative Disclosures About Market Risk</w:t>
      </w:r>
    </w:p>
    <w:p>
      <w:pPr>
        <w:spacing w:after="0" w:line="12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information required under 7A. has been incorporated by reference to the information contained in “Item 7. Management’s Discussion and Analysis of Financial Condition and Results of Operations” of this Annual Report on Form 10-K under the section entitled “</w:t>
      </w:r>
      <w:r>
        <w:rPr>
          <w:rFonts w:ascii="Arial" w:cs="Arial" w:eastAsia="Arial" w:hAnsi="Arial"/>
          <w:sz w:val="18"/>
          <w:szCs w:val="18"/>
          <w:i w:val="1"/>
          <w:iCs w:val="1"/>
          <w:color w:val="auto"/>
        </w:rPr>
        <w:t>Market Risk.”</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8. </w:t>
      </w:r>
      <w:r>
        <w:rPr>
          <w:rFonts w:ascii="Arial" w:cs="Arial" w:eastAsia="Arial" w:hAnsi="Arial"/>
          <w:sz w:val="22"/>
          <w:szCs w:val="22"/>
          <w:b w:val="1"/>
          <w:bCs w:val="1"/>
          <w:i w:val="1"/>
          <w:iCs w:val="1"/>
          <w:color w:val="auto"/>
        </w:rPr>
        <w:t>Financial Statements and Supplementary Data</w:t>
      </w:r>
    </w:p>
    <w:p>
      <w:pPr>
        <w:spacing w:after="0" w:line="125"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Our audited consolidated financial statements and notes thereto included in “Item 15. Exhibits, Financial Statement Schedules” of this Annual Report on Form 10-K, beginning on page F-1 of this Annual Report on Form 10-K, are incorporated herein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9. </w:t>
      </w:r>
      <w:r>
        <w:rPr>
          <w:rFonts w:ascii="Arial" w:cs="Arial" w:eastAsia="Arial" w:hAnsi="Arial"/>
          <w:sz w:val="22"/>
          <w:szCs w:val="22"/>
          <w:b w:val="1"/>
          <w:bCs w:val="1"/>
          <w:i w:val="1"/>
          <w:iCs w:val="1"/>
          <w:color w:val="auto"/>
        </w:rPr>
        <w:t>Changes in and Disagreements with Accountants on Accounting and Financial Disclosure</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9A. </w:t>
      </w:r>
      <w:r>
        <w:rPr>
          <w:rFonts w:ascii="Arial" w:cs="Arial" w:eastAsia="Arial" w:hAnsi="Arial"/>
          <w:sz w:val="22"/>
          <w:szCs w:val="22"/>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Disclosure Controls and Procedures</w:t>
      </w:r>
    </w:p>
    <w:p>
      <w:pPr>
        <w:spacing w:after="0" w:line="110"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Evaluation of Disclosure Controls and Procedures</w:t>
      </w:r>
    </w:p>
    <w:p>
      <w:pPr>
        <w:spacing w:after="0" w:line="117" w:lineRule="exact"/>
        <w:rPr>
          <w:sz w:val="20"/>
          <w:szCs w:val="20"/>
          <w:color w:val="auto"/>
        </w:rPr>
      </w:pPr>
    </w:p>
    <w:p>
      <w:pPr>
        <w:ind w:right="160" w:firstLine="162"/>
        <w:spacing w:after="0" w:line="271" w:lineRule="auto"/>
        <w:rPr>
          <w:sz w:val="20"/>
          <w:szCs w:val="20"/>
          <w:color w:val="auto"/>
        </w:rPr>
      </w:pPr>
      <w:r>
        <w:rPr>
          <w:rFonts w:ascii="Arial" w:cs="Arial" w:eastAsia="Arial" w:hAnsi="Arial"/>
          <w:sz w:val="17"/>
          <w:szCs w:val="17"/>
          <w:color w:val="auto"/>
        </w:rPr>
        <w:t>We maintain a system of disclosure controls and procedures, as defined in Rule 13a-15(e) under the Exchange Act,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is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period covered by this Annual Report on Form 10-K. Based on that evaluation, our CEO and CFO concluded that our disclosure controls and procedures were effective as of December 31, 2019.</w:t>
      </w:r>
    </w:p>
    <w:p>
      <w:pPr>
        <w:spacing w:after="0" w:line="71"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Management’s Report on Internal Control Over Financial Reporting</w:t>
      </w:r>
    </w:p>
    <w:p>
      <w:pPr>
        <w:spacing w:after="0" w:line="117"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jc w:val="both"/>
        <w:ind w:right="140" w:firstLine="162"/>
        <w:spacing w:after="0" w:line="286" w:lineRule="auto"/>
        <w:rPr>
          <w:sz w:val="20"/>
          <w:szCs w:val="20"/>
          <w:color w:val="auto"/>
        </w:rPr>
      </w:pPr>
      <w:r>
        <w:rPr>
          <w:rFonts w:ascii="Arial" w:cs="Arial" w:eastAsia="Arial" w:hAnsi="Arial"/>
          <w:sz w:val="17"/>
          <w:szCs w:val="17"/>
          <w:color w:val="auto"/>
        </w:rPr>
        <w:t xml:space="preserve">Management assessed the effectiveness of our internal control over financial reporting as of December 31, 2019 using the criteria set forth in the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Based on this assessment, we</w:t>
      </w:r>
      <w:r>
        <w:rPr>
          <w:rFonts w:ascii="Arial" w:cs="Arial" w:eastAsia="Arial" w:hAnsi="Arial"/>
          <w:sz w:val="17"/>
          <w:szCs w:val="17"/>
          <w:i w:val="1"/>
          <w:iCs w:val="1"/>
          <w:color w:val="auto"/>
        </w:rPr>
        <w:t xml:space="preserve"> </w:t>
      </w:r>
      <w:r>
        <w:rPr>
          <w:rFonts w:ascii="Arial" w:cs="Arial" w:eastAsia="Arial" w:hAnsi="Arial"/>
          <w:sz w:val="17"/>
          <w:szCs w:val="17"/>
          <w:color w:val="auto"/>
        </w:rPr>
        <w:t>concluded that the Company’s internal control over financial reporting was effective as of December 31, 2019.</w:t>
      </w:r>
    </w:p>
    <w:p>
      <w:pPr>
        <w:spacing w:after="0" w:line="57" w:lineRule="exact"/>
        <w:rPr>
          <w:sz w:val="20"/>
          <w:szCs w:val="20"/>
          <w:color w:val="auto"/>
        </w:rPr>
      </w:pPr>
    </w:p>
    <w:p>
      <w:pPr>
        <w:jc w:val="both"/>
        <w:ind w:right="740" w:firstLine="162"/>
        <w:spacing w:after="0" w:line="342" w:lineRule="auto"/>
        <w:rPr>
          <w:sz w:val="20"/>
          <w:szCs w:val="20"/>
          <w:color w:val="auto"/>
        </w:rPr>
      </w:pPr>
      <w:r>
        <w:rPr>
          <w:rFonts w:ascii="Arial" w:cs="Arial" w:eastAsia="Arial" w:hAnsi="Arial"/>
          <w:sz w:val="16"/>
          <w:szCs w:val="16"/>
          <w:color w:val="auto"/>
        </w:rPr>
        <w:t>The effectiveness of our internal control over financial reporting as of December 31, 2019 has been audited by PricewaterhouseCoopers LLP, an independent registered public accounting firm. Their report is included after “Item 16. Form 10-K Summary” in this Annual Report on Form 10-K.</w:t>
      </w:r>
    </w:p>
    <w:p>
      <w:pPr>
        <w:spacing w:after="0" w:line="16"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Changes in Internal Control Over Financial Reporting</w:t>
      </w:r>
    </w:p>
    <w:p>
      <w:pPr>
        <w:spacing w:after="0" w:line="117"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During the fourth quarter of 2019, there were no changes to our internal control over financial reporting (as defined in Rules 13a-15(f) under the Exchange Act) that have materially affected, or that are reasonably likely to materially affect, our internal control over financial reporting.</w:t>
      </w:r>
    </w:p>
    <w:p>
      <w:pPr>
        <w:spacing w:after="0" w:line="116"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Remediation of the Material Weaknesses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December 31, 2019, we determined that we remediated the previously disclosed material weaknesses related to:</w:t>
      </w:r>
    </w:p>
    <w:p>
      <w:pPr>
        <w:spacing w:after="0" w:line="117" w:lineRule="exact"/>
        <w:rPr>
          <w:sz w:val="20"/>
          <w:szCs w:val="20"/>
          <w:color w:val="auto"/>
        </w:rPr>
      </w:pPr>
    </w:p>
    <w:p>
      <w:pPr>
        <w:ind w:left="660" w:right="6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deficiency in the design and maintenance of our controls related to access to our primary financial system by certain members of our Information Technology (IT) group and end-users. Specifically, we did not design and maintain user access controls that adequately restrict end-user and privileged access to, and ensure segregation of duties within, our primary financial system and data, and</w:t>
      </w:r>
    </w:p>
    <w:p>
      <w:pPr>
        <w:spacing w:after="0" w:line="27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666" w:right="319" w:bottom="1440" w:gutter="0" w:footer="0" w:header="0"/>
        </w:sectPr>
      </w:pPr>
    </w:p>
    <w:bookmarkStart w:id="48" w:name="page49"/>
    <w:bookmarkEnd w:id="48"/>
    <w:p>
      <w:pPr>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deficiency in the design and maintenance of our controls, related to the accounting for revenue and related accounts, to ensure accuracy in price and quantity during the billing and revenue processes. This deficiency was impacted by the deficiency related to the design and maintenance of our user access controls.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9B. </w:t>
      </w:r>
      <w:r>
        <w:rPr>
          <w:rFonts w:ascii="Arial" w:cs="Arial" w:eastAsia="Arial" w:hAnsi="Arial"/>
          <w:sz w:val="22"/>
          <w:szCs w:val="22"/>
          <w:b w:val="1"/>
          <w:bCs w:val="1"/>
          <w:i w:val="1"/>
          <w:iCs w:val="1"/>
          <w:color w:val="auto"/>
        </w:rPr>
        <w:t>Other Information</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240" w:top="665" w:right="399" w:bottom="1440" w:gutter="0" w:footer="0" w:header="0"/>
        </w:sectPr>
      </w:pPr>
    </w:p>
    <w:bookmarkStart w:id="49" w:name="page50"/>
    <w:bookmarkEnd w:id="49"/>
    <w:p>
      <w:pPr>
        <w:ind w:left="5280"/>
        <w:spacing w:after="0"/>
        <w:rPr>
          <w:sz w:val="20"/>
          <w:szCs w:val="20"/>
          <w:color w:val="auto"/>
        </w:rPr>
      </w:pPr>
      <w:r>
        <w:rPr>
          <w:rFonts w:ascii="Arial" w:cs="Arial" w:eastAsia="Arial" w:hAnsi="Arial"/>
          <w:sz w:val="22"/>
          <w:szCs w:val="22"/>
          <w:b w:val="1"/>
          <w:bCs w:val="1"/>
          <w:color w:val="auto"/>
        </w:rPr>
        <w:t>PART III</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10. </w:t>
      </w:r>
      <w:r>
        <w:rPr>
          <w:rFonts w:ascii="Arial" w:cs="Arial" w:eastAsia="Arial" w:hAnsi="Arial"/>
          <w:sz w:val="22"/>
          <w:szCs w:val="22"/>
          <w:b w:val="1"/>
          <w:bCs w:val="1"/>
          <w:i w:val="1"/>
          <w:iCs w:val="1"/>
          <w:color w:val="auto"/>
        </w:rPr>
        <w:t>Directors, Executive Officers and Corporate Governance</w:t>
      </w:r>
    </w:p>
    <w:p>
      <w:pPr>
        <w:spacing w:after="0" w:line="179" w:lineRule="exact"/>
        <w:rPr>
          <w:sz w:val="20"/>
          <w:szCs w:val="20"/>
          <w:color w:val="auto"/>
        </w:rPr>
      </w:pPr>
    </w:p>
    <w:p>
      <w:pPr>
        <w:jc w:val="both"/>
        <w:ind w:right="180" w:firstLine="162"/>
        <w:spacing w:after="0" w:line="264" w:lineRule="auto"/>
        <w:rPr>
          <w:sz w:val="20"/>
          <w:szCs w:val="20"/>
          <w:color w:val="auto"/>
        </w:rPr>
      </w:pPr>
      <w:r>
        <w:rPr>
          <w:rFonts w:ascii="Arial" w:cs="Arial" w:eastAsia="Arial" w:hAnsi="Arial"/>
          <w:sz w:val="18"/>
          <w:szCs w:val="18"/>
          <w:color w:val="auto"/>
        </w:rPr>
        <w:t>The information required for this Item 10 is incorporated by reference to the information set forth under the headings “Election of Directors,” “Executive Compensation,” “Corporate Governance,” and “Share Ownership Information” in our Definitive Proxy Statement for the 2020 Annual General Meeting of Shareholders.</w:t>
      </w:r>
    </w:p>
    <w:p>
      <w:pPr>
        <w:spacing w:after="0" w:line="73" w:lineRule="exact"/>
        <w:rPr>
          <w:sz w:val="20"/>
          <w:szCs w:val="20"/>
          <w:color w:val="auto"/>
        </w:rPr>
      </w:pPr>
    </w:p>
    <w:p>
      <w:pPr>
        <w:ind w:firstLine="162"/>
        <w:spacing w:after="0" w:line="312" w:lineRule="auto"/>
        <w:rPr>
          <w:sz w:val="20"/>
          <w:szCs w:val="20"/>
          <w:color w:val="auto"/>
        </w:rPr>
      </w:pPr>
      <w:r>
        <w:rPr>
          <w:rFonts w:ascii="Arial" w:cs="Arial" w:eastAsia="Arial" w:hAnsi="Arial"/>
          <w:sz w:val="16"/>
          <w:szCs w:val="16"/>
          <w:color w:val="auto"/>
        </w:rPr>
        <w:t xml:space="preserve">We have adopted a Code of Business Conduct and Ethics (the “Code of Conduct”) that applies to all employees, officers and directors of the Company. A copy of the Code of Conduct is publicly available on our website, </w:t>
      </w:r>
      <w:r>
        <w:rPr>
          <w:rFonts w:ascii="Arial" w:cs="Arial" w:eastAsia="Arial" w:hAnsi="Arial"/>
          <w:sz w:val="16"/>
          <w:szCs w:val="16"/>
          <w:i w:val="1"/>
          <w:iCs w:val="1"/>
          <w:color w:val="auto"/>
        </w:rPr>
        <w:t>www.livanova.com.</w:t>
      </w:r>
      <w:r>
        <w:rPr>
          <w:rFonts w:ascii="Arial" w:cs="Arial" w:eastAsia="Arial" w:hAnsi="Arial"/>
          <w:sz w:val="16"/>
          <w:szCs w:val="16"/>
          <w:color w:val="auto"/>
        </w:rPr>
        <w:t xml:space="preserve"> We intend to post any amendments to the Code of Conduct or any grant of a waiver from a provision of the Code of Conduct requiring disclosure under applicable SEC rules on the Investor Relations section of our website.</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11. </w:t>
      </w:r>
      <w:r>
        <w:rPr>
          <w:rFonts w:ascii="Arial" w:cs="Arial" w:eastAsia="Arial" w:hAnsi="Arial"/>
          <w:sz w:val="22"/>
          <w:szCs w:val="22"/>
          <w:b w:val="1"/>
          <w:bCs w:val="1"/>
          <w:i w:val="1"/>
          <w:iCs w:val="1"/>
          <w:color w:val="auto"/>
        </w:rPr>
        <w:t>Executive Compensation</w:t>
      </w:r>
    </w:p>
    <w:p>
      <w:pPr>
        <w:spacing w:after="0" w:line="179"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color w:val="auto"/>
        </w:rPr>
        <w:t>The information required for this Item 11 is incorporated by reference to the information set forth under the heading “Executive Compensation” in our Definitive Proxy Statement for the 2020 Annual General Meeting of Shareholders.</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12. </w:t>
      </w:r>
      <w:r>
        <w:rPr>
          <w:rFonts w:ascii="Arial" w:cs="Arial" w:eastAsia="Arial" w:hAnsi="Arial"/>
          <w:sz w:val="22"/>
          <w:szCs w:val="22"/>
          <w:b w:val="1"/>
          <w:bCs w:val="1"/>
          <w:i w:val="1"/>
          <w:iCs w:val="1"/>
          <w:color w:val="auto"/>
        </w:rPr>
        <w:t>Security Ownership of Certain Beneficial Owners and Management and Related Stockholder Matters</w:t>
      </w:r>
    </w:p>
    <w:p>
      <w:pPr>
        <w:spacing w:after="0" w:line="179" w:lineRule="exact"/>
        <w:rPr>
          <w:sz w:val="20"/>
          <w:szCs w:val="20"/>
          <w:color w:val="auto"/>
        </w:rPr>
      </w:pPr>
    </w:p>
    <w:p>
      <w:pPr>
        <w:ind w:right="460" w:firstLine="162"/>
        <w:spacing w:after="0" w:line="308" w:lineRule="auto"/>
        <w:rPr>
          <w:sz w:val="20"/>
          <w:szCs w:val="20"/>
          <w:color w:val="auto"/>
        </w:rPr>
      </w:pPr>
      <w:r>
        <w:rPr>
          <w:rFonts w:ascii="Arial" w:cs="Arial" w:eastAsia="Arial" w:hAnsi="Arial"/>
          <w:sz w:val="17"/>
          <w:szCs w:val="17"/>
          <w:color w:val="auto"/>
        </w:rPr>
        <w:t>The information required for this Item 12 is incorporated by reference to the information set forth under the headings “Executive Compensation” and “Share Ownership Information” in our Definitive Proxy Statement for the 2020 Annual General Meeting of Shareholders.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13. </w:t>
      </w:r>
      <w:r>
        <w:rPr>
          <w:rFonts w:ascii="Arial" w:cs="Arial" w:eastAsia="Arial" w:hAnsi="Arial"/>
          <w:sz w:val="22"/>
          <w:szCs w:val="22"/>
          <w:b w:val="1"/>
          <w:bCs w:val="1"/>
          <w:i w:val="1"/>
          <w:iCs w:val="1"/>
          <w:color w:val="auto"/>
        </w:rPr>
        <w:t>Certain Relationships and Related Transactions, and Director Independence</w:t>
      </w:r>
    </w:p>
    <w:p>
      <w:pPr>
        <w:spacing w:after="0" w:line="179"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The information required for this Item 13 is incorporated by reference to the information set forth under the heading “Corporate Governance” in our Definitive Proxy Statement for the 2020 Annual General Meeting of Shareholders.</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14. </w:t>
      </w:r>
      <w:r>
        <w:rPr>
          <w:rFonts w:ascii="Arial" w:cs="Arial" w:eastAsia="Arial" w:hAnsi="Arial"/>
          <w:sz w:val="22"/>
          <w:szCs w:val="22"/>
          <w:b w:val="1"/>
          <w:bCs w:val="1"/>
          <w:i w:val="1"/>
          <w:iCs w:val="1"/>
          <w:color w:val="auto"/>
        </w:rPr>
        <w:t>Principal Accounting Fees and Services</w:t>
      </w:r>
    </w:p>
    <w:p>
      <w:pPr>
        <w:spacing w:after="0" w:line="179" w:lineRule="exact"/>
        <w:rPr>
          <w:sz w:val="20"/>
          <w:szCs w:val="20"/>
          <w:color w:val="auto"/>
        </w:rPr>
      </w:pPr>
    </w:p>
    <w:p>
      <w:pPr>
        <w:ind w:right="400" w:firstLine="162"/>
        <w:spacing w:after="0" w:line="277" w:lineRule="auto"/>
        <w:rPr>
          <w:sz w:val="20"/>
          <w:szCs w:val="20"/>
          <w:color w:val="auto"/>
        </w:rPr>
      </w:pPr>
      <w:r>
        <w:rPr>
          <w:rFonts w:ascii="Arial" w:cs="Arial" w:eastAsia="Arial" w:hAnsi="Arial"/>
          <w:sz w:val="18"/>
          <w:szCs w:val="18"/>
          <w:color w:val="auto"/>
        </w:rPr>
        <w:t>The information required for this Item 14 is incorporated by reference to the information set forth under the heading “Audit Matters” in our Definitive Proxy Statement for the 2020 Annual General Meeting of Shareholders.</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666" w:right="27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PART IV</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15. </w:t>
      </w:r>
      <w:r>
        <w:rPr>
          <w:rFonts w:ascii="Arial" w:cs="Arial" w:eastAsia="Arial" w:hAnsi="Arial"/>
          <w:sz w:val="22"/>
          <w:szCs w:val="22"/>
          <w:b w:val="1"/>
          <w:bCs w:val="1"/>
          <w:i w:val="1"/>
          <w:iCs w:val="1"/>
          <w:color w:val="auto"/>
        </w:rPr>
        <w:t>Exhibits, Financial Statement Schedules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(1) Financial Statements</w:t>
      </w:r>
    </w:p>
    <w:p>
      <w:pPr>
        <w:spacing w:after="0" w:line="110" w:lineRule="exact"/>
        <w:rPr>
          <w:sz w:val="20"/>
          <w:szCs w:val="20"/>
          <w:color w:val="auto"/>
        </w:rPr>
      </w:pPr>
    </w:p>
    <w:p>
      <w:pPr>
        <w:ind w:right="460" w:firstLine="204"/>
        <w:spacing w:after="0" w:line="277" w:lineRule="auto"/>
        <w:rPr>
          <w:sz w:val="20"/>
          <w:szCs w:val="20"/>
          <w:color w:val="auto"/>
        </w:rPr>
      </w:pPr>
      <w:r>
        <w:rPr>
          <w:rFonts w:ascii="Arial" w:cs="Arial" w:eastAsia="Arial" w:hAnsi="Arial"/>
          <w:sz w:val="18"/>
          <w:szCs w:val="18"/>
          <w:color w:val="auto"/>
        </w:rPr>
        <w:t>The Consolidated Financial Statements of LivaNova PLC and its subsidiaries and the Report of Independent Registered Public Accounting Firms are included in this Annual Report on Form 10-K beginning on page F-1:</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0100" w:type="dxa"/>
            <w:vAlign w:val="bottom"/>
            <w:gridSpan w:val="8"/>
          </w:tcPr>
          <w:p>
            <w:pPr>
              <w:ind w:left="40"/>
              <w:spacing w:after="0"/>
              <w:rPr>
                <w:sz w:val="20"/>
                <w:szCs w:val="20"/>
                <w:color w:val="auto"/>
              </w:rPr>
            </w:pPr>
            <w:r>
              <w:rPr>
                <w:rFonts w:ascii="Arial" w:cs="Arial" w:eastAsia="Arial" w:hAnsi="Arial"/>
                <w:sz w:val="18"/>
                <w:szCs w:val="18"/>
                <w:b w:val="1"/>
                <w:bCs w:val="1"/>
                <w:color w:val="auto"/>
              </w:rPr>
              <w:t>Description</w:t>
            </w:r>
          </w:p>
        </w:tc>
        <w:tc>
          <w:tcPr>
            <w:tcW w:w="132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8"/>
              </w:rPr>
              <w:t>Page No.</w:t>
            </w:r>
          </w:p>
        </w:tc>
      </w:tr>
      <w:tr>
        <w:trPr>
          <w:trHeight w:val="27"/>
        </w:trPr>
        <w:tc>
          <w:tcPr>
            <w:tcW w:w="6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6"/>
        </w:trPr>
        <w:tc>
          <w:tcPr>
            <w:tcW w:w="4400" w:type="dxa"/>
            <w:vAlign w:val="bottom"/>
            <w:tcBorders>
              <w:left w:val="single" w:sz="8" w:color="CCEEFF"/>
            </w:tcBorders>
            <w:gridSpan w:val="3"/>
            <w:shd w:val="clear" w:color="auto" w:fill="CCEEFF"/>
          </w:tcPr>
          <w:p>
            <w:pPr>
              <w:ind w:left="40"/>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Reports of Independent Registered Public Accounting Firms</w:t>
              </w:r>
            </w:hyperlink>
          </w:p>
        </w:tc>
        <w:tc>
          <w:tcPr>
            <w:tcW w:w="5700" w:type="dxa"/>
            <w:vAlign w:val="bottom"/>
            <w:gridSpan w:val="5"/>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00"/>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F-2</w:t>
              </w:r>
            </w:hyperlink>
          </w:p>
        </w:tc>
      </w:tr>
      <w:tr>
        <w:trPr>
          <w:trHeight w:val="48"/>
        </w:trPr>
        <w:tc>
          <w:tcPr>
            <w:tcW w:w="660" w:type="dxa"/>
            <w:vAlign w:val="bottom"/>
            <w:tcBorders>
              <w:top w:val="single" w:sz="8" w:color="0000EE"/>
              <w:left w:val="single" w:sz="8" w:color="CCEEFF"/>
            </w:tcBorders>
            <w:shd w:val="clear" w:color="auto" w:fill="CCEEFF"/>
          </w:tcPr>
          <w:p>
            <w:pPr>
              <w:spacing w:after="0"/>
              <w:rPr>
                <w:sz w:val="4"/>
                <w:szCs w:val="4"/>
                <w:color w:val="auto"/>
              </w:rPr>
            </w:pPr>
          </w:p>
        </w:tc>
        <w:tc>
          <w:tcPr>
            <w:tcW w:w="252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10100" w:type="dxa"/>
            <w:vAlign w:val="bottom"/>
            <w:gridSpan w:val="8"/>
          </w:tcPr>
          <w:p>
            <w:pPr>
              <w:ind w:left="40"/>
              <w:spacing w:after="0" w:line="202"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Consolidated Statements of Income (Loss) for the Years Ended December 31, 2019, December 31, 2018 and December 31, 2017</w:t>
              </w:r>
            </w:hyperlink>
          </w:p>
        </w:tc>
        <w:tc>
          <w:tcPr>
            <w:tcW w:w="460" w:type="dxa"/>
            <w:vAlign w:val="bottom"/>
          </w:tcPr>
          <w:p>
            <w:pPr>
              <w:spacing w:after="0"/>
              <w:rPr>
                <w:sz w:val="17"/>
                <w:szCs w:val="17"/>
                <w:color w:val="auto"/>
              </w:rPr>
            </w:pPr>
          </w:p>
        </w:tc>
        <w:tc>
          <w:tcPr>
            <w:tcW w:w="860" w:type="dxa"/>
            <w:vAlign w:val="bottom"/>
            <w:gridSpan w:val="4"/>
          </w:tcPr>
          <w:p>
            <w:pPr>
              <w:jc w:val="center"/>
              <w:ind w:right="500"/>
              <w:spacing w:after="0" w:line="202"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F-4</w:t>
              </w:r>
            </w:hyperlink>
          </w:p>
        </w:tc>
      </w:tr>
      <w:tr>
        <w:trPr>
          <w:trHeight w:val="48"/>
        </w:trPr>
        <w:tc>
          <w:tcPr>
            <w:tcW w:w="660" w:type="dxa"/>
            <w:vAlign w:val="bottom"/>
            <w:tcBorders>
              <w:top w:val="single" w:sz="8" w:color="0000EE"/>
            </w:tcBorders>
          </w:tcPr>
          <w:p>
            <w:pPr>
              <w:spacing w:after="0"/>
              <w:rPr>
                <w:sz w:val="4"/>
                <w:szCs w:val="4"/>
                <w:color w:val="auto"/>
              </w:rPr>
            </w:pPr>
          </w:p>
        </w:tc>
        <w:tc>
          <w:tcPr>
            <w:tcW w:w="252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10100" w:type="dxa"/>
            <w:vAlign w:val="bottom"/>
            <w:tcBorders>
              <w:left w:val="single" w:sz="8" w:color="CCEEFF"/>
            </w:tcBorders>
            <w:gridSpan w:val="8"/>
            <w:shd w:val="clear" w:color="auto" w:fill="CCEEFF"/>
          </w:tcPr>
          <w:p>
            <w:pPr>
              <w:ind w:left="40"/>
              <w:spacing w:after="0" w:line="202"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Consolidated Statements of Comprehensive Income (Loss) for the Years Ended December 31, 2019, December 31, 2018 and December</w:t>
              </w:r>
            </w:hyperlink>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
        </w:trPr>
        <w:tc>
          <w:tcPr>
            <w:tcW w:w="660" w:type="dxa"/>
            <w:vAlign w:val="bottom"/>
            <w:tcBorders>
              <w:left w:val="single" w:sz="8" w:color="CCEEFF"/>
            </w:tcBorders>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40" w:type="dxa"/>
            <w:vAlign w:val="bottom"/>
            <w:gridSpan w:val="3"/>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96"/>
        </w:trPr>
        <w:tc>
          <w:tcPr>
            <w:tcW w:w="3180" w:type="dxa"/>
            <w:vAlign w:val="bottom"/>
            <w:tcBorders>
              <w:left w:val="single" w:sz="8" w:color="CCEEFF"/>
            </w:tcBorders>
            <w:gridSpan w:val="2"/>
            <w:shd w:val="clear" w:color="auto" w:fill="CCEEFF"/>
          </w:tcPr>
          <w:p>
            <w:pPr>
              <w:ind w:left="4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31, 2017</w:t>
              </w:r>
            </w:hyperlink>
          </w:p>
        </w:tc>
        <w:tc>
          <w:tcPr>
            <w:tcW w:w="1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00"/>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F-5</w:t>
              </w:r>
            </w:hyperlink>
          </w:p>
        </w:tc>
      </w:tr>
      <w:tr>
        <w:trPr>
          <w:trHeight w:val="48"/>
        </w:trPr>
        <w:tc>
          <w:tcPr>
            <w:tcW w:w="660" w:type="dxa"/>
            <w:vAlign w:val="bottom"/>
            <w:tcBorders>
              <w:top w:val="single" w:sz="8" w:color="0000EE"/>
              <w:left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10100" w:type="dxa"/>
            <w:vAlign w:val="bottom"/>
            <w:gridSpan w:val="8"/>
          </w:tcPr>
          <w:p>
            <w:pPr>
              <w:ind w:left="4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Balance Sheets as of December 31, 2019 and December 31, 2018</w:t>
              </w:r>
            </w:hyperlink>
          </w:p>
        </w:tc>
        <w:tc>
          <w:tcPr>
            <w:tcW w:w="460" w:type="dxa"/>
            <w:vAlign w:val="bottom"/>
          </w:tcPr>
          <w:p>
            <w:pPr>
              <w:spacing w:after="0"/>
              <w:rPr>
                <w:sz w:val="17"/>
                <w:szCs w:val="17"/>
                <w:color w:val="auto"/>
              </w:rPr>
            </w:pPr>
          </w:p>
        </w:tc>
        <w:tc>
          <w:tcPr>
            <w:tcW w:w="860" w:type="dxa"/>
            <w:vAlign w:val="bottom"/>
            <w:gridSpan w:val="4"/>
          </w:tcPr>
          <w:p>
            <w:pPr>
              <w:jc w:val="center"/>
              <w:ind w:right="500"/>
              <w:spacing w:after="0" w:line="202"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F-6</w:t>
              </w:r>
            </w:hyperlink>
          </w:p>
        </w:tc>
      </w:tr>
      <w:tr>
        <w:trPr>
          <w:trHeight w:val="48"/>
        </w:trPr>
        <w:tc>
          <w:tcPr>
            <w:tcW w:w="660" w:type="dxa"/>
            <w:vAlign w:val="bottom"/>
            <w:tcBorders>
              <w:top w:val="single" w:sz="8" w:color="0000EE"/>
            </w:tcBorders>
          </w:tcPr>
          <w:p>
            <w:pPr>
              <w:spacing w:after="0"/>
              <w:rPr>
                <w:sz w:val="4"/>
                <w:szCs w:val="4"/>
                <w:color w:val="auto"/>
              </w:rPr>
            </w:pPr>
          </w:p>
        </w:tc>
        <w:tc>
          <w:tcPr>
            <w:tcW w:w="252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10100" w:type="dxa"/>
            <w:vAlign w:val="bottom"/>
            <w:tcBorders>
              <w:left w:val="single" w:sz="8" w:color="CCEEFF"/>
            </w:tcBorders>
            <w:gridSpan w:val="8"/>
            <w:shd w:val="clear" w:color="auto" w:fill="CCEEFF"/>
          </w:tcPr>
          <w:p>
            <w:pPr>
              <w:ind w:left="40"/>
              <w:spacing w:after="0" w:line="202" w:lineRule="exact"/>
              <w:rPr>
                <w:sz w:val="20"/>
                <w:szCs w:val="20"/>
                <w:color w:val="auto"/>
              </w:rPr>
            </w:pPr>
            <w:r>
              <w:rPr>
                <w:rFonts w:ascii="Arial" w:cs="Arial" w:eastAsia="Arial" w:hAnsi="Arial"/>
                <w:sz w:val="18"/>
                <w:szCs w:val="18"/>
                <w:color w:val="0000EE"/>
                <w:w w:val="92"/>
              </w:rPr>
              <w:t>Consolidated Statements of Stockholders’ Equity for the Years Ended December 31, 2019, December 31, 2018 and December 31, 2017</w:t>
            </w:r>
          </w:p>
        </w:tc>
        <w:tc>
          <w:tcPr>
            <w:tcW w:w="46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00"/>
              <w:spacing w:after="0" w:line="202"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F-7</w:t>
              </w:r>
            </w:hyperlink>
          </w:p>
        </w:tc>
      </w:tr>
      <w:tr>
        <w:trPr>
          <w:trHeight w:val="48"/>
        </w:trPr>
        <w:tc>
          <w:tcPr>
            <w:tcW w:w="660" w:type="dxa"/>
            <w:vAlign w:val="bottom"/>
            <w:tcBorders>
              <w:top w:val="single" w:sz="8" w:color="0000EE"/>
              <w:left w:val="single" w:sz="8" w:color="CCEEFF"/>
            </w:tcBorders>
            <w:shd w:val="clear" w:color="auto" w:fill="CCEEFF"/>
          </w:tcPr>
          <w:p>
            <w:pPr>
              <w:spacing w:after="0"/>
              <w:rPr>
                <w:sz w:val="4"/>
                <w:szCs w:val="4"/>
                <w:color w:val="auto"/>
              </w:rPr>
            </w:pPr>
          </w:p>
        </w:tc>
        <w:tc>
          <w:tcPr>
            <w:tcW w:w="252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33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9800" w:type="dxa"/>
            <w:vAlign w:val="bottom"/>
            <w:gridSpan w:val="7"/>
          </w:tcPr>
          <w:p>
            <w:pPr>
              <w:ind w:left="40"/>
              <w:spacing w:after="0" w:line="202"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Consolidated Statements of Cash Flows for the Years Ended December 31, 2019, December 31, 2018 and December 31, 2017</w:t>
              </w:r>
            </w:hyperlink>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gridSpan w:val="4"/>
          </w:tcPr>
          <w:p>
            <w:pPr>
              <w:jc w:val="center"/>
              <w:ind w:right="500"/>
              <w:spacing w:after="0" w:line="202"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F-8</w:t>
              </w:r>
            </w:hyperlink>
          </w:p>
        </w:tc>
      </w:tr>
      <w:tr>
        <w:trPr>
          <w:trHeight w:val="48"/>
        </w:trPr>
        <w:tc>
          <w:tcPr>
            <w:tcW w:w="660" w:type="dxa"/>
            <w:vAlign w:val="bottom"/>
            <w:tcBorders>
              <w:top w:val="single" w:sz="8" w:color="0000EE"/>
            </w:tcBorders>
          </w:tcPr>
          <w:p>
            <w:pPr>
              <w:spacing w:after="0"/>
              <w:rPr>
                <w:sz w:val="4"/>
                <w:szCs w:val="4"/>
                <w:color w:val="auto"/>
              </w:rPr>
            </w:pPr>
          </w:p>
        </w:tc>
        <w:tc>
          <w:tcPr>
            <w:tcW w:w="252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3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10100" w:type="dxa"/>
            <w:vAlign w:val="bottom"/>
            <w:tcBorders>
              <w:left w:val="single" w:sz="8" w:color="CCEEFF"/>
            </w:tcBorders>
            <w:gridSpan w:val="8"/>
            <w:shd w:val="clear" w:color="auto" w:fill="CCEEFF"/>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1320" w:type="dxa"/>
            <w:vAlign w:val="bottom"/>
            <w:gridSpan w:val="5"/>
            <w:shd w:val="clear" w:color="auto" w:fill="CCEEFF"/>
          </w:tcPr>
          <w:p>
            <w:pPr>
              <w:jc w:val="center"/>
              <w:ind w:right="60"/>
              <w:spacing w:after="0" w:line="202"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F-10</w:t>
              </w:r>
            </w:hyperlink>
          </w:p>
        </w:tc>
      </w:tr>
      <w:tr>
        <w:trPr>
          <w:trHeight w:val="48"/>
        </w:trPr>
        <w:tc>
          <w:tcPr>
            <w:tcW w:w="660" w:type="dxa"/>
            <w:vAlign w:val="bottom"/>
            <w:tcBorders>
              <w:top w:val="single" w:sz="8" w:color="0000EE"/>
              <w:left w:val="single" w:sz="8" w:color="CCEEFF"/>
            </w:tcBorders>
            <w:shd w:val="clear" w:color="auto" w:fill="CCEEFF"/>
          </w:tcPr>
          <w:p>
            <w:pPr>
              <w:spacing w:after="0"/>
              <w:rPr>
                <w:sz w:val="4"/>
                <w:szCs w:val="4"/>
                <w:color w:val="auto"/>
              </w:rPr>
            </w:pPr>
          </w:p>
        </w:tc>
        <w:tc>
          <w:tcPr>
            <w:tcW w:w="252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(2) Financial Statement Schedules</w:t>
      </w:r>
    </w:p>
    <w:p>
      <w:pPr>
        <w:spacing w:after="0" w:line="110"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All schedules required by Regulation S-X have been omitted as not applicable or not required, or the information required has been included in the notes to the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(3) Index to Exhibits</w:t>
      </w:r>
    </w:p>
    <w:p>
      <w:pPr>
        <w:spacing w:after="0" w:line="56" w:lineRule="exact"/>
        <w:rPr>
          <w:sz w:val="20"/>
          <w:szCs w:val="20"/>
          <w:color w:val="auto"/>
        </w:rPr>
      </w:pPr>
    </w:p>
    <w:p>
      <w:pPr>
        <w:ind w:right="380" w:firstLine="162"/>
        <w:spacing w:after="0" w:line="308" w:lineRule="auto"/>
        <w:rPr>
          <w:sz w:val="20"/>
          <w:szCs w:val="20"/>
          <w:color w:val="auto"/>
        </w:rPr>
      </w:pPr>
      <w:r>
        <w:rPr>
          <w:rFonts w:ascii="Arial" w:cs="Arial" w:eastAsia="Arial" w:hAnsi="Arial"/>
          <w:sz w:val="17"/>
          <w:szCs w:val="17"/>
          <w:color w:val="auto"/>
        </w:rPr>
        <w:t>The exhibits marked with the asterisk symbol (*) are filed or furnished (in the case of Exhibit 32.1) with this Form 10-K. The exhibits marked with the cross symbol (†) are management contracts or compensatory plans or arrangements filed pursuant to Item 601(b)(10)(iii) of Regulation S-K.</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580" w:type="dxa"/>
            <w:vAlign w:val="bottom"/>
            <w:vMerge w:val="restart"/>
          </w:tcPr>
          <w:p>
            <w:pPr>
              <w:ind w:left="464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22">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4"/>
              </w:rPr>
              <w:t>Transaction Agreement, dated March 23, 2015, by and among the Company (f/k/a Sand Holdco Limited), Cyberonics, Inc., Sorin S.p.A. and</w:t>
            </w:r>
          </w:p>
        </w:tc>
        <w:tc>
          <w:tcPr>
            <w:tcW w:w="0" w:type="dxa"/>
            <w:vAlign w:val="bottom"/>
          </w:tcPr>
          <w:p>
            <w:pPr>
              <w:spacing w:after="0"/>
              <w:rPr>
                <w:sz w:val="1"/>
                <w:szCs w:val="1"/>
                <w:color w:val="auto"/>
              </w:rPr>
            </w:pPr>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5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5"/>
              </w:rPr>
              <w:t>Cypher Merger Sub, Inc., incorporated by reference to Annex A-1 of the Company’s Registration Statement on Form S-4, filed on April 20,</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2015, as amended</w:t>
            </w:r>
          </w:p>
        </w:tc>
        <w:tc>
          <w:tcPr>
            <w:tcW w:w="0" w:type="dxa"/>
            <w:vAlign w:val="bottom"/>
          </w:tcPr>
          <w:p>
            <w:pPr>
              <w:spacing w:after="0"/>
              <w:rPr>
                <w:sz w:val="1"/>
                <w:szCs w:val="1"/>
                <w:color w:val="auto"/>
              </w:rPr>
            </w:pPr>
          </w:p>
        </w:tc>
      </w:tr>
      <w:tr>
        <w:trPr>
          <w:trHeight w:val="203"/>
        </w:trPr>
        <w:tc>
          <w:tcPr>
            <w:tcW w:w="340" w:type="dxa"/>
            <w:vAlign w:val="bottom"/>
            <w:gridSpan w:val="3"/>
          </w:tcPr>
          <w:p>
            <w:pPr>
              <w:ind w:left="40"/>
              <w:spacing w:after="0" w:line="202" w:lineRule="exact"/>
              <w:rPr>
                <w:rFonts w:ascii="Arial" w:cs="Arial" w:eastAsia="Arial" w:hAnsi="Arial"/>
                <w:sz w:val="18"/>
                <w:szCs w:val="18"/>
                <w:color w:val="0000FF"/>
              </w:rPr>
            </w:pPr>
            <w:hyperlink r:id="rId23">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580" w:type="dxa"/>
            <w:vAlign w:val="bottom"/>
          </w:tcPr>
          <w:p>
            <w:pPr>
              <w:ind w:left="120"/>
              <w:spacing w:after="0" w:line="202" w:lineRule="exact"/>
              <w:rPr>
                <w:sz w:val="20"/>
                <w:szCs w:val="20"/>
                <w:color w:val="auto"/>
              </w:rPr>
            </w:pPr>
            <w:r>
              <w:rPr>
                <w:rFonts w:ascii="Arial" w:cs="Arial" w:eastAsia="Arial" w:hAnsi="Arial"/>
                <w:sz w:val="18"/>
                <w:szCs w:val="18"/>
                <w:color w:val="auto"/>
                <w:w w:val="97"/>
              </w:rPr>
              <w:t>Letter of Intent, dated as of November 20, 2017, by and among the Company, MicroPort Cardiac Rhythm B.V. and MicroPort Scientific</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w w:val="91"/>
              </w:rPr>
              <w:t>Corporation (including the form of Stock and Asset Purchase Agreement attached as Exhibit A thereto), incorporated by reference to Exhibit 2.1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rPr>
              <w:t>of the Company’s Current Report on Form 8-K, filed on November 20, 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24">
              <w:r>
                <w:rPr>
                  <w:rFonts w:ascii="Arial" w:cs="Arial" w:eastAsia="Arial" w:hAnsi="Arial"/>
                  <w:sz w:val="18"/>
                  <w:szCs w:val="18"/>
                  <w:color w:val="0000FF"/>
                </w:rPr>
                <w:t>2.</w:t>
              </w:r>
              <w:r>
                <w:rPr>
                  <w:rFonts w:ascii="Arial" w:cs="Arial" w:eastAsia="Arial" w:hAnsi="Arial"/>
                  <w:sz w:val="18"/>
                  <w:szCs w:val="18"/>
                  <w:u w:val="single" w:color="auto"/>
                  <w:color w:val="0000FF"/>
                </w:rPr>
                <w:t>3</w:t>
              </w:r>
            </w:hyperlink>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1"/>
              </w:rPr>
              <w:t>Stock and Asset Purchase Agreement, dated as of March 8, 2018, by and among the Company, MicroPort Cardiac Rhythm B.V. and MicroPort</w:t>
            </w:r>
          </w:p>
        </w:tc>
        <w:tc>
          <w:tcPr>
            <w:tcW w:w="0" w:type="dxa"/>
            <w:vAlign w:val="bottom"/>
          </w:tcPr>
          <w:p>
            <w:pPr>
              <w:spacing w:after="0"/>
              <w:rPr>
                <w:sz w:val="1"/>
                <w:szCs w:val="1"/>
                <w:color w:val="auto"/>
              </w:rPr>
            </w:pPr>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5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2"/>
              </w:rPr>
              <w:t>Scientific Corporation (excluding schedules and exhibits, which the Company agrees to furnish supplementally to the Securities and Exchange</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4"/>
              </w:rPr>
              <w:t>Commission upon request), incorporated by reference to Exhibit 2.1 of the Company’s Current Report on Form 8-K, filed on March 8, 2018</w:t>
            </w:r>
          </w:p>
        </w:tc>
        <w:tc>
          <w:tcPr>
            <w:tcW w:w="0" w:type="dxa"/>
            <w:vAlign w:val="bottom"/>
          </w:tcPr>
          <w:p>
            <w:pPr>
              <w:spacing w:after="0"/>
              <w:rPr>
                <w:sz w:val="1"/>
                <w:szCs w:val="1"/>
                <w:color w:val="auto"/>
              </w:rPr>
            </w:pPr>
          </w:p>
        </w:tc>
      </w:tr>
      <w:tr>
        <w:trPr>
          <w:trHeight w:val="203"/>
        </w:trPr>
        <w:tc>
          <w:tcPr>
            <w:tcW w:w="340" w:type="dxa"/>
            <w:vAlign w:val="bottom"/>
            <w:gridSpan w:val="3"/>
          </w:tcPr>
          <w:p>
            <w:pPr>
              <w:ind w:left="40"/>
              <w:spacing w:after="0" w:line="202" w:lineRule="exact"/>
              <w:rPr>
                <w:rFonts w:ascii="Arial" w:cs="Arial" w:eastAsia="Arial" w:hAnsi="Arial"/>
                <w:sz w:val="18"/>
                <w:szCs w:val="18"/>
                <w:color w:val="0000FF"/>
              </w:rPr>
            </w:pPr>
            <w:hyperlink r:id="rId25">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580" w:type="dxa"/>
            <w:vAlign w:val="bottom"/>
          </w:tcPr>
          <w:p>
            <w:pPr>
              <w:ind w:left="120"/>
              <w:spacing w:after="0" w:line="202" w:lineRule="exact"/>
              <w:rPr>
                <w:sz w:val="20"/>
                <w:szCs w:val="20"/>
                <w:color w:val="auto"/>
              </w:rPr>
            </w:pPr>
            <w:r>
              <w:rPr>
                <w:rFonts w:ascii="Arial" w:cs="Arial" w:eastAsia="Arial" w:hAnsi="Arial"/>
                <w:sz w:val="18"/>
                <w:szCs w:val="18"/>
                <w:color w:val="auto"/>
                <w:w w:val="95"/>
              </w:rPr>
              <w:t>Amended Articles of Association, incorporated by reference to Exhibit 3.1 of the Company’s Current Report on Form 8-K, filed on June 15,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121">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400" w:type="dxa"/>
            <w:vAlign w:val="bottom"/>
            <w:shd w:val="clear" w:color="auto" w:fill="CCEEFF"/>
          </w:tcPr>
          <w:p>
            <w:pPr>
              <w:spacing w:after="0"/>
              <w:rPr>
                <w:sz w:val="17"/>
                <w:szCs w:val="17"/>
                <w:color w:val="auto"/>
              </w:rPr>
            </w:pPr>
          </w:p>
        </w:tc>
        <w:tc>
          <w:tcPr>
            <w:tcW w:w="10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Description of Securities Registered Under Section 12 of the Exchange Act</w:t>
            </w: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5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40" w:type="dxa"/>
            <w:vAlign w:val="bottom"/>
            <w:gridSpan w:val="4"/>
          </w:tcPr>
          <w:p>
            <w:pPr>
              <w:ind w:left="40"/>
              <w:spacing w:after="0" w:line="202" w:lineRule="exact"/>
              <w:rPr>
                <w:rFonts w:ascii="Arial" w:cs="Arial" w:eastAsia="Arial" w:hAnsi="Arial"/>
                <w:sz w:val="18"/>
                <w:szCs w:val="18"/>
                <w:color w:val="0000FF"/>
              </w:rPr>
            </w:pPr>
            <w:hyperlink r:id="rId26">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00" w:type="dxa"/>
            <w:vAlign w:val="bottom"/>
          </w:tcPr>
          <w:p>
            <w:pPr>
              <w:spacing w:after="0"/>
              <w:rPr>
                <w:sz w:val="17"/>
                <w:szCs w:val="17"/>
                <w:color w:val="auto"/>
              </w:rPr>
            </w:pPr>
          </w:p>
        </w:tc>
        <w:tc>
          <w:tcPr>
            <w:tcW w:w="10580" w:type="dxa"/>
            <w:vAlign w:val="bottom"/>
          </w:tcPr>
          <w:p>
            <w:pPr>
              <w:ind w:left="120"/>
              <w:spacing w:after="0" w:line="202" w:lineRule="exact"/>
              <w:rPr>
                <w:sz w:val="20"/>
                <w:szCs w:val="20"/>
                <w:color w:val="auto"/>
              </w:rPr>
            </w:pPr>
            <w:r>
              <w:rPr>
                <w:rFonts w:ascii="Arial" w:cs="Arial" w:eastAsia="Arial" w:hAnsi="Arial"/>
                <w:sz w:val="18"/>
                <w:szCs w:val="18"/>
                <w:color w:val="auto"/>
                <w:w w:val="92"/>
              </w:rPr>
              <w:t>Amendment and Restatement Agreement, dated October 2, 2015, by and among the Company, Sorin S.p.A., Sorin CRM S.A.S., Sorin Group</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w w:val="93"/>
              </w:rPr>
              <w:t>Italia S.r.l. and the European Investment Bank, incorporated by reference to Exhibit 10.1 of the Company’s Current Report on Form 8-K, filed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rPr>
              <w:t>on October 19, 2015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FF"/>
              </w:rPr>
            </w:pPr>
            <w:hyperlink r:id="rId27">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0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Form of Deed of Indemnification (Directors), each effective October 19, 2015, incorporated by reference to Exhibit 10.3 of the Company’s</w:t>
            </w:r>
          </w:p>
        </w:tc>
        <w:tc>
          <w:tcPr>
            <w:tcW w:w="0" w:type="dxa"/>
            <w:vAlign w:val="bottom"/>
          </w:tcPr>
          <w:p>
            <w:pPr>
              <w:spacing w:after="0"/>
              <w:rPr>
                <w:sz w:val="1"/>
                <w:szCs w:val="1"/>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Report on Form 8-K, filed on October 19, 2015</w:t>
            </w:r>
          </w:p>
        </w:tc>
        <w:tc>
          <w:tcPr>
            <w:tcW w:w="0" w:type="dxa"/>
            <w:vAlign w:val="bottom"/>
          </w:tcPr>
          <w:p>
            <w:pPr>
              <w:spacing w:after="0"/>
              <w:rPr>
                <w:sz w:val="1"/>
                <w:szCs w:val="1"/>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FF"/>
              </w:rPr>
            </w:pPr>
            <w:hyperlink r:id="rId28">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580" w:type="dxa"/>
            <w:vAlign w:val="bottom"/>
          </w:tcPr>
          <w:p>
            <w:pPr>
              <w:ind w:left="120"/>
              <w:spacing w:after="0" w:line="202" w:lineRule="exact"/>
              <w:rPr>
                <w:sz w:val="20"/>
                <w:szCs w:val="20"/>
                <w:color w:val="auto"/>
              </w:rPr>
            </w:pPr>
            <w:r>
              <w:rPr>
                <w:rFonts w:ascii="Arial" w:cs="Arial" w:eastAsia="Arial" w:hAnsi="Arial"/>
                <w:sz w:val="18"/>
                <w:szCs w:val="18"/>
                <w:color w:val="auto"/>
                <w:w w:val="96"/>
              </w:rPr>
              <w:t>Form of Deed of Indemnification (Officers), each effective October 19, 2015, incorporated by reference to Exhibit 10.4 of the Company’s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rPr>
              <w:t>Current Report on Form 8-K, filed on October 19, 2015</w:t>
            </w: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580" w:type="dxa"/>
            <w:vAlign w:val="bottom"/>
          </w:tcPr>
          <w:p>
            <w:pPr>
              <w:ind w:left="48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ectPr>
          <w:pgSz w:w="11900" w:h="16838" w:orient="portrait"/>
          <w:cols w:equalWidth="0" w:num="1">
            <w:col w:w="11420"/>
          </w:cols>
          <w:pgMar w:left="240" w:top="666" w:right="239" w:bottom="1440" w:gutter="0" w:footer="0" w:header="0"/>
        </w:sectPr>
      </w:pPr>
    </w:p>
    <w:bookmarkStart w:id="51" w:name="page52"/>
    <w:bookmarkEnd w:id="51"/>
    <w:p>
      <w:pPr>
        <w:ind w:left="920" w:right="120" w:hanging="917"/>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hyperlink r:id="rId30">
        <w:r>
          <w:rPr>
            <w:rFonts w:ascii="Arial" w:cs="Arial" w:eastAsia="Arial" w:hAnsi="Arial"/>
            <w:sz w:val="18"/>
            <w:szCs w:val="18"/>
            <w:u w:val="single" w:color="auto"/>
            <w:color w:val="0000FF"/>
          </w:rPr>
          <w:t>10.4†</w:t>
        </w:r>
      </w:hyperlink>
      <w:r>
        <w:rPr>
          <w:rFonts w:ascii="Arial" w:cs="Arial" w:eastAsia="Arial" w:hAnsi="Arial"/>
          <w:sz w:val="18"/>
          <w:szCs w:val="18"/>
          <w:color w:val="0000FF"/>
        </w:rPr>
        <w:tab/>
        <w:t>2015 Incentive Award Plan and related Sub-Plan for U.K. Participants, adopted on October 16, 2015, incorporated by reference to Exhibit 10.1 of the Company’s Current Report on Form 8-K, filed on October 19, 2015</w:t>
      </w:r>
    </w:p>
    <w:p>
      <w:pPr>
        <w:spacing w:after="0" w:line="8" w:lineRule="exact"/>
        <w:rPr>
          <w:sz w:val="20"/>
          <w:szCs w:val="20"/>
          <w:color w:val="auto"/>
        </w:rPr>
      </w:pPr>
    </w:p>
    <w:p>
      <w:pPr>
        <w:ind w:left="920" w:hanging="917"/>
        <w:spacing w:after="0" w:line="342" w:lineRule="auto"/>
        <w:tabs>
          <w:tab w:leader="none" w:pos="900" w:val="left"/>
        </w:tabs>
        <w:rPr>
          <w:rFonts w:ascii="Arial" w:cs="Arial" w:eastAsia="Arial" w:hAnsi="Arial"/>
          <w:sz w:val="18"/>
          <w:szCs w:val="18"/>
          <w:color w:val="0000FF"/>
        </w:rPr>
      </w:pPr>
      <w:hyperlink r:id="rId31">
        <w:r>
          <w:rPr>
            <w:rFonts w:ascii="Arial" w:cs="Arial" w:eastAsia="Arial" w:hAnsi="Arial"/>
            <w:sz w:val="18"/>
            <w:szCs w:val="18"/>
            <w:u w:val="single" w:color="auto"/>
            <w:color w:val="0000FF"/>
          </w:rPr>
          <w:t>10.5†</w:t>
        </w:r>
      </w:hyperlink>
      <w:r>
        <w:rPr>
          <w:rFonts w:ascii="Arial" w:cs="Arial" w:eastAsia="Arial" w:hAnsi="Arial"/>
          <w:sz w:val="18"/>
          <w:szCs w:val="18"/>
          <w:color w:val="0000FF"/>
        </w:rPr>
        <w:tab/>
      </w:r>
      <w:r>
        <w:rPr>
          <w:rFonts w:ascii="Arial" w:cs="Arial" w:eastAsia="Arial" w:hAnsi="Arial"/>
          <w:sz w:val="16"/>
          <w:szCs w:val="16"/>
          <w:color w:val="0000FF"/>
        </w:rPr>
        <w:t>Form of Stock Appreciation Right Grant Notice and Stock Appreciation Right Agreement under the Company’s 2015 Incentive Award Sub-Plan (Non-U.S. Form), incorporated by reference to Exhibit 10.2 of the Company’s Current Report on Form 8-K12B, filed on October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104775</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58" w:lineRule="exact"/>
        <w:rPr>
          <w:sz w:val="20"/>
          <w:szCs w:val="20"/>
          <w:color w:val="auto"/>
        </w:rPr>
      </w:pPr>
    </w:p>
    <w:p>
      <w:pPr>
        <w:ind w:left="920" w:right="340" w:hanging="917"/>
        <w:spacing w:after="0" w:line="317" w:lineRule="auto"/>
        <w:tabs>
          <w:tab w:leader="none" w:pos="900" w:val="left"/>
        </w:tabs>
        <w:rPr>
          <w:rFonts w:ascii="Arial" w:cs="Arial" w:eastAsia="Arial" w:hAnsi="Arial"/>
          <w:sz w:val="18"/>
          <w:szCs w:val="18"/>
          <w:color w:val="0000FF"/>
        </w:rPr>
      </w:pPr>
      <w:hyperlink r:id="rId33">
        <w:r>
          <w:rPr>
            <w:rFonts w:ascii="Arial" w:cs="Arial" w:eastAsia="Arial" w:hAnsi="Arial"/>
            <w:sz w:val="18"/>
            <w:szCs w:val="18"/>
            <w:u w:val="single" w:color="auto"/>
            <w:color w:val="0000FF"/>
          </w:rPr>
          <w:t>10.6†</w:t>
        </w:r>
      </w:hyperlink>
      <w:r>
        <w:rPr>
          <w:rFonts w:ascii="Arial" w:cs="Arial" w:eastAsia="Arial" w:hAnsi="Arial"/>
          <w:sz w:val="18"/>
          <w:szCs w:val="18"/>
          <w:color w:val="0000FF"/>
        </w:rPr>
        <w:tab/>
      </w:r>
      <w:r>
        <w:rPr>
          <w:rFonts w:ascii="Arial" w:cs="Arial" w:eastAsia="Arial" w:hAnsi="Arial"/>
          <w:sz w:val="16"/>
          <w:szCs w:val="16"/>
          <w:color w:val="0000FF"/>
        </w:rPr>
        <w:t>Form of Stock Appreciation Right Grant Notice and Stock Appreciation Right Agreement under the Company’s 2015 Incentive Award Plan (U.S. Form), incorporated by reference to Exhibit 10.3 of the Company’s Current Report on Form 8-K12B, filed on October 19, 2015</w:t>
      </w:r>
    </w:p>
    <w:p>
      <w:pPr>
        <w:ind w:left="920" w:right="220" w:hanging="917"/>
        <w:spacing w:after="0" w:line="277" w:lineRule="auto"/>
        <w:tabs>
          <w:tab w:leader="none" w:pos="900" w:val="left"/>
        </w:tabs>
        <w:rPr>
          <w:rFonts w:ascii="Arial" w:cs="Arial" w:eastAsia="Arial" w:hAnsi="Arial"/>
          <w:sz w:val="18"/>
          <w:szCs w:val="18"/>
          <w:color w:val="0000FF"/>
        </w:rPr>
      </w:pPr>
      <w:hyperlink r:id="rId34">
        <w:r>
          <w:rPr>
            <w:rFonts w:ascii="Arial" w:cs="Arial" w:eastAsia="Arial" w:hAnsi="Arial"/>
            <w:sz w:val="18"/>
            <w:szCs w:val="18"/>
            <w:u w:val="single" w:color="auto"/>
            <w:color w:val="0000FF"/>
          </w:rPr>
          <w:t>10.7†</w:t>
        </w:r>
      </w:hyperlink>
      <w:r>
        <w:rPr>
          <w:rFonts w:ascii="Arial" w:cs="Arial" w:eastAsia="Arial" w:hAnsi="Arial"/>
          <w:sz w:val="18"/>
          <w:szCs w:val="18"/>
          <w:color w:val="0000FF"/>
        </w:rPr>
        <w:tab/>
        <w:t>Director Appointment Letters for Non-Employee Directors, dated the dates indicated therein, incorporated by reference to Exhibit 10.5 of the Company’s Current Report on Form 8-K12B, filed on October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left="920" w:right="40" w:hanging="917"/>
        <w:spacing w:after="0" w:line="264" w:lineRule="auto"/>
        <w:tabs>
          <w:tab w:leader="none" w:pos="900" w:val="left"/>
        </w:tabs>
        <w:rPr>
          <w:rFonts w:ascii="Arial" w:cs="Arial" w:eastAsia="Arial" w:hAnsi="Arial"/>
          <w:sz w:val="18"/>
          <w:szCs w:val="18"/>
          <w:color w:val="0000FF"/>
        </w:rPr>
      </w:pPr>
      <w:hyperlink r:id="rId36">
        <w:r>
          <w:rPr>
            <w:rFonts w:ascii="Arial" w:cs="Arial" w:eastAsia="Arial" w:hAnsi="Arial"/>
            <w:sz w:val="18"/>
            <w:szCs w:val="18"/>
            <w:u w:val="single" w:color="auto"/>
            <w:color w:val="0000FF"/>
          </w:rPr>
          <w:t>10.8†</w:t>
        </w:r>
      </w:hyperlink>
      <w:r>
        <w:rPr>
          <w:rFonts w:ascii="Arial" w:cs="Arial" w:eastAsia="Arial" w:hAnsi="Arial"/>
          <w:sz w:val="18"/>
          <w:szCs w:val="18"/>
          <w:color w:val="0000FF"/>
        </w:rPr>
        <w:tab/>
        <w:t>Form of Director Restricted Stock Unit Award Grant Notice and Director Restricted Stock Unit Award Agreement under the Company’s 2015 Incentive Award Plan (Non-Employee Directors), incorporated by reference to Exhibit 10.6 of the Company’s Current Report on Form 8-K12B, filed on October 19, 2015</w:t>
      </w:r>
    </w:p>
    <w:p>
      <w:pPr>
        <w:spacing w:after="0" w:line="19" w:lineRule="exact"/>
        <w:rPr>
          <w:sz w:val="20"/>
          <w:szCs w:val="20"/>
          <w:color w:val="auto"/>
        </w:rPr>
      </w:pPr>
    </w:p>
    <w:p>
      <w:pPr>
        <w:spacing w:after="0"/>
        <w:tabs>
          <w:tab w:leader="none" w:pos="900" w:val="left"/>
        </w:tabs>
        <w:rPr>
          <w:rFonts w:ascii="Arial" w:cs="Arial" w:eastAsia="Arial" w:hAnsi="Arial"/>
          <w:sz w:val="18"/>
          <w:szCs w:val="18"/>
          <w:color w:val="0000FF"/>
        </w:rPr>
      </w:pPr>
      <w:hyperlink r:id="rId37">
        <w:r>
          <w:rPr>
            <w:rFonts w:ascii="Arial" w:cs="Arial" w:eastAsia="Arial" w:hAnsi="Arial"/>
            <w:sz w:val="18"/>
            <w:szCs w:val="18"/>
            <w:u w:val="single" w:color="auto"/>
            <w:color w:val="0000FF"/>
          </w:rPr>
          <w:t>10.9†</w:t>
        </w:r>
      </w:hyperlink>
      <w:r>
        <w:rPr>
          <w:rFonts w:ascii="Arial" w:cs="Arial" w:eastAsia="Arial" w:hAnsi="Arial"/>
          <w:sz w:val="18"/>
          <w:szCs w:val="18"/>
          <w:color w:val="0000FF"/>
        </w:rPr>
        <w:tab/>
      </w:r>
      <w:r>
        <w:rPr>
          <w:rFonts w:ascii="Arial" w:cs="Arial" w:eastAsia="Arial" w:hAnsi="Arial"/>
          <w:sz w:val="16"/>
          <w:szCs w:val="16"/>
          <w:color w:val="0000FF"/>
        </w:rPr>
        <w:t>Cyberonics, Inc. 2009 Stock Plan, as amended, incorporated by reference to Appendix A to Cyberonics, Inc.’s Proxy Statement on Schedule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14A, filed on August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920" w:right="380" w:hanging="917"/>
        <w:spacing w:after="0" w:line="277" w:lineRule="auto"/>
        <w:tabs>
          <w:tab w:leader="none" w:pos="900" w:val="left"/>
        </w:tabs>
        <w:rPr>
          <w:rFonts w:ascii="Arial" w:cs="Arial" w:eastAsia="Arial" w:hAnsi="Arial"/>
          <w:sz w:val="18"/>
          <w:szCs w:val="18"/>
          <w:color w:val="0000FF"/>
        </w:rPr>
      </w:pPr>
      <w:hyperlink r:id="rId39">
        <w:r>
          <w:rPr>
            <w:rFonts w:ascii="Arial" w:cs="Arial" w:eastAsia="Arial" w:hAnsi="Arial"/>
            <w:sz w:val="18"/>
            <w:szCs w:val="18"/>
            <w:u w:val="single" w:color="auto"/>
            <w:color w:val="0000FF"/>
          </w:rPr>
          <w:t>10.10†</w:t>
        </w:r>
      </w:hyperlink>
      <w:r>
        <w:rPr>
          <w:rFonts w:ascii="Arial" w:cs="Arial" w:eastAsia="Arial" w:hAnsi="Arial"/>
          <w:sz w:val="18"/>
          <w:szCs w:val="18"/>
          <w:color w:val="0000FF"/>
        </w:rPr>
        <w:tab/>
        <w:t>Amended and Restated Cyberonics, Inc. New Employee Equity Inducement Plan, as amended, incorporated by reference to Exhibit 10.3 of Cyberonics, Inc.’s Quarterly Report on Form 10-Q for the fiscal quarter ended October 24, 2008</w:t>
      </w:r>
    </w:p>
    <w:p>
      <w:pPr>
        <w:spacing w:after="0" w:line="8" w:lineRule="exact"/>
        <w:rPr>
          <w:sz w:val="20"/>
          <w:szCs w:val="20"/>
          <w:color w:val="auto"/>
        </w:rPr>
      </w:pPr>
    </w:p>
    <w:p>
      <w:pPr>
        <w:ind w:left="920" w:hanging="917"/>
        <w:spacing w:after="0" w:line="298" w:lineRule="auto"/>
        <w:tabs>
          <w:tab w:leader="none" w:pos="900" w:val="left"/>
        </w:tabs>
        <w:rPr>
          <w:rFonts w:ascii="Arial" w:cs="Arial" w:eastAsia="Arial" w:hAnsi="Arial"/>
          <w:sz w:val="18"/>
          <w:szCs w:val="18"/>
          <w:color w:val="0000FF"/>
        </w:rPr>
      </w:pPr>
      <w:hyperlink r:id="rId40">
        <w:r>
          <w:rPr>
            <w:rFonts w:ascii="Arial" w:cs="Arial" w:eastAsia="Arial" w:hAnsi="Arial"/>
            <w:sz w:val="18"/>
            <w:szCs w:val="18"/>
            <w:u w:val="single" w:color="auto"/>
            <w:color w:val="0000FF"/>
          </w:rPr>
          <w:t>10.11†</w:t>
        </w:r>
      </w:hyperlink>
      <w:r>
        <w:rPr>
          <w:rFonts w:ascii="Arial" w:cs="Arial" w:eastAsia="Arial" w:hAnsi="Arial"/>
          <w:sz w:val="18"/>
          <w:szCs w:val="18"/>
          <w:color w:val="0000FF"/>
        </w:rPr>
        <w:tab/>
      </w:r>
      <w:r>
        <w:rPr>
          <w:rFonts w:ascii="Arial" w:cs="Arial" w:eastAsia="Arial" w:hAnsi="Arial"/>
          <w:sz w:val="17"/>
          <w:szCs w:val="17"/>
          <w:color w:val="0000FF"/>
        </w:rPr>
        <w:t>Letter Agreement dated July 1, 2016 between Douglas Manko and Cyberonics Inc., a wholly owned subsidiary of the Company, incorporated by reference to Exhibit 10.48 of the Company’s Quarterly Report on Form 10-Q for the quarter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260" w:hanging="917"/>
        <w:spacing w:after="0" w:line="277" w:lineRule="auto"/>
        <w:tabs>
          <w:tab w:leader="none" w:pos="900" w:val="left"/>
        </w:tabs>
        <w:rPr>
          <w:rFonts w:ascii="Arial" w:cs="Arial" w:eastAsia="Arial" w:hAnsi="Arial"/>
          <w:sz w:val="18"/>
          <w:szCs w:val="18"/>
          <w:color w:val="0000FF"/>
        </w:rPr>
      </w:pPr>
      <w:hyperlink r:id="rId42">
        <w:r>
          <w:rPr>
            <w:rFonts w:ascii="Arial" w:cs="Arial" w:eastAsia="Arial" w:hAnsi="Arial"/>
            <w:sz w:val="18"/>
            <w:szCs w:val="18"/>
            <w:u w:val="single" w:color="auto"/>
            <w:color w:val="0000FF"/>
          </w:rPr>
          <w:t>10.12</w:t>
        </w:r>
      </w:hyperlink>
      <w:r>
        <w:rPr>
          <w:rFonts w:ascii="Arial" w:cs="Arial" w:eastAsia="Arial" w:hAnsi="Arial"/>
          <w:sz w:val="18"/>
          <w:szCs w:val="18"/>
          <w:color w:val="0000FF"/>
        </w:rPr>
        <w:tab/>
        <w:t>Form of Share Repurchase Contract, incorporated by reference to Appendix A of the Company’s Proxy Statement on Schedule 14A, filed on May 16, 2016</w:t>
      </w:r>
    </w:p>
    <w:p>
      <w:pPr>
        <w:spacing w:after="0" w:line="8" w:lineRule="exact"/>
        <w:rPr>
          <w:sz w:val="20"/>
          <w:szCs w:val="20"/>
          <w:color w:val="auto"/>
        </w:rPr>
      </w:pPr>
    </w:p>
    <w:p>
      <w:pPr>
        <w:ind w:left="920" w:right="100" w:hanging="917"/>
        <w:spacing w:after="0" w:line="277" w:lineRule="auto"/>
        <w:tabs>
          <w:tab w:leader="none" w:pos="900" w:val="left"/>
        </w:tabs>
        <w:rPr>
          <w:rFonts w:ascii="Arial" w:cs="Arial" w:eastAsia="Arial" w:hAnsi="Arial"/>
          <w:sz w:val="18"/>
          <w:szCs w:val="18"/>
          <w:color w:val="0000FF"/>
        </w:rPr>
      </w:pPr>
      <w:hyperlink r:id="rId43">
        <w:r>
          <w:rPr>
            <w:rFonts w:ascii="Arial" w:cs="Arial" w:eastAsia="Arial" w:hAnsi="Arial"/>
            <w:sz w:val="18"/>
            <w:szCs w:val="18"/>
            <w:u w:val="single" w:color="auto"/>
            <w:color w:val="0000FF"/>
          </w:rPr>
          <w:t>10.13</w:t>
        </w:r>
      </w:hyperlink>
      <w:r>
        <w:rPr>
          <w:rFonts w:ascii="Arial" w:cs="Arial" w:eastAsia="Arial" w:hAnsi="Arial"/>
          <w:sz w:val="18"/>
          <w:szCs w:val="18"/>
          <w:color w:val="0000FF"/>
        </w:rPr>
        <w:tab/>
        <w:t>Form of Rule 10b5-1 Repurchase Plan, incorporated by reference to Appendix B of the Company’s Proxy Statement on Schedule 14A, filed on May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80" w:hanging="917"/>
        <w:spacing w:after="0" w:line="277" w:lineRule="auto"/>
        <w:tabs>
          <w:tab w:leader="none" w:pos="900" w:val="left"/>
        </w:tabs>
        <w:rPr>
          <w:rFonts w:ascii="Arial" w:cs="Arial" w:eastAsia="Arial" w:hAnsi="Arial"/>
          <w:sz w:val="18"/>
          <w:szCs w:val="18"/>
          <w:color w:val="0000FF"/>
        </w:rPr>
      </w:pPr>
      <w:hyperlink r:id="rId45">
        <w:r>
          <w:rPr>
            <w:rFonts w:ascii="Arial" w:cs="Arial" w:eastAsia="Arial" w:hAnsi="Arial"/>
            <w:sz w:val="18"/>
            <w:szCs w:val="18"/>
            <w:u w:val="single" w:color="auto"/>
            <w:color w:val="0000FF"/>
          </w:rPr>
          <w:t>10.14</w:t>
        </w:r>
      </w:hyperlink>
      <w:r>
        <w:rPr>
          <w:rFonts w:ascii="Arial" w:cs="Arial" w:eastAsia="Arial" w:hAnsi="Arial"/>
          <w:sz w:val="18"/>
          <w:szCs w:val="18"/>
          <w:color w:val="0000FF"/>
        </w:rPr>
        <w:tab/>
        <w:t>Board approval of Share Repurchase Programme on August 2, 2016, incorporated by reference to the Company’s Current Report on Form 8-K, filed on August 2, 2016</w:t>
      </w:r>
    </w:p>
    <w:p>
      <w:pPr>
        <w:spacing w:after="0" w:line="8" w:lineRule="exact"/>
        <w:rPr>
          <w:sz w:val="20"/>
          <w:szCs w:val="20"/>
          <w:color w:val="auto"/>
        </w:rPr>
      </w:pPr>
    </w:p>
    <w:p>
      <w:pPr>
        <w:ind w:left="920" w:right="40" w:hanging="917"/>
        <w:spacing w:after="0" w:line="277" w:lineRule="auto"/>
        <w:tabs>
          <w:tab w:leader="none" w:pos="900" w:val="left"/>
        </w:tabs>
        <w:rPr>
          <w:rFonts w:ascii="Arial" w:cs="Arial" w:eastAsia="Arial" w:hAnsi="Arial"/>
          <w:sz w:val="18"/>
          <w:szCs w:val="18"/>
          <w:color w:val="0000FF"/>
        </w:rPr>
      </w:pPr>
      <w:hyperlink r:id="rId46">
        <w:r>
          <w:rPr>
            <w:rFonts w:ascii="Arial" w:cs="Arial" w:eastAsia="Arial" w:hAnsi="Arial"/>
            <w:sz w:val="18"/>
            <w:szCs w:val="18"/>
            <w:u w:val="single" w:color="auto"/>
            <w:color w:val="0000FF"/>
          </w:rPr>
          <w:t>10.15†</w:t>
        </w:r>
      </w:hyperlink>
      <w:r>
        <w:rPr>
          <w:rFonts w:ascii="Arial" w:cs="Arial" w:eastAsia="Arial" w:hAnsi="Arial"/>
          <w:sz w:val="18"/>
          <w:szCs w:val="18"/>
          <w:color w:val="0000FF"/>
        </w:rPr>
        <w:tab/>
        <w:t>Settlement Agreement between Andre-Michel Ballester and the Company dated December 21, 2016, incorporated by reference to Exhibit 10.58 of the Company’s Annual Report on Form 10-K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58293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extLst>
                    </a:blip>
                    <a:srcRect/>
                    <a:stretch>
                      <a:fillRect/>
                    </a:stretch>
                  </pic:blipFill>
                  <pic:spPr bwMode="auto">
                    <a:xfrm>
                      <a:off x="0" y="0"/>
                      <a:ext cx="582930" cy="308610"/>
                    </a:xfrm>
                    <a:prstGeom prst="rect">
                      <a:avLst/>
                    </a:prstGeom>
                    <a:noFill/>
                  </pic:spPr>
                </pic:pic>
              </a:graphicData>
            </a:graphic>
          </wp:anchor>
        </w:drawing>
      </w:r>
    </w:p>
    <w:p>
      <w:pPr>
        <w:spacing w:after="0"/>
        <w:tabs>
          <w:tab w:leader="none" w:pos="900" w:val="left"/>
        </w:tabs>
        <w:rPr>
          <w:rFonts w:ascii="Arial" w:cs="Arial" w:eastAsia="Arial" w:hAnsi="Arial"/>
          <w:sz w:val="18"/>
          <w:szCs w:val="18"/>
          <w:color w:val="0000FF"/>
        </w:rPr>
      </w:pPr>
      <w:hyperlink r:id="rId48">
        <w:r>
          <w:rPr>
            <w:rFonts w:ascii="Arial" w:cs="Arial" w:eastAsia="Arial" w:hAnsi="Arial"/>
            <w:sz w:val="18"/>
            <w:szCs w:val="18"/>
            <w:u w:val="single" w:color="auto"/>
            <w:color w:val="0000FF"/>
          </w:rPr>
          <w:t>10.16†</w:t>
        </w:r>
      </w:hyperlink>
      <w:r>
        <w:rPr>
          <w:rFonts w:ascii="Arial" w:cs="Arial" w:eastAsia="Arial" w:hAnsi="Arial"/>
          <w:sz w:val="18"/>
          <w:szCs w:val="18"/>
          <w:color w:val="0000FF"/>
        </w:rPr>
        <w:tab/>
      </w:r>
      <w:r>
        <w:rPr>
          <w:rFonts w:ascii="Arial" w:cs="Arial" w:eastAsia="Arial" w:hAnsi="Arial"/>
          <w:sz w:val="16"/>
          <w:szCs w:val="16"/>
          <w:color w:val="0000FF"/>
        </w:rPr>
        <w:t>Consultancy Agreement between Andre-Michel Ballester and the Company dated December 26, 2016, incorporated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10.59 of the Company’s Annual Report on Form 10-K for the year ended December 31, 2016</w:t>
      </w:r>
    </w:p>
    <w:p>
      <w:pPr>
        <w:spacing w:after="0" w:line="49" w:lineRule="exact"/>
        <w:rPr>
          <w:sz w:val="20"/>
          <w:szCs w:val="20"/>
          <w:color w:val="auto"/>
        </w:rPr>
      </w:pPr>
    </w:p>
    <w:p>
      <w:pPr>
        <w:ind w:left="920" w:right="220" w:hanging="917"/>
        <w:spacing w:after="0" w:line="277" w:lineRule="auto"/>
        <w:tabs>
          <w:tab w:leader="none" w:pos="900" w:val="left"/>
        </w:tabs>
        <w:rPr>
          <w:rFonts w:ascii="Arial" w:cs="Arial" w:eastAsia="Arial" w:hAnsi="Arial"/>
          <w:sz w:val="18"/>
          <w:szCs w:val="18"/>
          <w:color w:val="0000FF"/>
        </w:rPr>
      </w:pPr>
      <w:hyperlink r:id="rId49">
        <w:r>
          <w:rPr>
            <w:rFonts w:ascii="Arial" w:cs="Arial" w:eastAsia="Arial" w:hAnsi="Arial"/>
            <w:sz w:val="18"/>
            <w:szCs w:val="18"/>
            <w:u w:val="single" w:color="auto"/>
            <w:color w:val="0000FF"/>
          </w:rPr>
          <w:t>10.17†</w:t>
        </w:r>
      </w:hyperlink>
      <w:r>
        <w:rPr>
          <w:rFonts w:ascii="Arial" w:cs="Arial" w:eastAsia="Arial" w:hAnsi="Arial"/>
          <w:sz w:val="18"/>
          <w:szCs w:val="18"/>
          <w:color w:val="0000FF"/>
        </w:rPr>
        <w:tab/>
        <w:t>Form of the Company’s 2017 Service-Based RSU Agreement, incorporated by reference to Exhibit 10.1 of the Company’s Current Report on Form 8-K, filed on May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60" w:hanging="917"/>
        <w:spacing w:after="0" w:line="277" w:lineRule="auto"/>
        <w:tabs>
          <w:tab w:leader="none" w:pos="900" w:val="left"/>
        </w:tabs>
        <w:rPr>
          <w:rFonts w:ascii="Arial" w:cs="Arial" w:eastAsia="Arial" w:hAnsi="Arial"/>
          <w:sz w:val="18"/>
          <w:szCs w:val="18"/>
          <w:color w:val="0000FF"/>
        </w:rPr>
      </w:pPr>
      <w:hyperlink r:id="rId51">
        <w:r>
          <w:rPr>
            <w:rFonts w:ascii="Arial" w:cs="Arial" w:eastAsia="Arial" w:hAnsi="Arial"/>
            <w:sz w:val="18"/>
            <w:szCs w:val="18"/>
            <w:u w:val="single" w:color="auto"/>
            <w:color w:val="0000FF"/>
          </w:rPr>
          <w:t>10.18†</w:t>
        </w:r>
      </w:hyperlink>
      <w:r>
        <w:rPr>
          <w:rFonts w:ascii="Arial" w:cs="Arial" w:eastAsia="Arial" w:hAnsi="Arial"/>
          <w:sz w:val="18"/>
          <w:szCs w:val="18"/>
          <w:color w:val="0000FF"/>
        </w:rPr>
        <w:tab/>
        <w:t>Form of the Company’s 2017 Performance-Based RSU Agreement, incorporated by reference to Exhibit 10.2 of the Company’s Current Report on Form 8-K, filed on May 11, 2017</w:t>
      </w:r>
    </w:p>
    <w:p>
      <w:pPr>
        <w:spacing w:after="0" w:line="8" w:lineRule="exact"/>
        <w:rPr>
          <w:sz w:val="20"/>
          <w:szCs w:val="20"/>
          <w:color w:val="auto"/>
        </w:rPr>
      </w:pPr>
    </w:p>
    <w:p>
      <w:pPr>
        <w:spacing w:after="0"/>
        <w:tabs>
          <w:tab w:leader="none" w:pos="900" w:val="left"/>
        </w:tabs>
        <w:rPr>
          <w:rFonts w:ascii="Arial" w:cs="Arial" w:eastAsia="Arial" w:hAnsi="Arial"/>
          <w:sz w:val="18"/>
          <w:szCs w:val="18"/>
          <w:color w:val="0000FF"/>
        </w:rPr>
      </w:pPr>
      <w:hyperlink r:id="rId52">
        <w:r>
          <w:rPr>
            <w:rFonts w:ascii="Arial" w:cs="Arial" w:eastAsia="Arial" w:hAnsi="Arial"/>
            <w:sz w:val="18"/>
            <w:szCs w:val="18"/>
            <w:u w:val="single" w:color="auto"/>
            <w:color w:val="0000FF"/>
          </w:rPr>
          <w:t>10.19†</w:t>
        </w:r>
      </w:hyperlink>
      <w:r>
        <w:rPr>
          <w:rFonts w:ascii="Arial" w:cs="Arial" w:eastAsia="Arial" w:hAnsi="Arial"/>
          <w:sz w:val="18"/>
          <w:szCs w:val="18"/>
          <w:color w:val="0000FF"/>
        </w:rPr>
        <w:tab/>
      </w:r>
      <w:r>
        <w:rPr>
          <w:rFonts w:ascii="Arial" w:cs="Arial" w:eastAsia="Arial" w:hAnsi="Arial"/>
          <w:sz w:val="16"/>
          <w:szCs w:val="16"/>
          <w:color w:val="0000FF"/>
        </w:rPr>
        <w:t>CEO Employment Agreement effective January 1, 2017 between the Company and Damien McDonald, incorporated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10.2 of the Company’s Current Report on Form 8-K, filed on February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920" w:right="220" w:hanging="917"/>
        <w:spacing w:after="0" w:line="277" w:lineRule="auto"/>
        <w:tabs>
          <w:tab w:leader="none" w:pos="900" w:val="left"/>
        </w:tabs>
        <w:rPr>
          <w:rFonts w:ascii="Arial" w:cs="Arial" w:eastAsia="Arial" w:hAnsi="Arial"/>
          <w:sz w:val="18"/>
          <w:szCs w:val="18"/>
          <w:color w:val="0000FF"/>
        </w:rPr>
      </w:pPr>
      <w:hyperlink r:id="rId54">
        <w:r>
          <w:rPr>
            <w:rFonts w:ascii="Arial" w:cs="Arial" w:eastAsia="Arial" w:hAnsi="Arial"/>
            <w:sz w:val="18"/>
            <w:szCs w:val="18"/>
            <w:u w:val="single" w:color="auto"/>
            <w:color w:val="0000FF"/>
          </w:rPr>
          <w:t>10.20†</w:t>
        </w:r>
      </w:hyperlink>
      <w:r>
        <w:rPr>
          <w:rFonts w:ascii="Arial" w:cs="Arial" w:eastAsia="Arial" w:hAnsi="Arial"/>
          <w:sz w:val="18"/>
          <w:szCs w:val="18"/>
          <w:color w:val="0000FF"/>
        </w:rPr>
        <w:tab/>
        <w:t>Side Letter dated January 1, 2017 between the Company and Damien McDonald, incorporated by reference to Exhibit 10.3 of the Company’s Current Report on Form 8-K, filed on February 28, 2017</w:t>
      </w:r>
    </w:p>
    <w:p>
      <w:pPr>
        <w:spacing w:after="0" w:line="8" w:lineRule="exact"/>
        <w:rPr>
          <w:sz w:val="20"/>
          <w:szCs w:val="20"/>
          <w:color w:val="auto"/>
        </w:rPr>
      </w:pPr>
    </w:p>
    <w:p>
      <w:pPr>
        <w:ind w:left="920" w:right="400" w:hanging="917"/>
        <w:spacing w:after="0" w:line="277" w:lineRule="auto"/>
        <w:tabs>
          <w:tab w:leader="none" w:pos="900" w:val="left"/>
        </w:tabs>
        <w:rPr>
          <w:rFonts w:ascii="Arial" w:cs="Arial" w:eastAsia="Arial" w:hAnsi="Arial"/>
          <w:sz w:val="18"/>
          <w:szCs w:val="18"/>
          <w:color w:val="0000FF"/>
        </w:rPr>
      </w:pPr>
      <w:hyperlink r:id="rId55">
        <w:r>
          <w:rPr>
            <w:rFonts w:ascii="Arial" w:cs="Arial" w:eastAsia="Arial" w:hAnsi="Arial"/>
            <w:sz w:val="18"/>
            <w:szCs w:val="18"/>
            <w:u w:val="single" w:color="auto"/>
            <w:color w:val="0000FF"/>
          </w:rPr>
          <w:t>10.21†</w:t>
        </w:r>
      </w:hyperlink>
      <w:r>
        <w:rPr>
          <w:rFonts w:ascii="Arial" w:cs="Arial" w:eastAsia="Arial" w:hAnsi="Arial"/>
          <w:sz w:val="18"/>
          <w:szCs w:val="18"/>
          <w:color w:val="0000FF"/>
        </w:rPr>
        <w:tab/>
        <w:t>Service Agreement, by and between the Company and Thad Huston, dated April 27, 2017, incorporated by reference to Exhibit 10.1 of the Company’s Current Report on Form 8-K, filed on May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hanging="917"/>
        <w:spacing w:after="0" w:line="277" w:lineRule="auto"/>
        <w:tabs>
          <w:tab w:leader="none" w:pos="900" w:val="left"/>
        </w:tabs>
        <w:rPr>
          <w:rFonts w:ascii="Arial" w:cs="Arial" w:eastAsia="Arial" w:hAnsi="Arial"/>
          <w:sz w:val="18"/>
          <w:szCs w:val="18"/>
          <w:color w:val="0000FF"/>
        </w:rPr>
      </w:pPr>
      <w:hyperlink r:id="rId57">
        <w:r>
          <w:rPr>
            <w:rFonts w:ascii="Arial" w:cs="Arial" w:eastAsia="Arial" w:hAnsi="Arial"/>
            <w:sz w:val="18"/>
            <w:szCs w:val="18"/>
            <w:u w:val="single" w:color="auto"/>
            <w:color w:val="0000FF"/>
          </w:rPr>
          <w:t>10.22†</w:t>
        </w:r>
      </w:hyperlink>
      <w:r>
        <w:rPr>
          <w:rFonts w:ascii="Arial" w:cs="Arial" w:eastAsia="Arial" w:hAnsi="Arial"/>
          <w:sz w:val="18"/>
          <w:szCs w:val="18"/>
          <w:color w:val="0000FF"/>
        </w:rPr>
        <w:tab/>
        <w:t>Side Letter dated April 27, 2017 from the Company to Thad Huston, incorporated by reference to Exhibit 10.2 of the Company’s Current Report on Form 8-K, filed on May 16, 2017</w:t>
      </w:r>
    </w:p>
    <w:p>
      <w:pPr>
        <w:spacing w:after="0" w:line="8" w:lineRule="exact"/>
        <w:rPr>
          <w:sz w:val="20"/>
          <w:szCs w:val="20"/>
          <w:color w:val="auto"/>
        </w:rPr>
      </w:pPr>
    </w:p>
    <w:p>
      <w:pPr>
        <w:ind w:left="920" w:right="380" w:hanging="917"/>
        <w:spacing w:after="0" w:line="277" w:lineRule="auto"/>
        <w:tabs>
          <w:tab w:leader="none" w:pos="900" w:val="left"/>
        </w:tabs>
        <w:rPr>
          <w:rFonts w:ascii="Arial" w:cs="Arial" w:eastAsia="Arial" w:hAnsi="Arial"/>
          <w:sz w:val="18"/>
          <w:szCs w:val="18"/>
          <w:color w:val="0000FF"/>
        </w:rPr>
      </w:pPr>
      <w:hyperlink r:id="rId58">
        <w:r>
          <w:rPr>
            <w:rFonts w:ascii="Arial" w:cs="Arial" w:eastAsia="Arial" w:hAnsi="Arial"/>
            <w:sz w:val="18"/>
            <w:szCs w:val="18"/>
            <w:u w:val="single" w:color="auto"/>
            <w:color w:val="0000FF"/>
          </w:rPr>
          <w:t>10.23†</w:t>
        </w:r>
      </w:hyperlink>
      <w:r>
        <w:rPr>
          <w:rFonts w:ascii="Arial" w:cs="Arial" w:eastAsia="Arial" w:hAnsi="Arial"/>
          <w:sz w:val="18"/>
          <w:szCs w:val="18"/>
          <w:color w:val="0000FF"/>
        </w:rPr>
        <w:tab/>
        <w:t>Service Agreement effective May 24, 2017, between the Company and Keyna Skeffington, incorporated by reference to Exhibit 10.6 of the Company’s Quarterly Report on Form 10-Q for the quarter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180" w:hanging="917"/>
        <w:spacing w:after="0" w:line="277" w:lineRule="auto"/>
        <w:tabs>
          <w:tab w:leader="none" w:pos="900" w:val="left"/>
        </w:tabs>
        <w:rPr>
          <w:rFonts w:ascii="Arial" w:cs="Arial" w:eastAsia="Arial" w:hAnsi="Arial"/>
          <w:sz w:val="18"/>
          <w:szCs w:val="18"/>
          <w:color w:val="0000FF"/>
        </w:rPr>
      </w:pPr>
      <w:hyperlink r:id="rId60">
        <w:r>
          <w:rPr>
            <w:rFonts w:ascii="Arial" w:cs="Arial" w:eastAsia="Arial" w:hAnsi="Arial"/>
            <w:sz w:val="18"/>
            <w:szCs w:val="18"/>
            <w:u w:val="single" w:color="auto"/>
            <w:color w:val="0000FF"/>
          </w:rPr>
          <w:t>10.24†</w:t>
        </w:r>
      </w:hyperlink>
      <w:r>
        <w:rPr>
          <w:rFonts w:ascii="Arial" w:cs="Arial" w:eastAsia="Arial" w:hAnsi="Arial"/>
          <w:sz w:val="18"/>
          <w:szCs w:val="18"/>
          <w:color w:val="0000FF"/>
        </w:rPr>
        <w:tab/>
        <w:t>Non-Employee Director Compensation Policy, adopted December 2017, incorporated by reference to Exhibit 10.74 of the Company’s Annual Report on Form 10-K for the year ended December 31. 2017</w:t>
      </w:r>
    </w:p>
    <w:p>
      <w:pPr>
        <w:spacing w:after="0" w:line="8" w:lineRule="exact"/>
        <w:rPr>
          <w:sz w:val="20"/>
          <w:szCs w:val="20"/>
          <w:color w:val="auto"/>
        </w:rPr>
      </w:pPr>
    </w:p>
    <w:p>
      <w:pPr>
        <w:ind w:left="920" w:right="260" w:hanging="917"/>
        <w:spacing w:after="0" w:line="277" w:lineRule="auto"/>
        <w:tabs>
          <w:tab w:leader="none" w:pos="900" w:val="left"/>
        </w:tabs>
        <w:rPr>
          <w:rFonts w:ascii="Arial" w:cs="Arial" w:eastAsia="Arial" w:hAnsi="Arial"/>
          <w:sz w:val="18"/>
          <w:szCs w:val="18"/>
          <w:color w:val="0000FF"/>
        </w:rPr>
      </w:pPr>
      <w:hyperlink r:id="rId61">
        <w:r>
          <w:rPr>
            <w:rFonts w:ascii="Arial" w:cs="Arial" w:eastAsia="Arial" w:hAnsi="Arial"/>
            <w:sz w:val="18"/>
            <w:szCs w:val="18"/>
            <w:u w:val="single" w:color="auto"/>
            <w:color w:val="0000FF"/>
          </w:rPr>
          <w:t>10.25</w:t>
        </w:r>
      </w:hyperlink>
      <w:r>
        <w:rPr>
          <w:rFonts w:ascii="Arial" w:cs="Arial" w:eastAsia="Arial" w:hAnsi="Arial"/>
          <w:sz w:val="18"/>
          <w:szCs w:val="18"/>
          <w:color w:val="0000FF"/>
        </w:rPr>
        <w:tab/>
        <w:t>Form of Share Repurchase Contract, incorporated by reference to Appendix A of the Company’s Proxy Statement on Schedule 14A, filed on May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100" w:hanging="917"/>
        <w:spacing w:after="0" w:line="277" w:lineRule="auto"/>
        <w:tabs>
          <w:tab w:leader="none" w:pos="900" w:val="left"/>
        </w:tabs>
        <w:rPr>
          <w:rFonts w:ascii="Arial" w:cs="Arial" w:eastAsia="Arial" w:hAnsi="Arial"/>
          <w:sz w:val="18"/>
          <w:szCs w:val="18"/>
          <w:color w:val="0000FF"/>
        </w:rPr>
      </w:pPr>
      <w:hyperlink r:id="rId63">
        <w:r>
          <w:rPr>
            <w:rFonts w:ascii="Arial" w:cs="Arial" w:eastAsia="Arial" w:hAnsi="Arial"/>
            <w:sz w:val="18"/>
            <w:szCs w:val="18"/>
            <w:u w:val="single" w:color="auto"/>
            <w:color w:val="0000FF"/>
          </w:rPr>
          <w:t>10.26</w:t>
        </w:r>
      </w:hyperlink>
      <w:r>
        <w:rPr>
          <w:rFonts w:ascii="Arial" w:cs="Arial" w:eastAsia="Arial" w:hAnsi="Arial"/>
          <w:sz w:val="18"/>
          <w:szCs w:val="18"/>
          <w:color w:val="0000FF"/>
        </w:rPr>
        <w:tab/>
        <w:t>Form of Rule 10b5-1 Repurchase Plan, incorporated by reference to Appendix B of the Company’s Proxy Statement on Schedule 14A, filed on May 16, 2017</w:t>
      </w:r>
    </w:p>
    <w:p>
      <w:pPr>
        <w:spacing w:after="0" w:line="8" w:lineRule="exact"/>
        <w:rPr>
          <w:sz w:val="20"/>
          <w:szCs w:val="20"/>
          <w:color w:val="auto"/>
        </w:rPr>
      </w:pPr>
    </w:p>
    <w:p>
      <w:pPr>
        <w:ind w:left="920" w:right="120" w:hanging="917"/>
        <w:spacing w:after="0" w:line="277" w:lineRule="auto"/>
        <w:tabs>
          <w:tab w:leader="none" w:pos="900" w:val="left"/>
        </w:tabs>
        <w:rPr>
          <w:rFonts w:ascii="Arial" w:cs="Arial" w:eastAsia="Arial" w:hAnsi="Arial"/>
          <w:sz w:val="18"/>
          <w:szCs w:val="18"/>
          <w:color w:val="0000FF"/>
        </w:rPr>
      </w:pPr>
      <w:hyperlink r:id="rId64">
        <w:r>
          <w:rPr>
            <w:rFonts w:ascii="Arial" w:cs="Arial" w:eastAsia="Arial" w:hAnsi="Arial"/>
            <w:sz w:val="18"/>
            <w:szCs w:val="18"/>
            <w:u w:val="single" w:color="auto"/>
            <w:color w:val="0000FF"/>
          </w:rPr>
          <w:t>10.27†</w:t>
        </w:r>
      </w:hyperlink>
      <w:r>
        <w:rPr>
          <w:rFonts w:ascii="Arial" w:cs="Arial" w:eastAsia="Arial" w:hAnsi="Arial"/>
          <w:sz w:val="18"/>
          <w:szCs w:val="18"/>
          <w:color w:val="0000FF"/>
        </w:rPr>
        <w:tab/>
        <w:t>Description of 2018 Long Term Incentive Plan, incorporated by reference to Exhibit 10.1 of the Company’s Current Report on Form 8-K, filed on March 16, 2018</w:t>
      </w:r>
    </w:p>
    <w:p>
      <w:pPr>
        <w:sectPr>
          <w:pgSz w:w="11900" w:h="16838" w:orient="portrait"/>
          <w:cols w:equalWidth="0" w:num="1">
            <w:col w:w="11320"/>
          </w:cols>
          <w:pgMar w:left="280" w:top="827" w:right="2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320"/>
          </w:cols>
          <w:pgMar w:left="280" w:top="827" w:right="299" w:bottom="1440" w:gutter="0" w:footer="0" w:header="0"/>
          <w:type w:val="continuous"/>
        </w:sectPr>
      </w:pPr>
    </w:p>
    <w:bookmarkStart w:id="52" w:name="page53"/>
    <w:bookmarkEnd w:id="52"/>
    <w:p>
      <w:pPr>
        <w:ind w:left="920" w:right="40" w:hanging="917"/>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hyperlink r:id="rId66">
        <w:r>
          <w:rPr>
            <w:rFonts w:ascii="Arial" w:cs="Arial" w:eastAsia="Arial" w:hAnsi="Arial"/>
            <w:sz w:val="18"/>
            <w:szCs w:val="18"/>
            <w:u w:val="single" w:color="auto"/>
            <w:color w:val="0000FF"/>
          </w:rPr>
          <w:t>10.28†</w:t>
        </w:r>
      </w:hyperlink>
      <w:r>
        <w:rPr>
          <w:rFonts w:ascii="Arial" w:cs="Arial" w:eastAsia="Arial" w:hAnsi="Arial"/>
          <w:sz w:val="18"/>
          <w:szCs w:val="18"/>
          <w:color w:val="0000FF"/>
        </w:rPr>
        <w:tab/>
        <w:t>Form of 2018 Long Term Incentive Plan RSU Award Agreement, incorporated by reference to Exhibit 10.2 of the Company’s Current Report on Form 8-K, filed on March 16, 2018</w:t>
      </w:r>
    </w:p>
    <w:p>
      <w:pPr>
        <w:spacing w:after="0" w:line="8" w:lineRule="exact"/>
        <w:rPr>
          <w:sz w:val="20"/>
          <w:szCs w:val="20"/>
          <w:color w:val="auto"/>
        </w:rPr>
      </w:pPr>
    </w:p>
    <w:p>
      <w:pPr>
        <w:ind w:left="920" w:right="40" w:hanging="917"/>
        <w:spacing w:after="0" w:line="277" w:lineRule="auto"/>
        <w:tabs>
          <w:tab w:leader="none" w:pos="900" w:val="left"/>
        </w:tabs>
        <w:rPr>
          <w:rFonts w:ascii="Arial" w:cs="Arial" w:eastAsia="Arial" w:hAnsi="Arial"/>
          <w:sz w:val="18"/>
          <w:szCs w:val="18"/>
          <w:color w:val="0000FF"/>
        </w:rPr>
      </w:pPr>
      <w:hyperlink r:id="rId67">
        <w:r>
          <w:rPr>
            <w:rFonts w:ascii="Arial" w:cs="Arial" w:eastAsia="Arial" w:hAnsi="Arial"/>
            <w:sz w:val="18"/>
            <w:szCs w:val="18"/>
            <w:u w:val="single" w:color="auto"/>
            <w:color w:val="0000FF"/>
          </w:rPr>
          <w:t>10.29†</w:t>
        </w:r>
      </w:hyperlink>
      <w:r>
        <w:rPr>
          <w:rFonts w:ascii="Arial" w:cs="Arial" w:eastAsia="Arial" w:hAnsi="Arial"/>
          <w:sz w:val="18"/>
          <w:szCs w:val="18"/>
          <w:color w:val="0000FF"/>
        </w:rPr>
        <w:tab/>
        <w:t>Form of 2018 Long Term Incentive Plan SAR Award Agreement, incorporated by reference to Exhibit 10.3 of the Company’s Current Report on Form 8-K, filed on March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120" w:hanging="917"/>
        <w:spacing w:after="0" w:line="277" w:lineRule="auto"/>
        <w:tabs>
          <w:tab w:leader="none" w:pos="900" w:val="left"/>
        </w:tabs>
        <w:rPr>
          <w:rFonts w:ascii="Arial" w:cs="Arial" w:eastAsia="Arial" w:hAnsi="Arial"/>
          <w:sz w:val="18"/>
          <w:szCs w:val="18"/>
          <w:color w:val="0000FF"/>
        </w:rPr>
      </w:pPr>
      <w:hyperlink r:id="rId69">
        <w:r>
          <w:rPr>
            <w:rFonts w:ascii="Arial" w:cs="Arial" w:eastAsia="Arial" w:hAnsi="Arial"/>
            <w:sz w:val="18"/>
            <w:szCs w:val="18"/>
            <w:u w:val="single" w:color="auto"/>
            <w:color w:val="0000FF"/>
          </w:rPr>
          <w:t>10.30†</w:t>
        </w:r>
      </w:hyperlink>
      <w:r>
        <w:rPr>
          <w:rFonts w:ascii="Arial" w:cs="Arial" w:eastAsia="Arial" w:hAnsi="Arial"/>
          <w:sz w:val="18"/>
          <w:szCs w:val="18"/>
          <w:color w:val="0000FF"/>
        </w:rPr>
        <w:tab/>
        <w:t>Form of 2018 Long Term Incentive Plan PSU Award Agreement (rTSR condition), incorporated by reference to Exhibit 10.4 of the Company’s Current Report on Form 8-K, filed on March 16, 2018</w:t>
      </w:r>
    </w:p>
    <w:p>
      <w:pPr>
        <w:spacing w:after="0" w:line="8" w:lineRule="exact"/>
        <w:rPr>
          <w:sz w:val="20"/>
          <w:szCs w:val="20"/>
          <w:color w:val="auto"/>
        </w:rPr>
      </w:pPr>
    </w:p>
    <w:p>
      <w:pPr>
        <w:ind w:left="920" w:right="200" w:hanging="917"/>
        <w:spacing w:after="0" w:line="277" w:lineRule="auto"/>
        <w:tabs>
          <w:tab w:leader="none" w:pos="900" w:val="left"/>
        </w:tabs>
        <w:rPr>
          <w:rFonts w:ascii="Arial" w:cs="Arial" w:eastAsia="Arial" w:hAnsi="Arial"/>
          <w:sz w:val="18"/>
          <w:szCs w:val="18"/>
          <w:color w:val="0000FF"/>
        </w:rPr>
      </w:pPr>
      <w:hyperlink r:id="rId70">
        <w:r>
          <w:rPr>
            <w:rFonts w:ascii="Arial" w:cs="Arial" w:eastAsia="Arial" w:hAnsi="Arial"/>
            <w:sz w:val="18"/>
            <w:szCs w:val="18"/>
            <w:u w:val="single" w:color="auto"/>
            <w:color w:val="0000FF"/>
          </w:rPr>
          <w:t>10.31†</w:t>
        </w:r>
      </w:hyperlink>
      <w:r>
        <w:rPr>
          <w:rFonts w:ascii="Arial" w:cs="Arial" w:eastAsia="Arial" w:hAnsi="Arial"/>
          <w:sz w:val="18"/>
          <w:szCs w:val="18"/>
          <w:color w:val="0000FF"/>
        </w:rPr>
        <w:tab/>
        <w:t>Form of 2018 Long Term Incentive Plan PSU Award Agreement (FCF condition), incorporated by reference to Exhibit 10.5 of the Company’s Current Report on Form 8-K, filed on March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tabs>
          <w:tab w:leader="none" w:pos="900" w:val="left"/>
        </w:tabs>
        <w:rPr>
          <w:rFonts w:ascii="Arial" w:cs="Arial" w:eastAsia="Arial" w:hAnsi="Arial"/>
          <w:sz w:val="18"/>
          <w:szCs w:val="18"/>
          <w:color w:val="0000FF"/>
        </w:rPr>
      </w:pPr>
      <w:hyperlink r:id="rId72">
        <w:r>
          <w:rPr>
            <w:rFonts w:ascii="Arial" w:cs="Arial" w:eastAsia="Arial" w:hAnsi="Arial"/>
            <w:sz w:val="18"/>
            <w:szCs w:val="18"/>
            <w:u w:val="single" w:color="auto"/>
            <w:color w:val="0000FF"/>
          </w:rPr>
          <w:t>10.32†</w:t>
        </w:r>
      </w:hyperlink>
      <w:r>
        <w:rPr>
          <w:rFonts w:ascii="Arial" w:cs="Arial" w:eastAsia="Arial" w:hAnsi="Arial"/>
          <w:sz w:val="18"/>
          <w:szCs w:val="18"/>
          <w:color w:val="0000FF"/>
        </w:rPr>
        <w:tab/>
      </w:r>
      <w:r>
        <w:rPr>
          <w:rFonts w:ascii="Arial" w:cs="Arial" w:eastAsia="Arial" w:hAnsi="Arial"/>
          <w:sz w:val="16"/>
          <w:szCs w:val="16"/>
          <w:color w:val="0000FF"/>
        </w:rPr>
        <w:t>2018 Director RSU Agreement, incorporated by reference to Exhibit 10.1 of the Company’s Current Report on Form 8-K, filed on June 15, 2018</w:t>
      </w:r>
    </w:p>
    <w:p>
      <w:pPr>
        <w:spacing w:after="0" w:line="63" w:lineRule="exact"/>
        <w:rPr>
          <w:sz w:val="20"/>
          <w:szCs w:val="20"/>
          <w:color w:val="auto"/>
        </w:rPr>
      </w:pPr>
    </w:p>
    <w:p>
      <w:pPr>
        <w:ind w:left="920" w:right="220" w:hanging="917"/>
        <w:spacing w:after="0" w:line="277" w:lineRule="auto"/>
        <w:tabs>
          <w:tab w:leader="none" w:pos="900" w:val="left"/>
        </w:tabs>
        <w:rPr>
          <w:rFonts w:ascii="Arial" w:cs="Arial" w:eastAsia="Arial" w:hAnsi="Arial"/>
          <w:sz w:val="18"/>
          <w:szCs w:val="18"/>
          <w:color w:val="0000FF"/>
        </w:rPr>
      </w:pPr>
      <w:hyperlink r:id="rId73">
        <w:r>
          <w:rPr>
            <w:rFonts w:ascii="Arial" w:cs="Arial" w:eastAsia="Arial" w:hAnsi="Arial"/>
            <w:sz w:val="18"/>
            <w:szCs w:val="18"/>
            <w:u w:val="single" w:color="auto"/>
            <w:color w:val="0000FF"/>
          </w:rPr>
          <w:t>10.33†</w:t>
        </w:r>
      </w:hyperlink>
      <w:r>
        <w:rPr>
          <w:rFonts w:ascii="Arial" w:cs="Arial" w:eastAsia="Arial" w:hAnsi="Arial"/>
          <w:sz w:val="18"/>
          <w:szCs w:val="18"/>
          <w:color w:val="0000FF"/>
        </w:rPr>
        <w:tab/>
        <w:t>General Provisions of the Company’s Global Employee Share Purchase Plan dated 12 June 2018, incorporated by reference to Exhibit 10.4 of the Company’s Quarterly Report on Form 10-Q for the quarter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400" w:hanging="917"/>
        <w:spacing w:after="0" w:line="277" w:lineRule="auto"/>
        <w:tabs>
          <w:tab w:leader="none" w:pos="900" w:val="left"/>
        </w:tabs>
        <w:rPr>
          <w:rFonts w:ascii="Arial" w:cs="Arial" w:eastAsia="Arial" w:hAnsi="Arial"/>
          <w:sz w:val="18"/>
          <w:szCs w:val="18"/>
          <w:color w:val="0000FF"/>
        </w:rPr>
      </w:pPr>
      <w:hyperlink r:id="rId75">
        <w:r>
          <w:rPr>
            <w:rFonts w:ascii="Arial" w:cs="Arial" w:eastAsia="Arial" w:hAnsi="Arial"/>
            <w:sz w:val="18"/>
            <w:szCs w:val="18"/>
            <w:u w:val="single" w:color="auto"/>
            <w:color w:val="0000FF"/>
          </w:rPr>
          <w:t>10.34†</w:t>
        </w:r>
      </w:hyperlink>
      <w:r>
        <w:rPr>
          <w:rFonts w:ascii="Arial" w:cs="Arial" w:eastAsia="Arial" w:hAnsi="Arial"/>
          <w:sz w:val="18"/>
          <w:szCs w:val="18"/>
          <w:color w:val="0000FF"/>
        </w:rPr>
        <w:tab/>
        <w:t>Form of Letter of Appointment as Non-Executive Director, dated 18 July 2018, incorporated by reference to Exhibit 10.5 of the Company’s Quarterly Report on Form 10-Q for the quarter ended June 30, 2018</w:t>
      </w:r>
    </w:p>
    <w:p>
      <w:pPr>
        <w:spacing w:after="0" w:line="8" w:lineRule="exact"/>
        <w:rPr>
          <w:sz w:val="20"/>
          <w:szCs w:val="20"/>
          <w:color w:val="auto"/>
        </w:rPr>
      </w:pPr>
    </w:p>
    <w:p>
      <w:pPr>
        <w:ind w:left="920" w:right="300" w:hanging="917"/>
        <w:spacing w:after="0" w:line="277" w:lineRule="auto"/>
        <w:tabs>
          <w:tab w:leader="none" w:pos="900" w:val="left"/>
        </w:tabs>
        <w:rPr>
          <w:rFonts w:ascii="Arial" w:cs="Arial" w:eastAsia="Arial" w:hAnsi="Arial"/>
          <w:sz w:val="18"/>
          <w:szCs w:val="18"/>
          <w:color w:val="0000FF"/>
        </w:rPr>
      </w:pPr>
      <w:hyperlink r:id="rId76">
        <w:r>
          <w:rPr>
            <w:rFonts w:ascii="Arial" w:cs="Arial" w:eastAsia="Arial" w:hAnsi="Arial"/>
            <w:sz w:val="18"/>
            <w:szCs w:val="18"/>
            <w:u w:val="single" w:color="auto"/>
            <w:color w:val="0000FF"/>
          </w:rPr>
          <w:t>10.35†</w:t>
        </w:r>
      </w:hyperlink>
      <w:r>
        <w:rPr>
          <w:rFonts w:ascii="Arial" w:cs="Arial" w:eastAsia="Arial" w:hAnsi="Arial"/>
          <w:sz w:val="18"/>
          <w:szCs w:val="18"/>
          <w:color w:val="0000FF"/>
        </w:rPr>
        <w:tab/>
        <w:t>2019 LivaNova Short-Term Incentive Plan approved February 20, 2019, incorporated by reference to Exhibit 10.1 of the Company’s Current Report on Form 8-K/A, filed on March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134620</wp:posOffset>
            </wp:positionV>
            <wp:extent cx="7246620" cy="582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7">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04" w:lineRule="exact"/>
        <w:rPr>
          <w:sz w:val="20"/>
          <w:szCs w:val="20"/>
          <w:color w:val="auto"/>
        </w:rPr>
      </w:pPr>
    </w:p>
    <w:p>
      <w:pPr>
        <w:spacing w:after="0"/>
        <w:tabs>
          <w:tab w:leader="none" w:pos="900" w:val="left"/>
        </w:tabs>
        <w:rPr>
          <w:rFonts w:ascii="Arial" w:cs="Arial" w:eastAsia="Arial" w:hAnsi="Arial"/>
          <w:sz w:val="18"/>
          <w:szCs w:val="18"/>
          <w:color w:val="0000FF"/>
        </w:rPr>
      </w:pPr>
      <w:hyperlink r:id="rId78">
        <w:r>
          <w:rPr>
            <w:rFonts w:ascii="Arial" w:cs="Arial" w:eastAsia="Arial" w:hAnsi="Arial"/>
            <w:sz w:val="18"/>
            <w:szCs w:val="18"/>
            <w:u w:val="single" w:color="auto"/>
            <w:color w:val="0000FF"/>
          </w:rPr>
          <w:t>10.36</w:t>
        </w:r>
      </w:hyperlink>
      <w:r>
        <w:rPr>
          <w:rFonts w:ascii="Arial" w:cs="Arial" w:eastAsia="Arial" w:hAnsi="Arial"/>
          <w:sz w:val="18"/>
          <w:szCs w:val="18"/>
          <w:color w:val="0000FF"/>
        </w:rPr>
        <w:tab/>
      </w:r>
      <w:r>
        <w:rPr>
          <w:rFonts w:ascii="Arial" w:cs="Arial" w:eastAsia="Arial" w:hAnsi="Arial"/>
          <w:sz w:val="16"/>
          <w:szCs w:val="16"/>
          <w:color w:val="0000FF"/>
        </w:rPr>
        <w:t>US$350 million multicurrency term facilities agreement dated March 26, 2019, by and among LivaNova PLC, the</w:t>
      </w:r>
    </w:p>
    <w:p>
      <w:pPr>
        <w:spacing w:after="0" w:line="23" w:lineRule="exact"/>
        <w:rPr>
          <w:sz w:val="20"/>
          <w:szCs w:val="20"/>
          <w:color w:val="auto"/>
        </w:rPr>
      </w:pPr>
    </w:p>
    <w:p>
      <w:pPr>
        <w:ind w:left="920" w:right="380"/>
        <w:spacing w:after="0" w:line="261" w:lineRule="auto"/>
        <w:rPr>
          <w:sz w:val="20"/>
          <w:szCs w:val="20"/>
          <w:color w:val="auto"/>
        </w:rPr>
      </w:pPr>
      <w:r>
        <w:rPr>
          <w:rFonts w:ascii="Arial" w:cs="Arial" w:eastAsia="Arial" w:hAnsi="Arial"/>
          <w:sz w:val="18"/>
          <w:szCs w:val="18"/>
          <w:color w:val="auto"/>
        </w:rPr>
        <w:t>lenders, arrangers and bookrunners, documentation agent and co-ordinator parties thereto and Barclays Bank PLC as agent, incorporated by reference to Exhibit 10.1 of the Company’s Current Report on Form 8-K, filed March 29, 2019</w:t>
      </w:r>
    </w:p>
    <w:p>
      <w:pPr>
        <w:spacing w:after="0" w:line="238" w:lineRule="exact"/>
        <w:rPr>
          <w:sz w:val="20"/>
          <w:szCs w:val="20"/>
          <w:color w:val="auto"/>
        </w:rPr>
      </w:pPr>
    </w:p>
    <w:p>
      <w:pPr>
        <w:ind w:left="920" w:right="2120" w:hanging="917"/>
        <w:spacing w:after="0" w:line="277" w:lineRule="auto"/>
        <w:tabs>
          <w:tab w:leader="none" w:pos="900" w:val="left"/>
        </w:tabs>
        <w:rPr>
          <w:rFonts w:ascii="Arial" w:cs="Arial" w:eastAsia="Arial" w:hAnsi="Arial"/>
          <w:sz w:val="18"/>
          <w:szCs w:val="18"/>
          <w:color w:val="0000FF"/>
        </w:rPr>
      </w:pPr>
      <w:hyperlink r:id="rId79">
        <w:r>
          <w:rPr>
            <w:rFonts w:ascii="Arial" w:cs="Arial" w:eastAsia="Arial" w:hAnsi="Arial"/>
            <w:sz w:val="18"/>
            <w:szCs w:val="18"/>
            <w:u w:val="single" w:color="auto"/>
            <w:color w:val="0000FF"/>
          </w:rPr>
          <w:t>10.37†</w:t>
        </w:r>
      </w:hyperlink>
      <w:r>
        <w:rPr>
          <w:rFonts w:ascii="Arial" w:cs="Arial" w:eastAsia="Arial" w:hAnsi="Arial"/>
          <w:sz w:val="18"/>
          <w:szCs w:val="18"/>
          <w:color w:val="0000FF"/>
        </w:rPr>
        <w:tab/>
        <w:t>Description of 2019 Long Term Incentive Plan approved March 29, 2019, incorporated by reference to Exhibit 10.1 of the Company’s Current Report on Form 8-K, filed on 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134620</wp:posOffset>
            </wp:positionV>
            <wp:extent cx="724662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4" w:lineRule="exact"/>
        <w:rPr>
          <w:sz w:val="20"/>
          <w:szCs w:val="20"/>
          <w:color w:val="auto"/>
        </w:rPr>
      </w:pPr>
    </w:p>
    <w:p>
      <w:pPr>
        <w:ind w:left="920" w:right="260" w:hanging="917"/>
        <w:spacing w:after="0" w:line="277" w:lineRule="auto"/>
        <w:tabs>
          <w:tab w:leader="none" w:pos="900" w:val="left"/>
        </w:tabs>
        <w:rPr>
          <w:rFonts w:ascii="Arial" w:cs="Arial" w:eastAsia="Arial" w:hAnsi="Arial"/>
          <w:sz w:val="18"/>
          <w:szCs w:val="18"/>
          <w:color w:val="0000FF"/>
        </w:rPr>
      </w:pPr>
      <w:hyperlink r:id="rId81">
        <w:r>
          <w:rPr>
            <w:rFonts w:ascii="Arial" w:cs="Arial" w:eastAsia="Arial" w:hAnsi="Arial"/>
            <w:sz w:val="18"/>
            <w:szCs w:val="18"/>
            <w:u w:val="single" w:color="auto"/>
            <w:color w:val="0000FF"/>
          </w:rPr>
          <w:t>10.38†</w:t>
        </w:r>
      </w:hyperlink>
      <w:r>
        <w:rPr>
          <w:rFonts w:ascii="Arial" w:cs="Arial" w:eastAsia="Arial" w:hAnsi="Arial"/>
          <w:sz w:val="18"/>
          <w:szCs w:val="18"/>
          <w:color w:val="0000FF"/>
        </w:rPr>
        <w:tab/>
        <w:t>Form of the Company’s 2019 Long Term Incentive Plan RSU Award Agreement, incorporated by reference to Exhibit 10.2 of the Company’s Current Report on Form 8-K, filed on April 1, 2019</w:t>
      </w:r>
    </w:p>
    <w:p>
      <w:pPr>
        <w:spacing w:after="0" w:line="224" w:lineRule="exact"/>
        <w:rPr>
          <w:sz w:val="20"/>
          <w:szCs w:val="20"/>
          <w:color w:val="auto"/>
        </w:rPr>
      </w:pPr>
    </w:p>
    <w:p>
      <w:pPr>
        <w:ind w:left="920" w:right="260" w:hanging="917"/>
        <w:spacing w:after="0" w:line="277" w:lineRule="auto"/>
        <w:tabs>
          <w:tab w:leader="none" w:pos="900" w:val="left"/>
        </w:tabs>
        <w:rPr>
          <w:rFonts w:ascii="Arial" w:cs="Arial" w:eastAsia="Arial" w:hAnsi="Arial"/>
          <w:sz w:val="18"/>
          <w:szCs w:val="18"/>
          <w:color w:val="0000FF"/>
        </w:rPr>
      </w:pPr>
      <w:hyperlink r:id="rId82">
        <w:r>
          <w:rPr>
            <w:rFonts w:ascii="Arial" w:cs="Arial" w:eastAsia="Arial" w:hAnsi="Arial"/>
            <w:sz w:val="18"/>
            <w:szCs w:val="18"/>
            <w:u w:val="single" w:color="auto"/>
            <w:color w:val="0000FF"/>
          </w:rPr>
          <w:t>10.39†</w:t>
        </w:r>
      </w:hyperlink>
      <w:r>
        <w:rPr>
          <w:rFonts w:ascii="Arial" w:cs="Arial" w:eastAsia="Arial" w:hAnsi="Arial"/>
          <w:sz w:val="18"/>
          <w:szCs w:val="18"/>
          <w:color w:val="0000FF"/>
        </w:rPr>
        <w:tab/>
        <w:t>Form of the Company’s 2019 Long Term Incentive Plan SAR Award Agreement, incorporated by reference to Exhibit 10.3 of the Company’s Current Report on Form 8-K, filed on 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134620</wp:posOffset>
            </wp:positionV>
            <wp:extent cx="724662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4" w:lineRule="exact"/>
        <w:rPr>
          <w:sz w:val="20"/>
          <w:szCs w:val="20"/>
          <w:color w:val="auto"/>
        </w:rPr>
      </w:pPr>
    </w:p>
    <w:p>
      <w:pPr>
        <w:ind w:left="920" w:right="2160" w:hanging="917"/>
        <w:spacing w:after="0" w:line="308" w:lineRule="auto"/>
        <w:tabs>
          <w:tab w:leader="none" w:pos="900" w:val="left"/>
        </w:tabs>
        <w:rPr>
          <w:rFonts w:ascii="Arial" w:cs="Arial" w:eastAsia="Arial" w:hAnsi="Arial"/>
          <w:sz w:val="18"/>
          <w:szCs w:val="18"/>
          <w:color w:val="0000FF"/>
        </w:rPr>
      </w:pPr>
      <w:hyperlink r:id="rId84">
        <w:r>
          <w:rPr>
            <w:rFonts w:ascii="Arial" w:cs="Arial" w:eastAsia="Arial" w:hAnsi="Arial"/>
            <w:sz w:val="18"/>
            <w:szCs w:val="18"/>
            <w:u w:val="single" w:color="auto"/>
            <w:color w:val="0000FF"/>
          </w:rPr>
          <w:t>10.40†</w:t>
        </w:r>
      </w:hyperlink>
      <w:r>
        <w:rPr>
          <w:rFonts w:ascii="Arial" w:cs="Arial" w:eastAsia="Arial" w:hAnsi="Arial"/>
          <w:sz w:val="18"/>
          <w:szCs w:val="18"/>
          <w:color w:val="0000FF"/>
        </w:rPr>
        <w:tab/>
      </w:r>
      <w:r>
        <w:rPr>
          <w:rFonts w:ascii="Arial" w:cs="Arial" w:eastAsia="Arial" w:hAnsi="Arial"/>
          <w:sz w:val="17"/>
          <w:szCs w:val="17"/>
          <w:color w:val="0000FF"/>
        </w:rPr>
        <w:t>Form of the Company’s 2019 Long Term Incentive Plan PSU Award Agreement (rTSR condition), incorporated by reference to Exhibit 10.4 of the Company’s Current Report on Form 8-K, filed on April 1, 2019</w:t>
      </w:r>
    </w:p>
    <w:p>
      <w:pPr>
        <w:spacing w:after="0" w:line="201" w:lineRule="exact"/>
        <w:rPr>
          <w:sz w:val="20"/>
          <w:szCs w:val="20"/>
          <w:color w:val="auto"/>
        </w:rPr>
      </w:pPr>
    </w:p>
    <w:p>
      <w:pPr>
        <w:ind w:left="920" w:right="2220" w:hanging="917"/>
        <w:spacing w:after="0" w:line="342" w:lineRule="auto"/>
        <w:tabs>
          <w:tab w:leader="none" w:pos="900" w:val="left"/>
        </w:tabs>
        <w:rPr>
          <w:rFonts w:ascii="Arial" w:cs="Arial" w:eastAsia="Arial" w:hAnsi="Arial"/>
          <w:sz w:val="18"/>
          <w:szCs w:val="18"/>
          <w:color w:val="0000FF"/>
        </w:rPr>
      </w:pPr>
      <w:hyperlink r:id="rId85">
        <w:r>
          <w:rPr>
            <w:rFonts w:ascii="Arial" w:cs="Arial" w:eastAsia="Arial" w:hAnsi="Arial"/>
            <w:sz w:val="18"/>
            <w:szCs w:val="18"/>
            <w:u w:val="single" w:color="auto"/>
            <w:color w:val="0000FF"/>
          </w:rPr>
          <w:t>10.41†</w:t>
        </w:r>
      </w:hyperlink>
      <w:r>
        <w:rPr>
          <w:rFonts w:ascii="Arial" w:cs="Arial" w:eastAsia="Arial" w:hAnsi="Arial"/>
          <w:sz w:val="18"/>
          <w:szCs w:val="18"/>
          <w:color w:val="0000FF"/>
        </w:rPr>
        <w:tab/>
      </w:r>
      <w:r>
        <w:rPr>
          <w:rFonts w:ascii="Arial" w:cs="Arial" w:eastAsia="Arial" w:hAnsi="Arial"/>
          <w:sz w:val="16"/>
          <w:szCs w:val="16"/>
          <w:color w:val="0000FF"/>
        </w:rPr>
        <w:t>Form of the Company’s 2019 Long Term Incentive Plan PSU Award Agreement (FCF condition), incorporated by reference to Exhibit 10.5 of the Company’s Current Report on Form 8-K, filed on 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104775</wp:posOffset>
            </wp:positionV>
            <wp:extent cx="7246620"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58" w:lineRule="exact"/>
        <w:rPr>
          <w:sz w:val="20"/>
          <w:szCs w:val="20"/>
          <w:color w:val="auto"/>
        </w:rPr>
      </w:pPr>
    </w:p>
    <w:p>
      <w:pPr>
        <w:ind w:left="920" w:right="2240" w:hanging="917"/>
        <w:spacing w:after="0" w:line="342" w:lineRule="auto"/>
        <w:tabs>
          <w:tab w:leader="none" w:pos="900" w:val="left"/>
        </w:tabs>
        <w:rPr>
          <w:rFonts w:ascii="Arial" w:cs="Arial" w:eastAsia="Arial" w:hAnsi="Arial"/>
          <w:sz w:val="18"/>
          <w:szCs w:val="18"/>
          <w:color w:val="0000FF"/>
        </w:rPr>
      </w:pPr>
      <w:hyperlink r:id="rId87">
        <w:r>
          <w:rPr>
            <w:rFonts w:ascii="Arial" w:cs="Arial" w:eastAsia="Arial" w:hAnsi="Arial"/>
            <w:sz w:val="18"/>
            <w:szCs w:val="18"/>
            <w:u w:val="single" w:color="auto"/>
            <w:color w:val="0000FF"/>
          </w:rPr>
          <w:t>10.42†</w:t>
        </w:r>
      </w:hyperlink>
      <w:r>
        <w:rPr>
          <w:rFonts w:ascii="Arial" w:cs="Arial" w:eastAsia="Arial" w:hAnsi="Arial"/>
          <w:sz w:val="18"/>
          <w:szCs w:val="18"/>
          <w:color w:val="0000FF"/>
        </w:rPr>
        <w:tab/>
      </w:r>
      <w:r>
        <w:rPr>
          <w:rFonts w:ascii="Arial" w:cs="Arial" w:eastAsia="Arial" w:hAnsi="Arial"/>
          <w:sz w:val="16"/>
          <w:szCs w:val="16"/>
          <w:color w:val="0000FF"/>
        </w:rPr>
        <w:t>Service Agreement, dated February 28, 2017, between Alistair Simpson and LivaNova PLC, incorporated by reference to Exhibit 10.9 of the Company’s Quarterly Report on Form 10-Q for the quarter ended March 31, 2019</w:t>
      </w:r>
    </w:p>
    <w:p>
      <w:pPr>
        <w:spacing w:after="0" w:line="178" w:lineRule="exact"/>
        <w:rPr>
          <w:sz w:val="20"/>
          <w:szCs w:val="20"/>
          <w:color w:val="auto"/>
        </w:rPr>
      </w:pPr>
    </w:p>
    <w:p>
      <w:pPr>
        <w:jc w:val="center"/>
        <w:ind w:right="2100"/>
        <w:spacing w:after="0" w:line="277" w:lineRule="auto"/>
        <w:rPr>
          <w:rFonts w:ascii="Arial" w:cs="Arial" w:eastAsia="Arial" w:hAnsi="Arial"/>
          <w:sz w:val="18"/>
          <w:szCs w:val="18"/>
          <w:color w:val="0000FF"/>
        </w:rPr>
      </w:pPr>
      <w:hyperlink r:id="rId88">
        <w:r>
          <w:rPr>
            <w:rFonts w:ascii="Arial" w:cs="Arial" w:eastAsia="Arial" w:hAnsi="Arial"/>
            <w:sz w:val="18"/>
            <w:szCs w:val="18"/>
            <w:u w:val="single" w:color="auto"/>
            <w:color w:val="0000FF"/>
          </w:rPr>
          <w:t>10.43†</w:t>
        </w:r>
        <w:r>
          <w:rPr>
            <w:rFonts w:ascii="Arial" w:cs="Arial" w:eastAsia="Arial" w:hAnsi="Arial"/>
            <w:sz w:val="18"/>
            <w:szCs w:val="18"/>
            <w:color w:val="0000FF"/>
          </w:rPr>
          <w:t xml:space="preserve">     </w:t>
        </w:r>
      </w:hyperlink>
      <w:r>
        <w:rPr>
          <w:rFonts w:ascii="Arial" w:cs="Arial" w:eastAsia="Arial" w:hAnsi="Arial"/>
          <w:sz w:val="18"/>
          <w:szCs w:val="18"/>
          <w:color w:val="000000"/>
        </w:rPr>
        <w:t>Service</w:t>
      </w:r>
      <w:r>
        <w:rPr>
          <w:rFonts w:ascii="Arial" w:cs="Arial" w:eastAsia="Arial" w:hAnsi="Arial"/>
          <w:sz w:val="18"/>
          <w:szCs w:val="18"/>
          <w:color w:val="0000FF"/>
        </w:rPr>
        <w:t xml:space="preserve"> </w:t>
      </w:r>
      <w:r>
        <w:rPr>
          <w:rFonts w:ascii="Arial" w:cs="Arial" w:eastAsia="Arial" w:hAnsi="Arial"/>
          <w:sz w:val="18"/>
          <w:szCs w:val="18"/>
          <w:color w:val="000000"/>
        </w:rPr>
        <w:t>Agreement, dated January 2, 2019, between Trui Hebbelinck and LivaNova PLC, incorporated by reference</w:t>
      </w:r>
      <w:r>
        <w:rPr>
          <w:rFonts w:ascii="Arial" w:cs="Arial" w:eastAsia="Arial" w:hAnsi="Arial"/>
          <w:sz w:val="18"/>
          <w:szCs w:val="18"/>
          <w:color w:val="0000FF"/>
        </w:rPr>
        <w:t xml:space="preserve"> </w:t>
      </w:r>
      <w:r>
        <w:rPr>
          <w:rFonts w:ascii="Arial" w:cs="Arial" w:eastAsia="Arial" w:hAnsi="Arial"/>
          <w:sz w:val="18"/>
          <w:szCs w:val="18"/>
          <w:color w:val="000000"/>
        </w:rPr>
        <w:t>to Exhibit 10.1 of the Company’s Quarterly Report on Form 10-Q for the quarter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134620</wp:posOffset>
            </wp:positionV>
            <wp:extent cx="7246620" cy="582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9">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04" w:lineRule="exact"/>
        <w:rPr>
          <w:sz w:val="20"/>
          <w:szCs w:val="20"/>
          <w:color w:val="auto"/>
        </w:rPr>
      </w:pPr>
    </w:p>
    <w:p>
      <w:pPr>
        <w:ind w:left="920" w:right="2080" w:hanging="917"/>
        <w:spacing w:after="0" w:line="312" w:lineRule="auto"/>
        <w:tabs>
          <w:tab w:leader="none" w:pos="900" w:val="left"/>
        </w:tabs>
        <w:rPr>
          <w:rFonts w:ascii="Arial" w:cs="Arial" w:eastAsia="Arial" w:hAnsi="Arial"/>
          <w:sz w:val="18"/>
          <w:szCs w:val="18"/>
          <w:color w:val="0000FF"/>
        </w:rPr>
      </w:pPr>
      <w:hyperlink r:id="rId90">
        <w:r>
          <w:rPr>
            <w:rFonts w:ascii="Arial" w:cs="Arial" w:eastAsia="Arial" w:hAnsi="Arial"/>
            <w:sz w:val="18"/>
            <w:szCs w:val="18"/>
            <w:u w:val="single" w:color="auto"/>
            <w:color w:val="0000FF"/>
          </w:rPr>
          <w:t>10.44</w:t>
        </w:r>
      </w:hyperlink>
      <w:r>
        <w:rPr>
          <w:rFonts w:ascii="Arial" w:cs="Arial" w:eastAsia="Arial" w:hAnsi="Arial"/>
          <w:sz w:val="18"/>
          <w:szCs w:val="18"/>
          <w:color w:val="0000FF"/>
        </w:rPr>
        <w:tab/>
      </w:r>
      <w:r>
        <w:rPr>
          <w:rFonts w:ascii="Arial" w:cs="Arial" w:eastAsia="Arial" w:hAnsi="Arial"/>
          <w:sz w:val="16"/>
          <w:szCs w:val="16"/>
          <w:color w:val="0000FF"/>
        </w:rPr>
        <w:t>Amendment and Restatement Agreement, dated June 6, 2019, in relation to the Finance Contract originally dated May 6, 2014, between the European Investment Bank, Sorin Group Italia S.r.l., and LivaNova PLC, incorporated by reference to Exhibit 10.2 of the Company’s Quarterly Report on Form 10-Q for the quarter ended June 30, 2019</w:t>
      </w:r>
    </w:p>
    <w:p>
      <w:pPr>
        <w:spacing w:after="0" w:line="201" w:lineRule="exact"/>
        <w:rPr>
          <w:sz w:val="20"/>
          <w:szCs w:val="20"/>
          <w:color w:val="auto"/>
        </w:rPr>
      </w:pPr>
    </w:p>
    <w:p>
      <w:pPr>
        <w:spacing w:after="0"/>
        <w:tabs>
          <w:tab w:leader="none" w:pos="900" w:val="left"/>
        </w:tabs>
        <w:rPr>
          <w:rFonts w:ascii="Arial" w:cs="Arial" w:eastAsia="Arial" w:hAnsi="Arial"/>
          <w:sz w:val="18"/>
          <w:szCs w:val="18"/>
          <w:color w:val="0000FF"/>
        </w:rPr>
      </w:pPr>
      <w:hyperlink r:id="rId91">
        <w:r>
          <w:rPr>
            <w:rFonts w:ascii="Arial" w:cs="Arial" w:eastAsia="Arial" w:hAnsi="Arial"/>
            <w:sz w:val="18"/>
            <w:szCs w:val="18"/>
            <w:u w:val="single" w:color="auto"/>
            <w:color w:val="0000FF"/>
          </w:rPr>
          <w:t>10.45</w:t>
        </w:r>
      </w:hyperlink>
      <w:r>
        <w:rPr>
          <w:rFonts w:ascii="Arial" w:cs="Arial" w:eastAsia="Arial" w:hAnsi="Arial"/>
          <w:sz w:val="18"/>
          <w:szCs w:val="18"/>
          <w:color w:val="0000FF"/>
        </w:rPr>
        <w:tab/>
      </w:r>
      <w:r>
        <w:rPr>
          <w:rFonts w:ascii="Arial" w:cs="Arial" w:eastAsia="Arial" w:hAnsi="Arial"/>
          <w:sz w:val="16"/>
          <w:szCs w:val="16"/>
          <w:color w:val="0000FF"/>
        </w:rPr>
        <w:t>Amendment and Restatement Agreement, dated June 6, 2019, in relation to the Finance Contract originally dated</w:t>
      </w:r>
    </w:p>
    <w:p>
      <w:pPr>
        <w:spacing w:after="0" w:line="23" w:lineRule="exact"/>
        <w:rPr>
          <w:sz w:val="20"/>
          <w:szCs w:val="20"/>
          <w:color w:val="auto"/>
        </w:rPr>
      </w:pPr>
    </w:p>
    <w:p>
      <w:pPr>
        <w:ind w:left="920" w:right="160"/>
        <w:spacing w:after="0" w:line="261" w:lineRule="auto"/>
        <w:rPr>
          <w:sz w:val="20"/>
          <w:szCs w:val="20"/>
          <w:color w:val="auto"/>
        </w:rPr>
      </w:pPr>
      <w:r>
        <w:rPr>
          <w:rFonts w:ascii="Arial" w:cs="Arial" w:eastAsia="Arial" w:hAnsi="Arial"/>
          <w:sz w:val="18"/>
          <w:szCs w:val="18"/>
          <w:color w:val="auto"/>
        </w:rPr>
        <w:t>June 29, 2017, between the European Investment Bank, Sorin Group Italia S.r.l., and LivaNova PLC, incorporated by reference to Exhibit 10.3 of the Company’s Quarterly Report on Form 10-Q for the quarter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142875</wp:posOffset>
            </wp:positionV>
            <wp:extent cx="724662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18" w:lineRule="exact"/>
        <w:rPr>
          <w:sz w:val="20"/>
          <w:szCs w:val="20"/>
          <w:color w:val="auto"/>
        </w:rPr>
      </w:pPr>
    </w:p>
    <w:p>
      <w:pPr>
        <w:spacing w:after="0"/>
        <w:tabs>
          <w:tab w:leader="none" w:pos="900" w:val="left"/>
        </w:tabs>
        <w:rPr>
          <w:rFonts w:ascii="Arial" w:cs="Arial" w:eastAsia="Arial" w:hAnsi="Arial"/>
          <w:sz w:val="18"/>
          <w:szCs w:val="18"/>
          <w:color w:val="0000FF"/>
        </w:rPr>
      </w:pPr>
      <w:hyperlink w:anchor="page127">
        <w:r>
          <w:rPr>
            <w:rFonts w:ascii="Arial" w:cs="Arial" w:eastAsia="Arial" w:hAnsi="Arial"/>
            <w:sz w:val="18"/>
            <w:szCs w:val="18"/>
            <w:u w:val="single" w:color="auto"/>
            <w:color w:val="0000FF"/>
          </w:rPr>
          <w:t>10.46*†</w:t>
        </w:r>
      </w:hyperlink>
      <w:r>
        <w:rPr>
          <w:rFonts w:ascii="Arial" w:cs="Arial" w:eastAsia="Arial" w:hAnsi="Arial"/>
          <w:sz w:val="18"/>
          <w:szCs w:val="18"/>
          <w:color w:val="0000FF"/>
        </w:rPr>
        <w:tab/>
      </w:r>
      <w:r>
        <w:rPr>
          <w:rFonts w:ascii="Arial" w:cs="Arial" w:eastAsia="Arial" w:hAnsi="Arial"/>
          <w:sz w:val="16"/>
          <w:szCs w:val="16"/>
          <w:color w:val="0000FF"/>
        </w:rPr>
        <w:t>Separation and Settlement Agreement, dated November 2019, between Alistair Simpson and LivaNova PLC</w:t>
      </w:r>
    </w:p>
    <w:p>
      <w:pPr>
        <w:spacing w:after="0" w:line="279" w:lineRule="exact"/>
        <w:rPr>
          <w:sz w:val="20"/>
          <w:szCs w:val="20"/>
          <w:color w:val="auto"/>
        </w:rPr>
      </w:pPr>
    </w:p>
    <w:p>
      <w:pPr>
        <w:spacing w:after="0"/>
        <w:tabs>
          <w:tab w:leader="none" w:pos="900" w:val="left"/>
        </w:tabs>
        <w:rPr>
          <w:rFonts w:ascii="Arial" w:cs="Arial" w:eastAsia="Arial" w:hAnsi="Arial"/>
          <w:sz w:val="18"/>
          <w:szCs w:val="18"/>
          <w:color w:val="0000FF"/>
        </w:rPr>
      </w:pPr>
      <w:hyperlink w:anchor="page141">
        <w:r>
          <w:rPr>
            <w:rFonts w:ascii="Arial" w:cs="Arial" w:eastAsia="Arial" w:hAnsi="Arial"/>
            <w:sz w:val="18"/>
            <w:szCs w:val="18"/>
            <w:u w:val="single" w:color="auto"/>
            <w:color w:val="0000FF"/>
          </w:rPr>
          <w:t>10.47*†</w:t>
        </w:r>
      </w:hyperlink>
      <w:r>
        <w:rPr>
          <w:rFonts w:ascii="Arial" w:cs="Arial" w:eastAsia="Arial" w:hAnsi="Arial"/>
          <w:sz w:val="18"/>
          <w:szCs w:val="18"/>
          <w:color w:val="0000FF"/>
        </w:rPr>
        <w:tab/>
      </w:r>
      <w:r>
        <w:rPr>
          <w:rFonts w:ascii="Arial" w:cs="Arial" w:eastAsia="Arial" w:hAnsi="Arial"/>
          <w:sz w:val="16"/>
          <w:szCs w:val="16"/>
          <w:color w:val="0000FF"/>
        </w:rPr>
        <w:t>Separation Agreement, dated December 2019, between Edward S. Andrle and LivaNova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920" w:right="400" w:hanging="917"/>
        <w:spacing w:after="0" w:line="277" w:lineRule="auto"/>
        <w:tabs>
          <w:tab w:leader="none" w:pos="900" w:val="left"/>
        </w:tabs>
        <w:rPr>
          <w:rFonts w:ascii="Arial" w:cs="Arial" w:eastAsia="Arial" w:hAnsi="Arial"/>
          <w:sz w:val="18"/>
          <w:szCs w:val="18"/>
          <w:color w:val="0000FF"/>
        </w:rPr>
      </w:pPr>
      <w:hyperlink r:id="rId94">
        <w:r>
          <w:rPr>
            <w:rFonts w:ascii="Arial" w:cs="Arial" w:eastAsia="Arial" w:hAnsi="Arial"/>
            <w:sz w:val="18"/>
            <w:szCs w:val="18"/>
            <w:u w:val="single" w:color="auto"/>
            <w:color w:val="0000FF"/>
          </w:rPr>
          <w:t>16.1</w:t>
        </w:r>
      </w:hyperlink>
      <w:r>
        <w:rPr>
          <w:rFonts w:ascii="Arial" w:cs="Arial" w:eastAsia="Arial" w:hAnsi="Arial"/>
          <w:sz w:val="18"/>
          <w:szCs w:val="18"/>
          <w:color w:val="0000FF"/>
        </w:rPr>
        <w:tab/>
        <w:t>Letter from PricewaterhouseCoopers SpA to the Securities and Exchange Commission, dated March 26, 2018, incorporated by reference to Exhibit 16.1 of the Company’s Current Report on Form 8-K, filed on March 26, 2018</w:t>
      </w:r>
    </w:p>
    <w:p>
      <w:pPr>
        <w:spacing w:after="0" w:line="8" w:lineRule="exact"/>
        <w:rPr>
          <w:sz w:val="20"/>
          <w:szCs w:val="20"/>
          <w:color w:val="auto"/>
        </w:rPr>
      </w:pPr>
    </w:p>
    <w:p>
      <w:pPr>
        <w:spacing w:after="0"/>
        <w:tabs>
          <w:tab w:leader="none" w:pos="900" w:val="left"/>
        </w:tabs>
        <w:rPr>
          <w:rFonts w:ascii="Arial" w:cs="Arial" w:eastAsia="Arial" w:hAnsi="Arial"/>
          <w:sz w:val="18"/>
          <w:szCs w:val="18"/>
          <w:color w:val="0000FF"/>
        </w:rPr>
      </w:pPr>
      <w:hyperlink w:anchor="page155">
        <w:r>
          <w:rPr>
            <w:rFonts w:ascii="Arial" w:cs="Arial" w:eastAsia="Arial" w:hAnsi="Arial"/>
            <w:sz w:val="18"/>
            <w:szCs w:val="18"/>
            <w:u w:val="single" w:color="auto"/>
            <w:color w:val="0000FF"/>
          </w:rPr>
          <w:t>21.1*</w:t>
        </w:r>
      </w:hyperlink>
      <w:r>
        <w:rPr>
          <w:rFonts w:ascii="Arial" w:cs="Arial" w:eastAsia="Arial" w:hAnsi="Arial"/>
          <w:sz w:val="18"/>
          <w:szCs w:val="18"/>
          <w:color w:val="0000FF"/>
        </w:rPr>
        <w:tab/>
      </w:r>
      <w:r>
        <w:rPr>
          <w:rFonts w:ascii="Arial" w:cs="Arial" w:eastAsia="Arial" w:hAnsi="Arial"/>
          <w:sz w:val="16"/>
          <w:szCs w:val="16"/>
          <w:color w:val="0000FF"/>
        </w:rPr>
        <w:t>List of Subsidiaries of LivaNova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900" w:val="left"/>
        </w:tabs>
        <w:rPr>
          <w:rFonts w:ascii="Arial" w:cs="Arial" w:eastAsia="Arial" w:hAnsi="Arial"/>
          <w:sz w:val="18"/>
          <w:szCs w:val="18"/>
          <w:color w:val="0000FF"/>
        </w:rPr>
      </w:pPr>
      <w:hyperlink w:anchor="page157">
        <w:r>
          <w:rPr>
            <w:rFonts w:ascii="Arial" w:cs="Arial" w:eastAsia="Arial" w:hAnsi="Arial"/>
            <w:sz w:val="18"/>
            <w:szCs w:val="18"/>
            <w:u w:val="single" w:color="auto"/>
            <w:color w:val="0000FF"/>
          </w:rPr>
          <w:t>23.1*</w:t>
        </w:r>
      </w:hyperlink>
      <w:r>
        <w:rPr>
          <w:rFonts w:ascii="Arial" w:cs="Arial" w:eastAsia="Arial" w:hAnsi="Arial"/>
          <w:sz w:val="18"/>
          <w:szCs w:val="18"/>
          <w:color w:val="0000FF"/>
        </w:rPr>
        <w:tab/>
      </w:r>
      <w:r>
        <w:rPr>
          <w:rFonts w:ascii="Arial" w:cs="Arial" w:eastAsia="Arial" w:hAnsi="Arial"/>
          <w:sz w:val="16"/>
          <w:szCs w:val="16"/>
          <w:color w:val="0000FF"/>
        </w:rPr>
        <w:t>Consent of PricewaterhouseCoopers LLP</w:t>
      </w:r>
    </w:p>
    <w:p>
      <w:pPr>
        <w:spacing w:after="0" w:line="63" w:lineRule="exact"/>
        <w:rPr>
          <w:sz w:val="20"/>
          <w:szCs w:val="20"/>
          <w:color w:val="auto"/>
        </w:rPr>
      </w:pPr>
    </w:p>
    <w:p>
      <w:pPr>
        <w:spacing w:after="0"/>
        <w:tabs>
          <w:tab w:leader="none" w:pos="900" w:val="left"/>
        </w:tabs>
        <w:rPr>
          <w:rFonts w:ascii="Arial" w:cs="Arial" w:eastAsia="Arial" w:hAnsi="Arial"/>
          <w:sz w:val="18"/>
          <w:szCs w:val="18"/>
          <w:color w:val="0000FF"/>
        </w:rPr>
      </w:pPr>
      <w:hyperlink w:anchor="page158">
        <w:r>
          <w:rPr>
            <w:rFonts w:ascii="Arial" w:cs="Arial" w:eastAsia="Arial" w:hAnsi="Arial"/>
            <w:sz w:val="18"/>
            <w:szCs w:val="18"/>
            <w:u w:val="single" w:color="auto"/>
            <w:color w:val="0000FF"/>
          </w:rPr>
          <w:t>23.2*</w:t>
        </w:r>
      </w:hyperlink>
      <w:r>
        <w:rPr>
          <w:rFonts w:ascii="Arial" w:cs="Arial" w:eastAsia="Arial" w:hAnsi="Arial"/>
          <w:sz w:val="18"/>
          <w:szCs w:val="18"/>
          <w:color w:val="0000FF"/>
        </w:rPr>
        <w:tab/>
      </w:r>
      <w:r>
        <w:rPr>
          <w:rFonts w:ascii="Arial" w:cs="Arial" w:eastAsia="Arial" w:hAnsi="Arial"/>
          <w:sz w:val="16"/>
          <w:szCs w:val="16"/>
          <w:color w:val="0000FF"/>
        </w:rPr>
        <w:t>Consent of PricewaterhouseCoopers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900" w:val="left"/>
        </w:tabs>
        <w:rPr>
          <w:rFonts w:ascii="Arial" w:cs="Arial" w:eastAsia="Arial" w:hAnsi="Arial"/>
          <w:sz w:val="18"/>
          <w:szCs w:val="18"/>
          <w:color w:val="0000FF"/>
        </w:rPr>
      </w:pPr>
      <w:hyperlink w:anchor="page159">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6"/>
          <w:szCs w:val="16"/>
          <w:color w:val="0000FF"/>
        </w:rPr>
        <w:t>Certification of the Chief Executive Officer of LivaNova PLC pursuant to Section 302 of the Sarbanes-Oxley Act of 2002</w:t>
      </w:r>
    </w:p>
    <w:p>
      <w:pPr>
        <w:spacing w:after="0" w:line="63" w:lineRule="exact"/>
        <w:rPr>
          <w:sz w:val="20"/>
          <w:szCs w:val="20"/>
          <w:color w:val="auto"/>
        </w:rPr>
      </w:pPr>
    </w:p>
    <w:p>
      <w:pPr>
        <w:spacing w:after="0"/>
        <w:tabs>
          <w:tab w:leader="none" w:pos="900" w:val="left"/>
        </w:tabs>
        <w:rPr>
          <w:rFonts w:ascii="Arial" w:cs="Arial" w:eastAsia="Arial" w:hAnsi="Arial"/>
          <w:sz w:val="18"/>
          <w:szCs w:val="18"/>
          <w:color w:val="0000FF"/>
        </w:rPr>
      </w:pPr>
      <w:hyperlink w:anchor="page160">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Certification of the Chief Financial Officer of LivaNova PLC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920" w:right="520" w:hanging="917"/>
        <w:spacing w:after="0" w:line="277" w:lineRule="auto"/>
        <w:tabs>
          <w:tab w:leader="none" w:pos="900" w:val="left"/>
        </w:tabs>
        <w:rPr>
          <w:rFonts w:ascii="Arial" w:cs="Arial" w:eastAsia="Arial" w:hAnsi="Arial"/>
          <w:sz w:val="18"/>
          <w:szCs w:val="18"/>
          <w:color w:val="0000FF"/>
        </w:rPr>
      </w:pPr>
      <w:hyperlink w:anchor="page161">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of the Chief Executive Officer and of the Chief Financial Officer pursuant to 18 U.S.C. Section 1350, as adopted pursuant to Section 906 of the Sarbanes-Oxley Act of 2002.</w:t>
      </w:r>
    </w:p>
    <w:p>
      <w:pPr>
        <w:sectPr>
          <w:pgSz w:w="11900" w:h="16838" w:orient="portrait"/>
          <w:cols w:equalWidth="0" w:num="1">
            <w:col w:w="11360"/>
          </w:cols>
          <w:pgMar w:left="280" w:top="827" w:right="259" w:bottom="217"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60"/>
          </w:cols>
          <w:pgMar w:left="280" w:top="827" w:right="259" w:bottom="217" w:gutter="0" w:footer="0" w:header="0"/>
          <w:type w:val="continuous"/>
        </w:sectPr>
      </w:pPr>
    </w:p>
    <w:bookmarkStart w:id="53" w:name="page54"/>
    <w:bookmarkEnd w:id="53"/>
    <w:p>
      <w:pPr>
        <w:ind w:left="920" w:hanging="919"/>
        <w:spacing w:after="0" w:line="293" w:lineRule="auto"/>
        <w:tabs>
          <w:tab w:leader="none" w:pos="90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Interactive Data Files Pursuant to Rule 405 of Regulation S-T formatted in Inline XBRL: (i) the Consolidated Statements of Income (Loss) for the years ended December 31, 2019, December 31, 2018 and December 31, 2017, (ii) the Consolidated Statements of Comprehensive Income (Loss) for the years ended December 31, 2019, December 31, 2018 and December 31, 2017, (iii) the Consolidated Balance Sheets as of December 31, 2019 and December 31, 2018, (iv) the Consolidated Statements of Stockholders’ Equity for the years ended December 31, 2019, December 31, 2018 and December 31, 2017, (v) the Consolidated Statements of Cash Flows for the years ended December 31, 2019, December 31, 2018 and December 31, 2017, and (vi)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80"/>
          </w:cols>
          <w:pgMar w:left="280" w:top="827" w:right="339" w:bottom="1440" w:gutter="0" w:footer="0" w:header="0"/>
        </w:sectPr>
      </w:pPr>
    </w:p>
    <w:bookmarkStart w:id="54" w:name="page55"/>
    <w:bookmarkEnd w:id="54"/>
    <w:p>
      <w:pPr>
        <w:jc w:val="center"/>
        <w:ind w:right="-499"/>
        <w:spacing w:after="0"/>
        <w:rPr>
          <w:sz w:val="20"/>
          <w:szCs w:val="20"/>
          <w:color w:val="auto"/>
        </w:rPr>
      </w:pPr>
      <w:r>
        <w:rPr>
          <w:rFonts w:ascii="Arial" w:cs="Arial" w:eastAsia="Arial" w:hAnsi="Arial"/>
          <w:sz w:val="20"/>
          <w:szCs w:val="20"/>
          <w:b w:val="1"/>
          <w:bCs w:val="1"/>
          <w:color w:val="auto"/>
        </w:rPr>
        <w:t>SIGNATURES</w:t>
      </w:r>
    </w:p>
    <w:p>
      <w:pPr>
        <w:spacing w:after="0" w:line="11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31750</wp:posOffset>
            </wp:positionV>
            <wp:extent cx="42792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9">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(Principal Executive Officer)</w:t>
      </w:r>
    </w:p>
    <w:p>
      <w:pPr>
        <w:spacing w:after="0" w:line="32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1820"/>
        <w:spacing w:after="0"/>
        <w:tabs>
          <w:tab w:leader="none" w:pos="2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31750</wp:posOffset>
            </wp:positionV>
            <wp:extent cx="42792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0">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240" w:top="670" w:right="559" w:bottom="1440" w:gutter="0" w:footer="0" w:header="0"/>
        </w:sectPr>
      </w:pPr>
    </w:p>
    <w:bookmarkStart w:id="55" w:name="page56"/>
    <w:bookmarkEnd w:id="55"/>
    <w:p>
      <w:pPr>
        <w:ind w:right="6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8"/>
          </w:tcPr>
          <w:p>
            <w:pPr>
              <w:ind w:left="20"/>
              <w:spacing w:after="0"/>
              <w:rPr>
                <w:sz w:val="20"/>
                <w:szCs w:val="20"/>
                <w:color w:val="auto"/>
              </w:rPr>
            </w:pPr>
            <w:r>
              <w:rPr>
                <w:rFonts w:ascii="Arial" w:cs="Arial" w:eastAsia="Arial" w:hAnsi="Arial"/>
                <w:sz w:val="14"/>
                <w:szCs w:val="14"/>
                <w:b w:val="1"/>
                <w:bCs w:val="1"/>
                <w:color w:val="auto"/>
              </w:rPr>
              <w:t>Signature</w:t>
            </w:r>
          </w:p>
        </w:tc>
        <w:tc>
          <w:tcPr>
            <w:tcW w:w="338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6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91"/>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DANIEL J. MOORE</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Daniel J. Moore</w:t>
            </w:r>
          </w:p>
        </w:tc>
        <w:tc>
          <w:tcPr>
            <w:tcW w:w="1600" w:type="dxa"/>
            <w:vAlign w:val="bottom"/>
            <w:tcBorders>
              <w:top w:val="single" w:sz="8" w:color="CCEEFF"/>
              <w:bottom w:val="single" w:sz="8" w:color="CCEEFF"/>
            </w:tcBorders>
            <w:gridSpan w:val="9"/>
            <w:shd w:val="clear" w:color="auto" w:fill="CCEEFF"/>
          </w:tcPr>
          <w:p>
            <w:pPr>
              <w:spacing w:after="0"/>
              <w:rPr>
                <w:sz w:val="21"/>
                <w:szCs w:val="21"/>
                <w:color w:val="auto"/>
              </w:rPr>
            </w:pPr>
          </w:p>
        </w:tc>
        <w:tc>
          <w:tcPr>
            <w:tcW w:w="528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Chairman of the Board of Directors</w:t>
            </w:r>
          </w:p>
        </w:tc>
        <w:tc>
          <w:tcPr>
            <w:tcW w:w="2680" w:type="dxa"/>
            <w:vAlign w:val="bottom"/>
            <w:tcBorders>
              <w:top w:val="single" w:sz="8" w:color="CCEEFF"/>
              <w:bottom w:val="single" w:sz="8" w:color="CCEEFF"/>
            </w:tcBorders>
            <w:gridSpan w:val="3"/>
            <w:shd w:val="clear" w:color="auto" w:fill="CCEEFF"/>
          </w:tcPr>
          <w:p>
            <w:pPr>
              <w:ind w:left="1600"/>
              <w:spacing w:after="0"/>
              <w:rPr>
                <w:sz w:val="20"/>
                <w:szCs w:val="20"/>
                <w:color w:val="auto"/>
              </w:rPr>
            </w:pPr>
            <w:r>
              <w:rPr>
                <w:rFonts w:ascii="Arial" w:cs="Arial" w:eastAsia="Arial" w:hAnsi="Arial"/>
                <w:sz w:val="18"/>
                <w:szCs w:val="18"/>
                <w:color w:val="auto"/>
                <w:w w:val="92"/>
              </w:rPr>
              <w:t>March 2, 2020</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DAMIEN MCDONALD</w:t>
            </w:r>
          </w:p>
        </w:tc>
        <w:tc>
          <w:tcPr>
            <w:tcW w:w="5280" w:type="dxa"/>
            <w:vAlign w:val="bottom"/>
            <w:gridSpan w:val="3"/>
            <w:shd w:val="clear" w:color="auto" w:fill="CCEEFF"/>
          </w:tcPr>
          <w:p>
            <w:pPr>
              <w:ind w:left="940"/>
              <w:spacing w:after="0" w:line="202" w:lineRule="exact"/>
              <w:rPr>
                <w:sz w:val="20"/>
                <w:szCs w:val="20"/>
                <w:color w:val="auto"/>
              </w:rPr>
            </w:pPr>
            <w:r>
              <w:rPr>
                <w:rFonts w:ascii="Arial" w:cs="Arial" w:eastAsia="Arial" w:hAnsi="Arial"/>
                <w:sz w:val="18"/>
                <w:szCs w:val="18"/>
                <w:color w:val="auto"/>
              </w:rPr>
              <w:t>Director, Chief Executive Officer</w:t>
            </w: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60" w:type="dxa"/>
            <w:vAlign w:val="bottom"/>
            <w:tcBorders>
              <w:top w:val="single" w:sz="8" w:color="auto"/>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Damien McDonald</w:t>
            </w:r>
          </w:p>
        </w:tc>
        <w:tc>
          <w:tcPr>
            <w:tcW w:w="1320" w:type="dxa"/>
            <w:vAlign w:val="bottom"/>
            <w:tcBorders>
              <w:top w:val="single" w:sz="8" w:color="CCEEFF"/>
              <w:bottom w:val="single" w:sz="8" w:color="CCEEFF"/>
            </w:tcBorders>
            <w:gridSpan w:val="5"/>
            <w:shd w:val="clear" w:color="auto" w:fill="CCEEFF"/>
          </w:tcPr>
          <w:p>
            <w:pPr>
              <w:spacing w:after="0"/>
              <w:rPr>
                <w:sz w:val="21"/>
                <w:szCs w:val="21"/>
                <w:color w:val="auto"/>
              </w:rPr>
            </w:pPr>
          </w:p>
        </w:tc>
        <w:tc>
          <w:tcPr>
            <w:tcW w:w="528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i w:val="1"/>
                <w:iCs w:val="1"/>
                <w:color w:val="auto"/>
              </w:rPr>
              <w:t>(Principal Executive Officer)</w:t>
            </w:r>
          </w:p>
        </w:tc>
        <w:tc>
          <w:tcPr>
            <w:tcW w:w="2680" w:type="dxa"/>
            <w:vAlign w:val="bottom"/>
            <w:tcBorders>
              <w:top w:val="single" w:sz="8" w:color="CCEEFF"/>
              <w:bottom w:val="single" w:sz="8" w:color="CCEEFF"/>
            </w:tcBorders>
            <w:gridSpan w:val="3"/>
            <w:shd w:val="clear" w:color="auto" w:fill="CCEEFF"/>
          </w:tcPr>
          <w:p>
            <w:pPr>
              <w:ind w:left="1600"/>
              <w:spacing w:after="0"/>
              <w:rPr>
                <w:sz w:val="20"/>
                <w:szCs w:val="20"/>
                <w:color w:val="auto"/>
              </w:rPr>
            </w:pPr>
            <w:r>
              <w:rPr>
                <w:rFonts w:ascii="Arial" w:cs="Arial" w:eastAsia="Arial" w:hAnsi="Arial"/>
                <w:sz w:val="18"/>
                <w:szCs w:val="18"/>
                <w:color w:val="auto"/>
                <w:w w:val="92"/>
              </w:rPr>
              <w:t>March 2, 2020</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8"/>
              </w:rPr>
              <w:t>/s/ THAD HUSTON</w:t>
            </w:r>
          </w:p>
        </w:tc>
        <w:tc>
          <w:tcPr>
            <w:tcW w:w="1840" w:type="dxa"/>
            <w:vAlign w:val="bottom"/>
            <w:tcBorders>
              <w:bottom w:val="single" w:sz="8" w:color="CCEEFF"/>
            </w:tcBorders>
            <w:gridSpan w:val="12"/>
            <w:shd w:val="clear" w:color="auto" w:fill="CCEEFF"/>
          </w:tcPr>
          <w:p>
            <w:pPr>
              <w:spacing w:after="0"/>
              <w:rPr>
                <w:sz w:val="17"/>
                <w:szCs w:val="17"/>
                <w:color w:val="auto"/>
              </w:rPr>
            </w:pPr>
          </w:p>
        </w:tc>
        <w:tc>
          <w:tcPr>
            <w:tcW w:w="5280" w:type="dxa"/>
            <w:vAlign w:val="bottom"/>
            <w:tcBorders>
              <w:bottom w:val="single" w:sz="8" w:color="CCEEFF"/>
            </w:tcBorders>
            <w:gridSpan w:val="3"/>
            <w:shd w:val="clear" w:color="auto" w:fill="CCEEFF"/>
          </w:tcPr>
          <w:p>
            <w:pPr>
              <w:ind w:left="940"/>
              <w:spacing w:after="0" w:line="202" w:lineRule="exact"/>
              <w:rPr>
                <w:sz w:val="20"/>
                <w:szCs w:val="20"/>
                <w:color w:val="auto"/>
              </w:rPr>
            </w:pPr>
            <w:r>
              <w:rPr>
                <w:rFonts w:ascii="Arial" w:cs="Arial" w:eastAsia="Arial" w:hAnsi="Arial"/>
                <w:sz w:val="18"/>
                <w:szCs w:val="18"/>
                <w:color w:val="auto"/>
              </w:rPr>
              <w:t>Chief Financial Officer</w:t>
            </w:r>
          </w:p>
        </w:tc>
        <w:tc>
          <w:tcPr>
            <w:tcW w:w="1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Thad Huston</w:t>
            </w:r>
          </w:p>
        </w:tc>
        <w:tc>
          <w:tcPr>
            <w:tcW w:w="52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i w:val="1"/>
                <w:iCs w:val="1"/>
                <w:color w:val="auto"/>
              </w:rPr>
              <w:t>(Principal Financial Officer)</w:t>
            </w:r>
          </w:p>
        </w:tc>
        <w:tc>
          <w:tcPr>
            <w:tcW w:w="2680" w:type="dxa"/>
            <w:vAlign w:val="bottom"/>
            <w:tcBorders>
              <w:bottom w:val="single" w:sz="8" w:color="CCEEFF"/>
            </w:tcBorders>
            <w:gridSpan w:val="3"/>
            <w:shd w:val="clear" w:color="auto" w:fill="CCEEFF"/>
          </w:tcPr>
          <w:p>
            <w:pPr>
              <w:ind w:left="1600"/>
              <w:spacing w:after="0"/>
              <w:rPr>
                <w:sz w:val="20"/>
                <w:szCs w:val="20"/>
                <w:color w:val="auto"/>
              </w:rPr>
            </w:pPr>
            <w:r>
              <w:rPr>
                <w:rFonts w:ascii="Arial" w:cs="Arial" w:eastAsia="Arial" w:hAnsi="Arial"/>
                <w:sz w:val="18"/>
                <w:szCs w:val="18"/>
                <w:color w:val="auto"/>
                <w:w w:val="92"/>
              </w:rPr>
              <w:t>March 2, 2020</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DOUG MANKO</w:t>
            </w:r>
          </w:p>
        </w:tc>
        <w:tc>
          <w:tcPr>
            <w:tcW w:w="5280" w:type="dxa"/>
            <w:vAlign w:val="bottom"/>
            <w:gridSpan w:val="3"/>
            <w:shd w:val="clear" w:color="auto" w:fill="CCEEFF"/>
          </w:tcPr>
          <w:p>
            <w:pPr>
              <w:ind w:left="940"/>
              <w:spacing w:after="0" w:line="202" w:lineRule="exact"/>
              <w:rPr>
                <w:sz w:val="20"/>
                <w:szCs w:val="20"/>
                <w:color w:val="auto"/>
              </w:rPr>
            </w:pPr>
            <w:r>
              <w:rPr>
                <w:rFonts w:ascii="Arial" w:cs="Arial" w:eastAsia="Arial" w:hAnsi="Arial"/>
                <w:sz w:val="18"/>
                <w:szCs w:val="18"/>
                <w:color w:val="auto"/>
              </w:rPr>
              <w:t>Chief Accounting Officer</w:t>
            </w: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Doug Manko</w:t>
            </w:r>
          </w:p>
        </w:tc>
        <w:tc>
          <w:tcPr>
            <w:tcW w:w="1880" w:type="dxa"/>
            <w:vAlign w:val="bottom"/>
            <w:tcBorders>
              <w:top w:val="single" w:sz="8" w:color="CCEEFF"/>
              <w:bottom w:val="single" w:sz="8" w:color="CCEEFF"/>
            </w:tcBorders>
            <w:gridSpan w:val="13"/>
            <w:shd w:val="clear" w:color="auto" w:fill="CCEEFF"/>
          </w:tcPr>
          <w:p>
            <w:pPr>
              <w:spacing w:after="0"/>
              <w:rPr>
                <w:sz w:val="21"/>
                <w:szCs w:val="21"/>
                <w:color w:val="auto"/>
              </w:rPr>
            </w:pPr>
          </w:p>
        </w:tc>
        <w:tc>
          <w:tcPr>
            <w:tcW w:w="528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i w:val="1"/>
                <w:iCs w:val="1"/>
                <w:color w:val="auto"/>
              </w:rPr>
              <w:t>(Principal Accounting Officer)</w:t>
            </w:r>
          </w:p>
        </w:tc>
        <w:tc>
          <w:tcPr>
            <w:tcW w:w="2680" w:type="dxa"/>
            <w:vAlign w:val="bottom"/>
            <w:tcBorders>
              <w:top w:val="single" w:sz="8" w:color="CCEEFF"/>
              <w:bottom w:val="single" w:sz="8" w:color="CCEEFF"/>
            </w:tcBorders>
            <w:gridSpan w:val="3"/>
            <w:shd w:val="clear" w:color="auto" w:fill="CCEEFF"/>
          </w:tcPr>
          <w:p>
            <w:pPr>
              <w:ind w:left="1600"/>
              <w:spacing w:after="0"/>
              <w:rPr>
                <w:sz w:val="20"/>
                <w:szCs w:val="20"/>
                <w:color w:val="auto"/>
              </w:rPr>
            </w:pPr>
            <w:r>
              <w:rPr>
                <w:rFonts w:ascii="Arial" w:cs="Arial" w:eastAsia="Arial" w:hAnsi="Arial"/>
                <w:sz w:val="18"/>
                <w:szCs w:val="18"/>
                <w:color w:val="auto"/>
                <w:w w:val="92"/>
              </w:rPr>
              <w:t>March 2, 2020</w:t>
            </w:r>
          </w:p>
        </w:tc>
      </w:tr>
      <w:tr>
        <w:trPr>
          <w:trHeight w:val="284"/>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auto"/>
            </w:tcBorders>
            <w:gridSpan w:val="11"/>
            <w:shd w:val="clear" w:color="auto" w:fill="CCEEFF"/>
          </w:tcPr>
          <w:p>
            <w:pPr>
              <w:spacing w:after="0" w:line="202" w:lineRule="exact"/>
              <w:rPr>
                <w:sz w:val="20"/>
                <w:szCs w:val="20"/>
                <w:color w:val="auto"/>
              </w:rPr>
            </w:pPr>
            <w:r>
              <w:rPr>
                <w:rFonts w:ascii="Arial" w:cs="Arial" w:eastAsia="Arial" w:hAnsi="Arial"/>
                <w:sz w:val="18"/>
                <w:szCs w:val="18"/>
                <w:color w:val="auto"/>
                <w:w w:val="97"/>
              </w:rPr>
              <w:t>/s/ FRANCESCO BIANCHI</w:t>
            </w:r>
          </w:p>
        </w:tc>
        <w:tc>
          <w:tcPr>
            <w:tcW w:w="1260" w:type="dxa"/>
            <w:vAlign w:val="bottom"/>
            <w:tcBorders>
              <w:bottom w:val="single" w:sz="8" w:color="CCEEFF"/>
            </w:tcBorders>
            <w:gridSpan w:val="3"/>
            <w:shd w:val="clear" w:color="auto" w:fill="CCEEFF"/>
          </w:tcPr>
          <w:p>
            <w:pPr>
              <w:spacing w:after="0"/>
              <w:rPr>
                <w:sz w:val="17"/>
                <w:szCs w:val="17"/>
                <w:color w:val="auto"/>
              </w:rPr>
            </w:pPr>
          </w:p>
        </w:tc>
        <w:tc>
          <w:tcPr>
            <w:tcW w:w="3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Francesco Bianchi</w:t>
            </w:r>
          </w:p>
        </w:tc>
        <w:tc>
          <w:tcPr>
            <w:tcW w:w="52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680" w:type="dxa"/>
            <w:vAlign w:val="bottom"/>
            <w:tcBorders>
              <w:bottom w:val="single" w:sz="8" w:color="CCEEFF"/>
            </w:tcBorders>
            <w:gridSpan w:val="3"/>
            <w:shd w:val="clear" w:color="auto" w:fill="CCEEFF"/>
          </w:tcPr>
          <w:p>
            <w:pPr>
              <w:ind w:left="1600"/>
              <w:spacing w:after="0"/>
              <w:rPr>
                <w:sz w:val="20"/>
                <w:szCs w:val="20"/>
                <w:color w:val="auto"/>
              </w:rPr>
            </w:pPr>
            <w:r>
              <w:rPr>
                <w:rFonts w:ascii="Arial" w:cs="Arial" w:eastAsia="Arial" w:hAnsi="Arial"/>
                <w:sz w:val="18"/>
                <w:szCs w:val="18"/>
                <w:color w:val="auto"/>
                <w:w w:val="92"/>
              </w:rPr>
              <w:t>March 2, 2020</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WILLIAM A. KOZY</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William A. Kozy</w:t>
            </w:r>
          </w:p>
        </w:tc>
        <w:tc>
          <w:tcPr>
            <w:tcW w:w="1560" w:type="dxa"/>
            <w:vAlign w:val="bottom"/>
            <w:tcBorders>
              <w:top w:val="single" w:sz="8" w:color="CCEEFF"/>
              <w:bottom w:val="single" w:sz="8" w:color="CCEEFF"/>
            </w:tcBorders>
            <w:gridSpan w:val="8"/>
            <w:shd w:val="clear" w:color="auto" w:fill="CCEEFF"/>
          </w:tcPr>
          <w:p>
            <w:pPr>
              <w:spacing w:after="0"/>
              <w:rPr>
                <w:sz w:val="21"/>
                <w:szCs w:val="21"/>
                <w:color w:val="auto"/>
              </w:rPr>
            </w:pPr>
          </w:p>
        </w:tc>
        <w:tc>
          <w:tcPr>
            <w:tcW w:w="528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680" w:type="dxa"/>
            <w:vAlign w:val="bottom"/>
            <w:tcBorders>
              <w:top w:val="single" w:sz="8" w:color="CCEEFF"/>
              <w:bottom w:val="single" w:sz="8" w:color="CCEEFF"/>
            </w:tcBorders>
            <w:gridSpan w:val="3"/>
            <w:shd w:val="clear" w:color="auto" w:fill="CCEEFF"/>
          </w:tcPr>
          <w:p>
            <w:pPr>
              <w:ind w:left="1600"/>
              <w:spacing w:after="0"/>
              <w:rPr>
                <w:sz w:val="20"/>
                <w:szCs w:val="20"/>
                <w:color w:val="auto"/>
              </w:rPr>
            </w:pPr>
            <w:r>
              <w:rPr>
                <w:rFonts w:ascii="Arial" w:cs="Arial" w:eastAsia="Arial" w:hAnsi="Arial"/>
                <w:sz w:val="18"/>
                <w:szCs w:val="18"/>
                <w:color w:val="auto"/>
                <w:w w:val="92"/>
              </w:rPr>
              <w:t>March 2, 2020</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HUGH M. MORRISON</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Hugh M. Morrison</w:t>
            </w:r>
          </w:p>
        </w:tc>
        <w:tc>
          <w:tcPr>
            <w:tcW w:w="1360" w:type="dxa"/>
            <w:vAlign w:val="bottom"/>
            <w:tcBorders>
              <w:top w:val="single" w:sz="8" w:color="CCEEFF"/>
              <w:bottom w:val="single" w:sz="8" w:color="CCEEFF"/>
            </w:tcBorders>
            <w:gridSpan w:val="6"/>
            <w:shd w:val="clear" w:color="auto" w:fill="CCEEFF"/>
          </w:tcPr>
          <w:p>
            <w:pPr>
              <w:spacing w:after="0"/>
              <w:rPr>
                <w:sz w:val="21"/>
                <w:szCs w:val="21"/>
                <w:color w:val="auto"/>
              </w:rPr>
            </w:pPr>
          </w:p>
        </w:tc>
        <w:tc>
          <w:tcPr>
            <w:tcW w:w="528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680" w:type="dxa"/>
            <w:vAlign w:val="bottom"/>
            <w:tcBorders>
              <w:top w:val="single" w:sz="8" w:color="CCEEFF"/>
              <w:bottom w:val="single" w:sz="8" w:color="CCEEFF"/>
            </w:tcBorders>
            <w:gridSpan w:val="3"/>
            <w:shd w:val="clear" w:color="auto" w:fill="CCEEFF"/>
          </w:tcPr>
          <w:p>
            <w:pPr>
              <w:ind w:left="1600"/>
              <w:spacing w:after="0"/>
              <w:rPr>
                <w:sz w:val="20"/>
                <w:szCs w:val="20"/>
                <w:color w:val="auto"/>
              </w:rPr>
            </w:pPr>
            <w:r>
              <w:rPr>
                <w:rFonts w:ascii="Arial" w:cs="Arial" w:eastAsia="Arial" w:hAnsi="Arial"/>
                <w:sz w:val="18"/>
                <w:szCs w:val="18"/>
                <w:color w:val="auto"/>
                <w:w w:val="92"/>
              </w:rPr>
              <w:t>March 2, 2020</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auto"/>
            </w:tcBorders>
            <w:gridSpan w:val="6"/>
            <w:shd w:val="clear" w:color="auto" w:fill="CCEEFF"/>
          </w:tcPr>
          <w:p>
            <w:pPr>
              <w:spacing w:after="0" w:line="202" w:lineRule="exact"/>
              <w:rPr>
                <w:sz w:val="20"/>
                <w:szCs w:val="20"/>
                <w:color w:val="auto"/>
              </w:rPr>
            </w:pPr>
            <w:r>
              <w:rPr>
                <w:rFonts w:ascii="Arial" w:cs="Arial" w:eastAsia="Arial" w:hAnsi="Arial"/>
                <w:sz w:val="18"/>
                <w:szCs w:val="18"/>
                <w:color w:val="auto"/>
                <w:w w:val="98"/>
              </w:rPr>
              <w:t>/s/ ALFRED J. NOVAK</w:t>
            </w:r>
          </w:p>
        </w:tc>
        <w:tc>
          <w:tcPr>
            <w:tcW w:w="1560" w:type="dxa"/>
            <w:vAlign w:val="bottom"/>
            <w:tcBorders>
              <w:bottom w:val="single" w:sz="8" w:color="CCEEFF"/>
            </w:tcBorders>
            <w:gridSpan w:val="8"/>
            <w:shd w:val="clear" w:color="auto" w:fill="CCEEFF"/>
          </w:tcPr>
          <w:p>
            <w:pPr>
              <w:spacing w:after="0"/>
              <w:rPr>
                <w:sz w:val="17"/>
                <w:szCs w:val="17"/>
                <w:color w:val="auto"/>
              </w:rPr>
            </w:pPr>
          </w:p>
        </w:tc>
        <w:tc>
          <w:tcPr>
            <w:tcW w:w="3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Alfred J. Novak</w:t>
            </w:r>
          </w:p>
        </w:tc>
        <w:tc>
          <w:tcPr>
            <w:tcW w:w="52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680" w:type="dxa"/>
            <w:vAlign w:val="bottom"/>
            <w:tcBorders>
              <w:bottom w:val="single" w:sz="8" w:color="CCEEFF"/>
            </w:tcBorders>
            <w:gridSpan w:val="3"/>
            <w:shd w:val="clear" w:color="auto" w:fill="CCEEFF"/>
          </w:tcPr>
          <w:p>
            <w:pPr>
              <w:ind w:left="1600"/>
              <w:spacing w:after="0"/>
              <w:rPr>
                <w:sz w:val="20"/>
                <w:szCs w:val="20"/>
                <w:color w:val="auto"/>
              </w:rPr>
            </w:pPr>
            <w:r>
              <w:rPr>
                <w:rFonts w:ascii="Arial" w:cs="Arial" w:eastAsia="Arial" w:hAnsi="Arial"/>
                <w:sz w:val="18"/>
                <w:szCs w:val="18"/>
                <w:color w:val="auto"/>
                <w:w w:val="92"/>
              </w:rPr>
              <w:t>March 2, 2020</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SHARON O'KANE</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4"/>
              </w:rPr>
              <w:t>Sharon O'Kane, Ph.D.</w:t>
            </w:r>
          </w:p>
        </w:tc>
        <w:tc>
          <w:tcPr>
            <w:tcW w:w="1680" w:type="dxa"/>
            <w:vAlign w:val="bottom"/>
            <w:tcBorders>
              <w:top w:val="single" w:sz="8" w:color="CCEEFF"/>
              <w:bottom w:val="single" w:sz="8" w:color="CCEEFF"/>
            </w:tcBorders>
            <w:gridSpan w:val="10"/>
            <w:shd w:val="clear" w:color="auto" w:fill="CCEEFF"/>
          </w:tcPr>
          <w:p>
            <w:pPr>
              <w:spacing w:after="0"/>
              <w:rPr>
                <w:sz w:val="21"/>
                <w:szCs w:val="21"/>
                <w:color w:val="auto"/>
              </w:rPr>
            </w:pPr>
          </w:p>
        </w:tc>
        <w:tc>
          <w:tcPr>
            <w:tcW w:w="528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680" w:type="dxa"/>
            <w:vAlign w:val="bottom"/>
            <w:tcBorders>
              <w:top w:val="single" w:sz="8" w:color="CCEEFF"/>
              <w:bottom w:val="single" w:sz="8" w:color="CCEEFF"/>
            </w:tcBorders>
            <w:gridSpan w:val="3"/>
            <w:shd w:val="clear" w:color="auto" w:fill="CCEEFF"/>
          </w:tcPr>
          <w:p>
            <w:pPr>
              <w:ind w:left="1600"/>
              <w:spacing w:after="0"/>
              <w:rPr>
                <w:sz w:val="20"/>
                <w:szCs w:val="20"/>
                <w:color w:val="auto"/>
              </w:rPr>
            </w:pPr>
            <w:r>
              <w:rPr>
                <w:rFonts w:ascii="Arial" w:cs="Arial" w:eastAsia="Arial" w:hAnsi="Arial"/>
                <w:sz w:val="18"/>
                <w:szCs w:val="18"/>
                <w:color w:val="auto"/>
                <w:w w:val="92"/>
              </w:rPr>
              <w:t>March 2, 2020</w:t>
            </w:r>
          </w:p>
        </w:tc>
      </w:tr>
      <w:tr>
        <w:trPr>
          <w:trHeight w:val="284"/>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auto"/>
            </w:tcBorders>
            <w:gridSpan w:val="12"/>
            <w:shd w:val="clear" w:color="auto" w:fill="CCEEFF"/>
          </w:tcPr>
          <w:p>
            <w:pPr>
              <w:spacing w:after="0" w:line="202" w:lineRule="exact"/>
              <w:rPr>
                <w:sz w:val="20"/>
                <w:szCs w:val="20"/>
                <w:color w:val="auto"/>
              </w:rPr>
            </w:pPr>
            <w:r>
              <w:rPr>
                <w:rFonts w:ascii="Arial" w:cs="Arial" w:eastAsia="Arial" w:hAnsi="Arial"/>
                <w:sz w:val="18"/>
                <w:szCs w:val="18"/>
                <w:color w:val="auto"/>
                <w:w w:val="97"/>
              </w:rPr>
              <w:t>/s/ ARTHUR L. ROSENTHAL</w:t>
            </w:r>
          </w:p>
        </w:tc>
        <w:tc>
          <w:tcPr>
            <w:tcW w:w="1080" w:type="dxa"/>
            <w:vAlign w:val="bottom"/>
            <w:tcBorders>
              <w:bottom w:val="single" w:sz="8" w:color="CCEEFF"/>
            </w:tcBorders>
            <w:gridSpan w:val="2"/>
            <w:shd w:val="clear" w:color="auto" w:fill="CCEEFF"/>
          </w:tcPr>
          <w:p>
            <w:pPr>
              <w:spacing w:after="0"/>
              <w:rPr>
                <w:sz w:val="17"/>
                <w:szCs w:val="17"/>
                <w:color w:val="auto"/>
              </w:rPr>
            </w:pPr>
          </w:p>
        </w:tc>
        <w:tc>
          <w:tcPr>
            <w:tcW w:w="3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Arthur L. Rosenthal, Ph.D.</w:t>
            </w:r>
          </w:p>
        </w:tc>
        <w:tc>
          <w:tcPr>
            <w:tcW w:w="52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680" w:type="dxa"/>
            <w:vAlign w:val="bottom"/>
            <w:tcBorders>
              <w:bottom w:val="single" w:sz="8" w:color="CCEEFF"/>
            </w:tcBorders>
            <w:gridSpan w:val="3"/>
            <w:shd w:val="clear" w:color="auto" w:fill="CCEEFF"/>
          </w:tcPr>
          <w:p>
            <w:pPr>
              <w:ind w:left="1600"/>
              <w:spacing w:after="0"/>
              <w:rPr>
                <w:sz w:val="20"/>
                <w:szCs w:val="20"/>
                <w:color w:val="auto"/>
              </w:rPr>
            </w:pPr>
            <w:r>
              <w:rPr>
                <w:rFonts w:ascii="Arial" w:cs="Arial" w:eastAsia="Arial" w:hAnsi="Arial"/>
                <w:sz w:val="18"/>
                <w:szCs w:val="18"/>
                <w:color w:val="auto"/>
                <w:w w:val="92"/>
              </w:rPr>
              <w:t>March 2, 2020</w:t>
            </w:r>
          </w:p>
        </w:tc>
      </w:tr>
      <w:tr>
        <w:trPr>
          <w:trHeight w:val="284"/>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ANDREA L. SAIA</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Andrea L. Saia</w:t>
            </w:r>
          </w:p>
        </w:tc>
        <w:tc>
          <w:tcPr>
            <w:tcW w:w="1720" w:type="dxa"/>
            <w:vAlign w:val="bottom"/>
            <w:tcBorders>
              <w:top w:val="single" w:sz="8" w:color="CCEEFF"/>
              <w:bottom w:val="single" w:sz="8" w:color="CCEEFF"/>
            </w:tcBorders>
            <w:gridSpan w:val="11"/>
            <w:shd w:val="clear" w:color="auto" w:fill="CCEEFF"/>
          </w:tcPr>
          <w:p>
            <w:pPr>
              <w:spacing w:after="0"/>
              <w:rPr>
                <w:sz w:val="21"/>
                <w:szCs w:val="21"/>
                <w:color w:val="auto"/>
              </w:rPr>
            </w:pPr>
          </w:p>
        </w:tc>
        <w:tc>
          <w:tcPr>
            <w:tcW w:w="528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680" w:type="dxa"/>
            <w:vAlign w:val="bottom"/>
            <w:tcBorders>
              <w:top w:val="single" w:sz="8" w:color="CCEEFF"/>
              <w:bottom w:val="single" w:sz="8" w:color="CCEEFF"/>
            </w:tcBorders>
            <w:gridSpan w:val="3"/>
            <w:shd w:val="clear" w:color="auto" w:fill="CCEEFF"/>
          </w:tcPr>
          <w:p>
            <w:pPr>
              <w:ind w:left="1600"/>
              <w:spacing w:after="0"/>
              <w:rPr>
                <w:sz w:val="20"/>
                <w:szCs w:val="20"/>
                <w:color w:val="auto"/>
              </w:rPr>
            </w:pPr>
            <w:r>
              <w:rPr>
                <w:rFonts w:ascii="Arial" w:cs="Arial" w:eastAsia="Arial" w:hAnsi="Arial"/>
                <w:sz w:val="18"/>
                <w:szCs w:val="18"/>
                <w:color w:val="auto"/>
                <w:w w:val="92"/>
              </w:rPr>
              <w:t>March 2, 2020</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STACY ENXING SENG</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Stacy Enxing Seng</w:t>
            </w:r>
          </w:p>
        </w:tc>
        <w:tc>
          <w:tcPr>
            <w:tcW w:w="1300" w:type="dxa"/>
            <w:vAlign w:val="bottom"/>
            <w:tcBorders>
              <w:top w:val="single" w:sz="8" w:color="CCEEFF"/>
              <w:bottom w:val="single" w:sz="8" w:color="CCEEFF"/>
            </w:tcBorders>
            <w:gridSpan w:val="4"/>
            <w:shd w:val="clear" w:color="auto" w:fill="CCEEFF"/>
          </w:tcPr>
          <w:p>
            <w:pPr>
              <w:spacing w:after="0"/>
              <w:rPr>
                <w:sz w:val="21"/>
                <w:szCs w:val="21"/>
                <w:color w:val="auto"/>
              </w:rPr>
            </w:pPr>
          </w:p>
        </w:tc>
        <w:tc>
          <w:tcPr>
            <w:tcW w:w="528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680" w:type="dxa"/>
            <w:vAlign w:val="bottom"/>
            <w:tcBorders>
              <w:top w:val="single" w:sz="8" w:color="CCEEFF"/>
              <w:bottom w:val="single" w:sz="8" w:color="CCEEFF"/>
            </w:tcBorders>
            <w:gridSpan w:val="3"/>
            <w:shd w:val="clear" w:color="auto" w:fill="CCEEFF"/>
          </w:tcPr>
          <w:p>
            <w:pPr>
              <w:ind w:left="1600"/>
              <w:spacing w:after="0"/>
              <w:rPr>
                <w:sz w:val="20"/>
                <w:szCs w:val="20"/>
                <w:color w:val="auto"/>
              </w:rPr>
            </w:pPr>
            <w:r>
              <w:rPr>
                <w:rFonts w:ascii="Arial" w:cs="Arial" w:eastAsia="Arial" w:hAnsi="Arial"/>
                <w:sz w:val="18"/>
                <w:szCs w:val="18"/>
                <w:color w:val="auto"/>
                <w:w w:val="92"/>
              </w:rPr>
              <w:t>March 2, 2020</w:t>
            </w:r>
          </w:p>
        </w:tc>
      </w:tr>
      <w:tr>
        <w:trPr>
          <w:trHeight w:val="9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80" w:type="dxa"/>
            <w:vAlign w:val="bottom"/>
          </w:tcPr>
          <w:p>
            <w:pPr>
              <w:ind w:left="226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00"/>
          </w:cols>
          <w:pgMar w:left="240" w:top="665" w:right="25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Item 16. Form 10-K Summary</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670"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CONSOLIDATED FINANCIAL STATEMENTS</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For the years ended December 31, 2019</w:t>
      </w:r>
      <w:r>
        <w:rPr>
          <w:rFonts w:ascii="Arial" w:cs="Arial" w:eastAsia="Arial" w:hAnsi="Arial"/>
          <w:sz w:val="15"/>
          <w:szCs w:val="15"/>
          <w:color w:val="auto"/>
        </w:rPr>
        <w:t>,</w:t>
      </w:r>
      <w:r>
        <w:rPr>
          <w:rFonts w:ascii="Arial" w:cs="Arial" w:eastAsia="Arial" w:hAnsi="Arial"/>
          <w:sz w:val="16"/>
          <w:szCs w:val="16"/>
          <w:b w:val="1"/>
          <w:bCs w:val="1"/>
          <w:color w:val="auto"/>
        </w:rPr>
        <w:t xml:space="preserve"> December 31, 2018 and December 31, 2017</w:t>
      </w:r>
    </w:p>
    <w:p>
      <w:pPr>
        <w:spacing w:after="0" w:line="39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9019"/>
          </w:cols>
          <w:pgMar w:left="1440" w:top="666" w:right="1440"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LivaNova PLC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LivaNova PLC and its subsidiaries (the “Company”) as of December 31, 2019 and 2018, and the related consolidated statements of income (loss), of comprehensive income (loss), of stockholders’ equity and of cash flows for the years then ended,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4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18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As discussed in Notes 2 and 23 to the consolidated financial statements, the Company changed the manner in which it accounts for leases in 2019 and the manner in which it accounts for the income tax effects of intra-entity transfers of assets other than inventory in 2018,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Cardiovascular Reporting Unit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described in Notes 2 and 8 to the consolidated financial statements, the Company’s consolidated goodwill balance was $915.8 million as of December 31, 2019, and the amount of goodwill associated with the Cardiovascular reporting unit was $517.0 million. Management conducts impairment testing of goodwill on October 1 each year. Management tests goodwill for impairment between annual tests if an event occurs or circumstances change that would more-likely-than-not reduce the fair value of a reporting unit below its carrying amount. Fair value refers to the price that would be received if management were to sell the unit as a whole in an orderly transaction. An impairment loss is recognized when the carrying amount of the reporting unit’s net assets exceeds the estimated fair value of the reporting unit, up to and including the carrying amount of the goodwill. Fair value is estimated by management using a discounted cash flow model. Estimating the fair value requires various assumptions, including revenue and gross margin growth rates and discount rates.</w:t>
      </w:r>
    </w:p>
    <w:p>
      <w:pPr>
        <w:sectPr>
          <w:pgSz w:w="11900" w:h="16838" w:orient="portrait"/>
          <w:cols w:equalWidth="0" w:num="1">
            <w:col w:w="11400"/>
          </w:cols>
          <w:pgMar w:left="240" w:top="670" w:right="259" w:bottom="0" w:gutter="0" w:footer="0" w:header="0"/>
        </w:sectPr>
      </w:pPr>
    </w:p>
    <w:bookmarkStart w:id="59" w:name="page60"/>
    <w:bookmarkEnd w:id="59"/>
    <w:p>
      <w:pPr>
        <w:ind w:right="20"/>
        <w:spacing w:after="0" w:line="276" w:lineRule="auto"/>
        <w:rPr>
          <w:sz w:val="20"/>
          <w:szCs w:val="20"/>
          <w:color w:val="auto"/>
        </w:rPr>
      </w:pPr>
      <w:r>
        <w:rPr>
          <w:rFonts w:ascii="Arial" w:cs="Arial" w:eastAsia="Arial" w:hAnsi="Arial"/>
          <w:sz w:val="17"/>
          <w:szCs w:val="17"/>
          <w:color w:val="auto"/>
        </w:rPr>
        <w:t>The principal considerations for our determination that performing procedures relating to the goodwill impairment assessment of the Cardiovascular reporting unit is a critical audit matter are there was significant judgment by management when developing the estimated fair value of the reporting unit. This led to a high degree of auditor judgment, subjectivity, and effort in performing procedures relating to management’s projected financial information and significant assumptions, including the revenue and gross margin growth rates and discount rates. In addition, the audit effort involved the use of professionals with specialized skill and knowledge in performing these procedures and evaluating the audit evidence obtained.</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Company’s reporting units. These procedures also included, among others, testing management’s process for developing the fair value of the Cardiovascular reporting unit. Testing management’s process included evaluating the appropriateness of the discounted cash flow model and the reasonableness of management’s projected financial information and significant assumptions, including the revenue and gross margin growth rates and discount rates. Evaluating the reasonableness of the revenue and gross margin growth rates involved considering the current and past performance of the reporting unit, consistency with third-party industry data, and whether the assumptions were consistent with evidence obtained in other areas of the audit. Professionals with specialized skill and knowledge were used to assist in the evaluation of the discounted cash flow model and the reasonableness of certain significant assumptions, including the discount 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Intangible Asset Impairment Assessment - ImThera IPR&amp;D</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described in Notes 2 and 8 to the consolidated financial statements, the Company’s consolidated In-Progress Research &amp; Development (IPR&amp;D) indefinite-lived intangible asset balance was $115.8 million as of December 31, 2019. Management conducts impairment testing of indefinite-lived intangible assets on October 1 each year. Management tests indefinite-lived intangible assets for impairment between annual tests if an event occurs or circumstances change that would indicate the carrying amount may be impaired. An impairment loss is recognized when the asset’s carrying value exceeds its fair value. During the second quarter of 2019, management determined that there would be a delay in the estimated commercialization date of the Company’s obstructive sleep apnea product currently under development. This delay constituted a triggering event that required evaluation of the IPR&amp;D asset arising from the ImThera Medical Inc. (“ImThera”) acquisition for impairment. Based on the assessment performed, management determined that the IPR&amp;D asset was impaired and as a result, recorded an impairment of $50.3 million, which was included in the Neuromodulation segment. The estimated fair value of IPR&amp;D was determined using the multi-period excess earnings income approach. Estimating the fair value of the ImThera IPR&amp;D asset requires various assumptions, including revenue growth rates, timing and probability of commercialization, and the discount rate.</w:t>
      </w:r>
    </w:p>
    <w:p>
      <w:pPr>
        <w:spacing w:after="0" w:line="25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principal considerations for our determination that performing procedures relating to the long-lived intangible asset impairment assessment - ImThera IPR&amp;D is a critical audit matter are there was significant judgment by management when developing the estimated fair value of the IPR&amp;D. This in turn led to a high degree of auditor judgment, subjectivity, and effort in performing procedures relating to management’s significant assumptions, including the revenue growth rates, timing and probability of commercialization, and the discount rate. In addition, the audit effort involved the use of professionals with specialized skill and knowledge in performing these procedures and evaluating the audit evidence obtained.</w:t>
      </w:r>
    </w:p>
    <w:p>
      <w:pPr>
        <w:spacing w:after="0" w:line="17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long-lived intangible asset impairment assessment, including controls over the valuation of the Company’s IPR&amp;D assets. These procedures also included, among others, testing management’s process for estimating the fair value of IPR&amp;D. Testing management’s process included evaluating the reasonableness of significant assumptions, including the revenue growth rates, timing and probability of commercialization, and the discount rate. Evaluating the reasonableness of the revenue growth rate and timing and probability of commercialization involved considering the historical results of peer companies, consistency with third-party industry data, and whether the assumptions were consistent with evidence obtained in other areas of the audit. Professionals with specialized skill and knowledge were used to assist in evaluating the appropriateness of the multi-period excess earnings income approach and the reasonableness of certain significant assumptions, including the discount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Provision Liability - 3T Heater-Cooler Device</w:t>
      </w:r>
    </w:p>
    <w:p>
      <w:pPr>
        <w:spacing w:after="0" w:line="14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described in Notes 2 and 14 to the consolidated financial statements, the Company recognizes product liability accruals for the resolution of pending litigation when it is probable that a liability has been incurred and the amount of the loss can be reasonably estimated. Accruals for product liability claims are adjusted periodically as additional information becomes available. The Company is currently involved in litigation involving the 3T Heater-Cooler device. On March 29, 2019, the Company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Cases covered by the settlement are being dismissed as amounts are disbursed to individual plaintiffs from the qualified settlement fund. In the fourth quarter of 2019, the Company recorded an additional liability of $33.2 million due to additional information obtained, including but not limited to: the nature and quantity of filed and unfiled claims; certain settlement discussions with plaintiffs’ counsel; and the current stage of litigation in the remaining filed and unfiled claims. As of December 31, 2019, the litigation provision liability was $170.4 million.</w:t>
      </w:r>
    </w:p>
    <w:p>
      <w:pPr>
        <w:spacing w:after="0" w:line="1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3T Heater-Cooler device litigation provision liability is a critical audit matter are there was significant judgment by management when assessing the likelihood of a loss being incurred and when determining a reasonable estimate of the loss for each claim. This in turn led to a high degree of auditor judgment, subjectivity and effort in evaluating management’s assessment of the loss contingencies associated with this litigation.</w:t>
      </w:r>
    </w:p>
    <w:p>
      <w:pPr>
        <w:spacing w:after="0" w:line="10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evaluation of the 3T Heater-Cooler device litigation and estimation of the provision for losses, including controls over determining whether a loss is probable and whether the amount of loss can be reasonably estimated. These procedures also included, among others, gaining an understanding of the Company’s process around the accounting and reporting for the 3T Heater-Cooler device litigation, obtaining and evaluating the letters of audit inquiry with internal and external legal counsel, assessing the completeness of the population of claims, evaluating the reasonableness of management’s assessment regarding whether an unfavorable outcome is reasonably possible or probable and reasonably estimable, and evaluating the sufficiency of the Company’s litigation contingency disclosures.</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March 2, 2020</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2018.</w:t>
      </w:r>
    </w:p>
    <w:p>
      <w:pPr>
        <w:sectPr>
          <w:pgSz w:w="11900" w:h="16838" w:orient="portrait"/>
          <w:cols w:equalWidth="0" w:num="1">
            <w:col w:w="11420"/>
          </w:cols>
          <w:pgMar w:left="240" w:top="125" w:right="239" w:bottom="0" w:gutter="0" w:footer="0" w:header="0"/>
        </w:sectPr>
      </w:pPr>
    </w:p>
    <w:bookmarkStart w:id="60" w:name="page61"/>
    <w:bookmarkEnd w:id="60"/>
    <w:p>
      <w:pPr>
        <w:jc w:val="center"/>
        <w:ind w:right="-18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9019"/>
          </w:cols>
          <w:pgMar w:left="1440" w:top="125" w:right="1440" w:bottom="1440" w:gutter="0" w:footer="0" w:header="0"/>
        </w:sectPr>
      </w:pPr>
    </w:p>
    <w:bookmarkStart w:id="61" w:name="page62"/>
    <w:bookmarkEnd w:id="61"/>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LivaNova PLC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20" w:firstLine="162"/>
        <w:spacing w:after="0" w:line="302" w:lineRule="auto"/>
        <w:rPr>
          <w:sz w:val="20"/>
          <w:szCs w:val="20"/>
          <w:color w:val="auto"/>
        </w:rPr>
      </w:pPr>
      <w:r>
        <w:rPr>
          <w:rFonts w:ascii="Arial" w:cs="Arial" w:eastAsia="Arial" w:hAnsi="Arial"/>
          <w:sz w:val="16"/>
          <w:szCs w:val="16"/>
          <w:color w:val="auto"/>
        </w:rPr>
        <w:t>We have audited the consolidated statements of income (loss), comprehensive income (loss), stockholders’ equity and cash flows of LivaNova PLC and its subsidiaries (the “Company”) for the year ended December 31, 2017, including the related notes (collectively referred to as the “consolidated financial statements”). In our opinion, the consolidated financial statements present fairly, in all material respects, the results of operations and cash flows of the Company for the year ended December 31, 2017 in conformity with accounting principles generally accepted in the United States of America.</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Milan, 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SpA served as the Company’s auditor from 2015 to 2018.</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40"/>
          </w:cols>
          <w:pgMar w:left="240" w:top="661" w:right="31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Year Ended December 31,</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5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67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1,084,170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1,106,961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1,012,277</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 - exclusive of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323,635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361,812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353,192</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Product remediation</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15,777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10,680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7,254</w:t>
            </w: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506,542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464,967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380,100</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149,889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146,024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109,516</w:t>
            </w: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15,528</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12,254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15,915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17,056</w:t>
            </w: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goodwill</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Impairment of intangible assets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139,295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33,144</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Litigation provision, net</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294,021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 income from continuing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96,487</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1,318</w:t>
            </w: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Gain on acquisitions</w:t>
            </w:r>
          </w:p>
        </w:tc>
        <w:tc>
          <w:tcPr>
            <w:tcW w:w="4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11,484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39,428</w:t>
            </w: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(8,565)</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continuing operations before tax</w:t>
            </w: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(185,694)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(247,447)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121,138</w:t>
            </w: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(30,153)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(69,629)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49,954</w:t>
            </w: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(16,719)</w:t>
            </w:r>
          </w:p>
        </w:tc>
      </w:tr>
      <w:tr>
        <w:trPr>
          <w:trHeight w:val="237"/>
        </w:trPr>
        <w:tc>
          <w:tcPr>
            <w:tcW w:w="5740" w:type="dxa"/>
            <w:vAlign w:val="bottom"/>
          </w:tcPr>
          <w:p>
            <w:pPr>
              <w:ind w:left="280"/>
              <w:spacing w:after="0"/>
              <w:rPr>
                <w:sz w:val="20"/>
                <w:szCs w:val="20"/>
                <w:color w:val="auto"/>
              </w:rPr>
            </w:pPr>
            <w:r>
              <w:rPr>
                <w:rFonts w:ascii="Arial" w:cs="Arial" w:eastAsia="Arial" w:hAnsi="Arial"/>
                <w:sz w:val="18"/>
                <w:szCs w:val="18"/>
                <w:color w:val="auto"/>
              </w:rPr>
              <w:t>Net (loss) income from continuing operations</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(155,541)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(178,462)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54,465</w:t>
            </w: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(10,937)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(1,271)</w:t>
            </w: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discontinued operations, net of tax</w:t>
            </w: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(78,283)</w:t>
            </w:r>
          </w:p>
        </w:tc>
      </w:tr>
      <w:tr>
        <w:trPr>
          <w:trHeight w:val="237"/>
        </w:trPr>
        <w:tc>
          <w:tcPr>
            <w:tcW w:w="5740" w:type="dxa"/>
            <w:vAlign w:val="bottom"/>
          </w:tcPr>
          <w:p>
            <w:pPr>
              <w:ind w:left="280"/>
              <w:spacing w:after="0"/>
              <w:rPr>
                <w:sz w:val="20"/>
                <w:szCs w:val="20"/>
                <w:color w:val="auto"/>
              </w:rPr>
            </w:pPr>
            <w:r>
              <w:rPr>
                <w:rFonts w:ascii="Arial" w:cs="Arial" w:eastAsia="Arial" w:hAnsi="Arial"/>
                <w:sz w:val="18"/>
                <w:szCs w:val="18"/>
                <w:color w:val="auto"/>
              </w:rPr>
              <w:t>Net income (loss) from discontinued operations, net of tax</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(79,554)</w:t>
            </w: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(155,176)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(25,089)</w:t>
            </w:r>
          </w:p>
        </w:tc>
      </w:tr>
      <w:tr>
        <w:trPr>
          <w:trHeight w:val="20"/>
        </w:trPr>
        <w:tc>
          <w:tcPr>
            <w:tcW w:w="5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6"/>
        </w:trPr>
        <w:tc>
          <w:tcPr>
            <w:tcW w:w="5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income per share: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7"/>
        </w:trPr>
        <w:tc>
          <w:tcPr>
            <w:tcW w:w="574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(0.52)</w:t>
            </w:r>
          </w:p>
        </w:tc>
      </w:tr>
      <w:tr>
        <w:trPr>
          <w:trHeight w:val="67"/>
        </w:trPr>
        <w:tc>
          <w:tcPr>
            <w:tcW w:w="57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305"/>
        </w:trPr>
        <w:tc>
          <w:tcPr>
            <w:tcW w:w="5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Diluted (loss) income per share:</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basic (loss) income per share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48,157</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Shares used in computing diluted (loss) income per share</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48,349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48,497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48,501</w:t>
            </w:r>
          </w:p>
        </w:tc>
      </w:tr>
    </w:tbl>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66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(25,089)</w:t>
            </w: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6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gain (loss) on derivatives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1,875</w:t>
            </w:r>
          </w:p>
        </w:tc>
      </w:tr>
      <w:tr>
        <w:trPr>
          <w:trHeight w:val="27"/>
        </w:trPr>
        <w:tc>
          <w:tcPr>
            <w:tcW w:w="6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(69,764)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118,338</w:t>
            </w:r>
          </w:p>
        </w:tc>
      </w:tr>
      <w:tr>
        <w:trPr>
          <w:trHeight w:val="27"/>
        </w:trPr>
        <w:tc>
          <w:tcPr>
            <w:tcW w:w="6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113,800</w:t>
            </w:r>
          </w:p>
        </w:tc>
      </w:tr>
      <w:tr>
        <w:trPr>
          <w:trHeight w:val="257"/>
        </w:trPr>
        <w:tc>
          <w:tcPr>
            <w:tcW w:w="6300" w:type="dxa"/>
            <w:vAlign w:val="bottom"/>
          </w:tcPr>
          <w:p>
            <w:pPr>
              <w:ind w:left="40"/>
              <w:spacing w:after="0"/>
              <w:rPr>
                <w:sz w:val="20"/>
                <w:szCs w:val="20"/>
                <w:color w:val="auto"/>
              </w:rPr>
            </w:pPr>
            <w:r>
              <w:rPr>
                <w:rFonts w:ascii="Arial" w:cs="Arial" w:eastAsia="Arial" w:hAnsi="Arial"/>
                <w:sz w:val="18"/>
                <w:szCs w:val="18"/>
                <w:color w:val="auto"/>
              </w:rPr>
              <w:t>Total comprehensive (loss) income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(150,092)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(259,188)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88,711</w:t>
            </w:r>
          </w:p>
        </w:tc>
      </w:tr>
      <w:tr>
        <w:trPr>
          <w:trHeight w:val="20"/>
        </w:trPr>
        <w:tc>
          <w:tcPr>
            <w:tcW w:w="6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66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LIVANOVA PLC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line="222" w:lineRule="auto"/>
        <w:rPr>
          <w:sz w:val="20"/>
          <w:szCs w:val="20"/>
          <w:color w:val="auto"/>
        </w:rPr>
      </w:pPr>
      <w:r>
        <w:rPr>
          <w:rFonts w:ascii="Arial" w:cs="Arial" w:eastAsia="Arial" w:hAnsi="Arial"/>
          <w:sz w:val="18"/>
          <w:szCs w:val="18"/>
          <w:b w:val="1"/>
          <w:bCs w:val="1"/>
          <w:color w:val="auto"/>
        </w:rPr>
        <w:t>December 31, 2019 and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500" w:type="dxa"/>
            <w:vAlign w:val="bottom"/>
          </w:tcPr>
          <w:p>
            <w:pPr>
              <w:spacing w:after="0"/>
              <w:rPr>
                <w:sz w:val="20"/>
                <w:szCs w:val="20"/>
                <w:color w:val="auto"/>
              </w:rPr>
            </w:pPr>
          </w:p>
        </w:tc>
        <w:tc>
          <w:tcPr>
            <w:tcW w:w="1580" w:type="dxa"/>
            <w:vAlign w:val="bottom"/>
          </w:tcPr>
          <w:p>
            <w:pPr>
              <w:jc w:val="right"/>
              <w:ind w:right="7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7"/>
        </w:trPr>
        <w:tc>
          <w:tcPr>
            <w:tcW w:w="72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Current Assets:</w:t>
            </w: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2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47,204</w:t>
            </w:r>
          </w:p>
        </w:tc>
        <w:tc>
          <w:tcPr>
            <w:tcW w:w="0" w:type="dxa"/>
            <w:vAlign w:val="bottom"/>
          </w:tcPr>
          <w:p>
            <w:pPr>
              <w:spacing w:after="0"/>
              <w:rPr>
                <w:sz w:val="1"/>
                <w:szCs w:val="1"/>
                <w:color w:val="auto"/>
              </w:rPr>
            </w:pPr>
          </w:p>
        </w:tc>
      </w:tr>
      <w:tr>
        <w:trPr>
          <w:trHeight w:val="220"/>
        </w:trPr>
        <w:tc>
          <w:tcPr>
            <w:tcW w:w="7200" w:type="dxa"/>
            <w:vAlign w:val="bottom"/>
          </w:tcPr>
          <w:p>
            <w:pPr>
              <w:ind w:left="180"/>
              <w:spacing w:after="0"/>
              <w:rPr>
                <w:sz w:val="20"/>
                <w:szCs w:val="20"/>
                <w:color w:val="auto"/>
              </w:rPr>
            </w:pPr>
            <w:r>
              <w:rPr>
                <w:rFonts w:ascii="Arial" w:cs="Arial" w:eastAsia="Arial" w:hAnsi="Arial"/>
                <w:sz w:val="16"/>
                <w:szCs w:val="16"/>
                <w:color w:val="auto"/>
                <w:w w:val="96"/>
              </w:rPr>
              <w:t>Accounts receivable, net of allowance of $13,105 at December 31, 2019 and $11,598 at December 31,</w:t>
            </w: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180"/>
              <w:spacing w:after="0"/>
              <w:rPr>
                <w:sz w:val="20"/>
                <w:szCs w:val="20"/>
                <w:color w:val="auto"/>
              </w:rPr>
            </w:pPr>
            <w:r>
              <w:rPr>
                <w:rFonts w:ascii="Arial" w:cs="Arial" w:eastAsia="Arial" w:hAnsi="Arial"/>
                <w:sz w:val="16"/>
                <w:szCs w:val="16"/>
                <w:color w:val="auto"/>
              </w:rPr>
              <w:t>2018</w:t>
            </w:r>
          </w:p>
        </w:tc>
        <w:tc>
          <w:tcPr>
            <w:tcW w:w="50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257,769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256,135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164,154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153,535</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Prepaid and refundable taxes</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37,779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46,852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5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28,604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29,571</w:t>
            </w:r>
          </w:p>
        </w:tc>
        <w:tc>
          <w:tcPr>
            <w:tcW w:w="0" w:type="dxa"/>
            <w:vAlign w:val="bottom"/>
          </w:tcPr>
          <w:p>
            <w:pPr>
              <w:spacing w:after="0"/>
              <w:rPr>
                <w:sz w:val="1"/>
                <w:szCs w:val="1"/>
                <w:color w:val="auto"/>
              </w:rPr>
            </w:pPr>
          </w:p>
        </w:tc>
      </w:tr>
      <w:tr>
        <w:trPr>
          <w:trHeight w:val="217"/>
        </w:trPr>
        <w:tc>
          <w:tcPr>
            <w:tcW w:w="720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5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549,443</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533,297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181,354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191,400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Goodwill</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915,794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956,815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607,546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770,439</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Operating lease assets (Note 13)</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54,372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24,823</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68,676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68,146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5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7,356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4,781</w:t>
            </w:r>
          </w:p>
        </w:tc>
        <w:tc>
          <w:tcPr>
            <w:tcW w:w="0" w:type="dxa"/>
            <w:vAlign w:val="bottom"/>
          </w:tcPr>
          <w:p>
            <w:pPr>
              <w:spacing w:after="0"/>
              <w:rPr>
                <w:sz w:val="1"/>
                <w:szCs w:val="1"/>
                <w:color w:val="auto"/>
              </w:rPr>
            </w:pPr>
          </w:p>
        </w:tc>
      </w:tr>
      <w:tr>
        <w:trPr>
          <w:trHeight w:val="28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w:t>
            </w: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2,411,797</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2,549,701</w:t>
            </w: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5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i w:val="1"/>
                <w:iCs w:val="1"/>
                <w:color w:val="auto"/>
              </w:rPr>
              <w:t>Current Liabilities:</w:t>
            </w: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debt obligations</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77,396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28,794</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85,892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76,735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liabilities and other</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124,285</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Current litigation provision liability</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146,026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161,851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 payable</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22,530</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Accrued employee compensation and related benefits</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70,420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82,551</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5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512,553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496,746</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Long-term debt obligations</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260,330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139,538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Contingent consideration</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114,396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161,381</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Litigation provision liability</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24,378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132,210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68,189</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Long-term operating lease liabilities (Note 13)</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46,027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employee compensation and related benefits</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25,264</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15,380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22,635</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5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1,028,080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1,045,963</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Commitments and contingencies (Note 14)</w:t>
            </w: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Stockholders’ Equity:</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40"/>
              <w:spacing w:after="0"/>
              <w:rPr>
                <w:sz w:val="20"/>
                <w:szCs w:val="20"/>
                <w:color w:val="auto"/>
              </w:rPr>
            </w:pPr>
            <w:r>
              <w:rPr>
                <w:rFonts w:ascii="Arial" w:cs="Arial" w:eastAsia="Arial" w:hAnsi="Arial"/>
                <w:sz w:val="16"/>
                <w:szCs w:val="16"/>
                <w:color w:val="auto"/>
                <w:w w:val="95"/>
              </w:rPr>
              <w:t>Ordinary Shares, £1.00 par value: unlimited shares authorized; 49,411,016 shares issued and 48,443,830</w:t>
            </w: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00" w:type="dxa"/>
            <w:vAlign w:val="bottom"/>
          </w:tcPr>
          <w:p>
            <w:pPr>
              <w:ind w:left="40"/>
              <w:spacing w:after="0"/>
              <w:rPr>
                <w:sz w:val="20"/>
                <w:szCs w:val="20"/>
                <w:color w:val="auto"/>
              </w:rPr>
            </w:pPr>
            <w:r>
              <w:rPr>
                <w:rFonts w:ascii="Arial" w:cs="Arial" w:eastAsia="Arial" w:hAnsi="Arial"/>
                <w:sz w:val="16"/>
                <w:szCs w:val="16"/>
                <w:color w:val="auto"/>
                <w:w w:val="93"/>
              </w:rPr>
              <w:t>shares outstanding at December 31, 2019; 49,323,418 shares issued and 48,205,783 shares outstanding at</w:t>
            </w:r>
          </w:p>
        </w:tc>
        <w:tc>
          <w:tcPr>
            <w:tcW w:w="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40"/>
              <w:spacing w:after="0"/>
              <w:rPr>
                <w:sz w:val="20"/>
                <w:szCs w:val="20"/>
                <w:color w:val="auto"/>
              </w:rPr>
            </w:pPr>
            <w:r>
              <w:rPr>
                <w:rFonts w:ascii="Arial" w:cs="Arial" w:eastAsia="Arial" w:hAnsi="Arial"/>
                <w:sz w:val="16"/>
                <w:szCs w:val="16"/>
                <w:color w:val="auto"/>
              </w:rPr>
              <w:t>December 31, 2018</w:t>
            </w:r>
          </w:p>
        </w:tc>
        <w:tc>
          <w:tcPr>
            <w:tcW w:w="50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76,257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76,144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1,734,870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1,705,111</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5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(19,392)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(24,476)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deficit</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(406,755)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(251,579)</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Treasury stock at cost, 967,186 and 1,117,635 shares at December 31, 2019 and 2018</w:t>
            </w:r>
          </w:p>
        </w:tc>
        <w:tc>
          <w:tcPr>
            <w:tcW w:w="5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(1,263)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Stockholders’ Equity</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1,383,717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1,503,738</w:t>
            </w:r>
          </w:p>
        </w:tc>
        <w:tc>
          <w:tcPr>
            <w:tcW w:w="0" w:type="dxa"/>
            <w:vAlign w:val="bottom"/>
          </w:tcPr>
          <w:p>
            <w:pPr>
              <w:spacing w:after="0"/>
              <w:rPr>
                <w:sz w:val="1"/>
                <w:szCs w:val="1"/>
                <w:color w:val="auto"/>
              </w:rPr>
            </w:pPr>
          </w:p>
        </w:tc>
      </w:tr>
      <w:tr>
        <w:trPr>
          <w:trHeight w:val="244"/>
        </w:trPr>
        <w:tc>
          <w:tcPr>
            <w:tcW w:w="720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2,411,797</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2,549,701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636" w:right="239" w:bottom="1440" w:gutter="0" w:footer="0" w:header="0"/>
        </w:sectPr>
      </w:pPr>
    </w:p>
    <w:p>
      <w:pPr>
        <w:jc w:val="center"/>
        <w:ind w:right="-15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636"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Ordinary</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Ordinary Shares</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Additional Paid-</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Amount</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Capital</w:t>
            </w: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 Income</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000" w:type="dxa"/>
            <w:vAlign w:val="bottom"/>
          </w:tcPr>
          <w:p>
            <w:pPr>
              <w:jc w:val="center"/>
              <w:ind w:right="5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70"/>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9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48,157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74,578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1,719,893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(68,487)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1,706,909</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15,155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19,694</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113,800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113,800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1,735,048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1,815,314</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Adoption of ASU No. 2016-16</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issuances</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Share repurchases</w:t>
            </w: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(49,360)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plans</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20,128</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(189,399)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(69,789)</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49,323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76,144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1,705,111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(24,476)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(251,579)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1,503,738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plans</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30,071</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(155,176)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57"/>
        </w:trPr>
        <w:tc>
          <w:tcPr>
            <w:tcW w:w="288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49,411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76,257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1,734,870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(406,755)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1,383,717</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661" w:right="239" w:bottom="1440" w:gutter="0" w:footer="0" w:header="0"/>
        </w:sectPr>
      </w:pPr>
    </w:p>
    <w:bookmarkStart w:id="66" w:name="page67"/>
    <w:bookmarkEnd w:id="66"/>
    <w:p>
      <w:pPr>
        <w:spacing w:after="0" w:line="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LIVANOVA PLC AND SUBSIDIARIES</w:t>
      </w:r>
    </w:p>
    <w:p>
      <w:pPr>
        <w:jc w:val="center"/>
        <w:spacing w:after="0" w:line="233" w:lineRule="auto"/>
        <w:rPr>
          <w:sz w:val="20"/>
          <w:szCs w:val="20"/>
          <w:color w:val="auto"/>
        </w:rPr>
      </w:pPr>
      <w:r>
        <w:rPr>
          <w:rFonts w:ascii="Arial" w:cs="Arial" w:eastAsia="Arial" w:hAnsi="Arial"/>
          <w:sz w:val="15"/>
          <w:szCs w:val="15"/>
          <w:b w:val="1"/>
          <w:bCs w:val="1"/>
          <w:color w:val="auto"/>
        </w:rPr>
        <w:t>CONSOLIDATED STATEMENTS OF CASH FLOWS</w:t>
      </w: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5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(155,176)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(189,399)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(25,089)</w:t>
            </w: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Non-cash items included in net loss: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intangible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139,295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Impairment of goodwill</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42,417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40,375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45,881</w:t>
            </w: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32,553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26,923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19,062</w:t>
            </w: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30,317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32,746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37,054</w:t>
            </w: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Remeasurement of contingent consideration to fair value</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(29,406)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w:t>
            </w: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benefit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(26,277)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(9,272)</w:t>
            </w: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Amortization of operating lease assets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12,297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property, plant and equipment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5,979</w:t>
            </w: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Amortization of income taxes payable on inter-company transfers of property</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2,575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13,370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31,784</w:t>
            </w: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Losses from equity method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21,606</w:t>
            </w: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Gain on acquisitions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(39,428)</w:t>
            </w: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discontinued operations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93,574</w:t>
            </w: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Impairment of investments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8,565</w:t>
            </w: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5,240</w:t>
            </w: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b w:val="1"/>
                <w:bCs w:val="1"/>
                <w:color w:val="auto"/>
              </w:rPr>
              <w:t>Changes in operating assets and liabilities: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21,181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(48,934)</w:t>
            </w: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Inventories, net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(10,608)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(10,647)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7,187</w:t>
            </w: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and non-current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(6,180)</w:t>
            </w: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Accounts payable and accrued current and non-current liabilities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(31,830)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7,522</w:t>
            </w: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payable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(8,442)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(48,711)</w:t>
            </w: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Litigation provision liability, net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(123,695)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294,061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reserve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(6,747)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6,504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(14,557)</w:t>
            </w:r>
          </w:p>
        </w:tc>
      </w:tr>
      <w:tr>
        <w:trPr>
          <w:trHeight w:val="250"/>
        </w:trPr>
        <w:tc>
          <w:tcPr>
            <w:tcW w:w="676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(91,142)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120,489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91,339</w:t>
            </w: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(24,691)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(37,188)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(32,933)</w:t>
            </w: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Acquisitions, net of cash acquired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(279,691)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(14,194)</w:t>
            </w: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Purchases of intangible assets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(3,289)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(1,174)</w:t>
            </w: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(6,255)</w:t>
            </w: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Proceeds from asset sales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1,261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14,220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5,935</w:t>
            </w: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sale of CRM business franchise, net of cash disposed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186,682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Proceeds from sale of investment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3,192</w:t>
            </w: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to investees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(7,426)</w:t>
            </w: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(1,321)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67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b w:val="1"/>
                <w:bCs w:val="1"/>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(41,290)</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(120,556)</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(52,855)</w:t>
            </w:r>
          </w:p>
        </w:tc>
      </w:tr>
      <w:tr>
        <w:trPr>
          <w:trHeight w:val="258"/>
        </w:trPr>
        <w:tc>
          <w:tcPr>
            <w:tcW w:w="676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long-term debt obligations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197,160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103,570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2,048</w:t>
            </w: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Repayment of long-term debt obligations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(24,210)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(23,827)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(22,755)</w:t>
            </w: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contingent consideration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w:t>
            </w: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Shares repurchased from employees for minimum tax withholding</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(7,064)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(4,083)</w:t>
            </w: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share issuances under ESPP</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Debt issuance costs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(3,795)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short-term borrowing,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12,396</w:t>
            </w: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4,973</w:t>
            </w: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short-term borrowing (maturities greater than 90 days)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20,000</w:t>
            </w: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Repayment of short-term borrowing (maturities greater than 90 days)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(260,000)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 repurchases under share repurchase program</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Payment of deferred consideration - acquisition of Caisson Interventional, LLC</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(12,994)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250"/>
        </w:trPr>
        <w:tc>
          <w:tcPr>
            <w:tcW w:w="676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146,581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(42,348)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11,294</w:t>
            </w:r>
          </w:p>
        </w:tc>
      </w:tr>
      <w:tr>
        <w:trPr>
          <w:trHeight w:val="25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4,048</w:t>
            </w:r>
          </w:p>
        </w:tc>
      </w:tr>
      <w:tr>
        <w:trPr>
          <w:trHeight w:val="250"/>
        </w:trPr>
        <w:tc>
          <w:tcPr>
            <w:tcW w:w="6760" w:type="dxa"/>
            <w:vAlign w:val="bottom"/>
          </w:tcPr>
          <w:p>
            <w:pPr>
              <w:ind w:left="38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13,933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(46,411)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53,826</w:t>
            </w:r>
          </w:p>
        </w:tc>
      </w:tr>
      <w:tr>
        <w:trPr>
          <w:trHeight w:val="19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47,204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93,615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39,789</w:t>
            </w:r>
          </w:p>
        </w:tc>
      </w:tr>
      <w:tr>
        <w:trPr>
          <w:trHeight w:val="42"/>
        </w:trPr>
        <w:tc>
          <w:tcPr>
            <w:tcW w:w="67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ectPr>
          <w:pgSz w:w="11900" w:h="16900" w:orient="portrait"/>
          <w:cols w:equalWidth="0" w:num="1">
            <w:col w:w="11420"/>
          </w:cols>
          <w:pgMar w:left="240" w:top="662" w:right="239" w:bottom="0" w:gutter="0" w:footer="0" w:header="0"/>
        </w:sectPr>
      </w:pPr>
    </w:p>
    <w:bookmarkStart w:id="67" w:name="page68"/>
    <w:bookmarkEnd w:id="67"/>
    <w:p>
      <w:pPr>
        <w:spacing w:after="0"/>
        <w:tabs>
          <w:tab w:leader="none" w:pos="6720" w:val="left"/>
          <w:tab w:leader="none" w:pos="7680" w:val="left"/>
          <w:tab w:leader="none" w:pos="8340" w:val="left"/>
          <w:tab w:leader="none" w:pos="9280" w:val="left"/>
          <w:tab w:leader="none" w:pos="9920" w:val="left"/>
          <w:tab w:leader="none" w:pos="108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5400"/>
                    </a:xfrm>
                    <a:prstGeom prst="rect">
                      <a:avLst/>
                    </a:prstGeom>
                    <a:noFill/>
                  </pic:spPr>
                </pic:pic>
              </a:graphicData>
            </a:graphic>
          </wp:anchor>
        </w:drawing>
        <w:t>Cash and cash equivalents at end of period</w:t>
      </w:r>
      <w:r>
        <w:rPr>
          <w:sz w:val="20"/>
          <w:szCs w:val="20"/>
          <w:color w:val="auto"/>
        </w:rPr>
        <w:tab/>
      </w:r>
      <w:r>
        <w:rPr>
          <w:rFonts w:ascii="Arial" w:cs="Arial" w:eastAsia="Arial" w:hAnsi="Arial"/>
          <w:sz w:val="29"/>
          <w:szCs w:val="29"/>
          <w:b w:val="1"/>
          <w:bCs w:val="1"/>
          <w:color w:val="auto"/>
          <w:vertAlign w:val="superscript"/>
        </w:rPr>
        <w:t>$</w:t>
      </w:r>
      <w:r>
        <w:rPr>
          <w:sz w:val="20"/>
          <w:szCs w:val="20"/>
          <w:color w:val="auto"/>
        </w:rPr>
        <w:tab/>
      </w:r>
      <w:r>
        <w:rPr>
          <w:rFonts w:ascii="Arial" w:cs="Arial" w:eastAsia="Arial" w:hAnsi="Arial"/>
          <w:sz w:val="29"/>
          <w:szCs w:val="29"/>
          <w:b w:val="1"/>
          <w:bCs w:val="1"/>
          <w:color w:val="auto"/>
          <w:vertAlign w:val="superscript"/>
        </w:rPr>
        <w:t>61,137</w:t>
      </w:r>
      <w:r>
        <w:rPr>
          <w:rFonts w:ascii="Arial" w:cs="Arial" w:eastAsia="Arial" w:hAnsi="Arial"/>
          <w:sz w:val="29"/>
          <w:szCs w:val="29"/>
          <w:b w:val="1"/>
          <w:bCs w:val="1"/>
          <w:color w:val="auto"/>
        </w:rPr>
        <w:tab/>
      </w:r>
      <w:r>
        <w:rPr>
          <w:rFonts w:ascii="Arial" w:cs="Arial" w:eastAsia="Arial" w:hAnsi="Arial"/>
          <w:sz w:val="29"/>
          <w:szCs w:val="29"/>
          <w:b w:val="1"/>
          <w:bCs w:val="1"/>
          <w:color w:val="auto"/>
          <w:vertAlign w:val="superscript"/>
        </w:rPr>
        <w:t>$</w:t>
      </w:r>
      <w:r>
        <w:rPr>
          <w:sz w:val="20"/>
          <w:szCs w:val="20"/>
          <w:color w:val="auto"/>
        </w:rPr>
        <w:tab/>
      </w:r>
      <w:r>
        <w:rPr>
          <w:rFonts w:ascii="Arial" w:cs="Arial" w:eastAsia="Arial" w:hAnsi="Arial"/>
          <w:sz w:val="29"/>
          <w:szCs w:val="29"/>
          <w:b w:val="1"/>
          <w:bCs w:val="1"/>
          <w:color w:val="auto"/>
          <w:vertAlign w:val="superscript"/>
        </w:rPr>
        <w:t>47,204</w:t>
      </w:r>
      <w:r>
        <w:rPr>
          <w:rFonts w:ascii="Arial" w:cs="Arial" w:eastAsia="Arial" w:hAnsi="Arial"/>
          <w:sz w:val="29"/>
          <w:szCs w:val="29"/>
          <w:b w:val="1"/>
          <w:bCs w:val="1"/>
          <w:color w:val="auto"/>
        </w:rPr>
        <w:tab/>
      </w:r>
      <w:r>
        <w:rPr>
          <w:rFonts w:ascii="Arial" w:cs="Arial" w:eastAsia="Arial" w:hAnsi="Arial"/>
          <w:sz w:val="29"/>
          <w:szCs w:val="29"/>
          <w:b w:val="1"/>
          <w:bCs w:val="1"/>
          <w:color w:val="auto"/>
          <w:vertAlign w:val="superscript"/>
        </w:rPr>
        <w:t>$</w:t>
      </w:r>
      <w:r>
        <w:rPr>
          <w:sz w:val="20"/>
          <w:szCs w:val="20"/>
          <w:color w:val="auto"/>
        </w:rPr>
        <w:tab/>
      </w:r>
      <w:r>
        <w:rPr>
          <w:rFonts w:ascii="Arial" w:cs="Arial" w:eastAsia="Arial" w:hAnsi="Arial"/>
          <w:sz w:val="19"/>
          <w:szCs w:val="19"/>
          <w:b w:val="1"/>
          <w:bCs w:val="1"/>
          <w:color w:val="auto"/>
          <w:vertAlign w:val="superscript"/>
        </w:rPr>
        <w:t>93,615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-67945</wp:posOffset>
            </wp:positionV>
            <wp:extent cx="295846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2">
                      <a:extLst>
                        <a:ext uri="{28A0092B-C50C-407E-A947-70E740481C1C}"/>
                      </a:extLst>
                    </a:blip>
                    <a:srcRect/>
                    <a:stretch>
                      <a:fillRect/>
                    </a:stretch>
                  </pic:blipFill>
                  <pic:spPr bwMode="auto">
                    <a:xfrm>
                      <a:off x="0" y="0"/>
                      <a:ext cx="2958465" cy="26035"/>
                    </a:xfrm>
                    <a:prstGeom prst="rect">
                      <a:avLst/>
                    </a:prstGeom>
                    <a:noFill/>
                  </pic:spPr>
                </pic:pic>
              </a:graphicData>
            </a:graphic>
          </wp:anchor>
        </w:drawing>
      </w:r>
    </w:p>
    <w:p>
      <w:pPr>
        <w:sectPr>
          <w:pgSz w:w="11900" w:h="16838" w:orient="portrait"/>
          <w:cols w:equalWidth="0" w:num="1">
            <w:col w:w="11280"/>
          </w:cols>
          <w:pgMar w:left="280" w:top="198" w:right="339" w:bottom="1440" w:gutter="0" w:footer="0" w:header="0"/>
        </w:sectPr>
      </w:pP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80"/>
          </w:cols>
          <w:pgMar w:left="280" w:top="198"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Supplementary Disclosures of Cash Flow Information:</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236"/>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interest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15,828</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9,278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7,510</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Cash paid for income taxes</w:t>
            </w:r>
          </w:p>
        </w:tc>
        <w:tc>
          <w:tcPr>
            <w:tcW w:w="36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26,393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38,974</w:t>
            </w:r>
          </w:p>
        </w:tc>
      </w:tr>
    </w:tbl>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887" w:right="239" w:bottom="1440" w:gutter="0" w:footer="0" w:header="0"/>
        </w:sectPr>
      </w:pPr>
    </w:p>
    <w:bookmarkStart w:id="69" w:name="page70"/>
    <w:bookmarkEnd w:id="69"/>
    <w:p>
      <w:pPr>
        <w:jc w:val="center"/>
        <w:ind w:right="-219"/>
        <w:spacing w:after="0"/>
        <w:rPr>
          <w:sz w:val="20"/>
          <w:szCs w:val="20"/>
          <w:color w:val="auto"/>
        </w:rPr>
      </w:pPr>
      <w:r>
        <w:rPr>
          <w:rFonts w:ascii="Arial" w:cs="Arial" w:eastAsia="Arial" w:hAnsi="Arial"/>
          <w:sz w:val="18"/>
          <w:szCs w:val="18"/>
          <w:b w:val="1"/>
          <w:bCs w:val="1"/>
          <w:color w:val="auto"/>
        </w:rPr>
        <w:t>LIVANOVA PLC AND SUBSIDIARIES’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Nature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Description of the Business</w:t>
      </w:r>
    </w:p>
    <w:p>
      <w:pPr>
        <w:spacing w:after="0" w:line="56"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LivaNova PLC, headquartered in London, (collectively with its subsidiaries, the “Company,” “LivaNova,” “we” or “our”) is a global medical device company focused on the development and delivery of important therapeutic solutions for the benefit of patients, healthcare professionals and healthcare systems throughout the world. Working closely with medical professionals in the fields of cardiovascular disease and neuromodulation, we design, develop, manufacture and sell innovative therapeutic solutions that are consistent with our mission to improve our patients’ quality of life, increase the skills and capabilities of healthcare professionals and minimize healthcare costs. We are a public limited company organized under the laws of England and Wales, and headquartered in London, England.</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Business Franchises</w:t>
      </w:r>
    </w:p>
    <w:p>
      <w:pPr>
        <w:spacing w:after="0" w:line="110"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LivaNova is comprised of two principal business franchises, which are also our reportable segments: Cardiovascular and Neuromodulation, corresponding to our primary therapeutic areas. Other corporate activities include corporate shared service expenses for finance, legal, human resources, information technology and New Ventures.</w:t>
      </w:r>
    </w:p>
    <w:p>
      <w:pPr>
        <w:spacing w:after="0" w:line="78" w:lineRule="exact"/>
        <w:rPr>
          <w:sz w:val="20"/>
          <w:szCs w:val="20"/>
          <w:color w:val="auto"/>
        </w:rPr>
      </w:pPr>
    </w:p>
    <w:p>
      <w:pPr>
        <w:ind w:right="3420"/>
        <w:spacing w:after="0" w:line="363" w:lineRule="auto"/>
        <w:rPr>
          <w:sz w:val="20"/>
          <w:szCs w:val="20"/>
          <w:color w:val="auto"/>
        </w:rPr>
      </w:pPr>
      <w:r>
        <w:rPr>
          <w:rFonts w:ascii="Arial" w:cs="Arial" w:eastAsia="Arial" w:hAnsi="Arial"/>
          <w:sz w:val="20"/>
          <w:szCs w:val="20"/>
          <w:b w:val="1"/>
          <w:bCs w:val="1"/>
          <w:color w:val="auto"/>
        </w:rPr>
        <w:t xml:space="preserve">Note 2. Basis of Presentation, Use of Accounting Estimates and Significant Accounting Policies </w:t>
      </w:r>
      <w:r>
        <w:rPr>
          <w:rFonts w:ascii="Arial" w:cs="Arial" w:eastAsia="Arial" w:hAnsi="Arial"/>
          <w:sz w:val="20"/>
          <w:szCs w:val="20"/>
          <w:color w:val="auto"/>
        </w:rPr>
        <w:t>Basis of Presentation</w:t>
      </w:r>
    </w:p>
    <w:p>
      <w:pPr>
        <w:spacing w:after="0" w:line="2" w:lineRule="exact"/>
        <w:rPr>
          <w:sz w:val="20"/>
          <w:szCs w:val="20"/>
          <w:color w:val="auto"/>
        </w:rPr>
      </w:pPr>
    </w:p>
    <w:p>
      <w:pPr>
        <w:ind w:right="160" w:firstLine="162"/>
        <w:spacing w:after="0" w:line="342" w:lineRule="auto"/>
        <w:rPr>
          <w:sz w:val="20"/>
          <w:szCs w:val="20"/>
          <w:color w:val="auto"/>
        </w:rPr>
      </w:pPr>
      <w:r>
        <w:rPr>
          <w:rFonts w:ascii="Arial" w:cs="Arial" w:eastAsia="Arial" w:hAnsi="Arial"/>
          <w:sz w:val="16"/>
          <w:szCs w:val="16"/>
          <w:color w:val="auto"/>
        </w:rPr>
        <w:t>The accompanying consolidated financial statements of LivaNova have been prepared in accordance with generally accepted accounting principles in the United States (“U.S.” and such principles, “U.S. GAAP”) and the instructions to Form 10-K and Article 3 and Article 5 of Regulation S-X.</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Consolidation</w:t>
      </w:r>
    </w:p>
    <w:p>
      <w:pPr>
        <w:spacing w:after="0" w:line="110" w:lineRule="exact"/>
        <w:rPr>
          <w:sz w:val="20"/>
          <w:szCs w:val="20"/>
          <w:color w:val="auto"/>
        </w:rPr>
      </w:pPr>
    </w:p>
    <w:p>
      <w:pPr>
        <w:ind w:right="480" w:firstLine="162"/>
        <w:spacing w:after="0" w:line="277" w:lineRule="auto"/>
        <w:rPr>
          <w:sz w:val="20"/>
          <w:szCs w:val="20"/>
          <w:color w:val="auto"/>
        </w:rPr>
      </w:pPr>
      <w:r>
        <w:rPr>
          <w:rFonts w:ascii="Arial" w:cs="Arial" w:eastAsia="Arial" w:hAnsi="Arial"/>
          <w:sz w:val="18"/>
          <w:szCs w:val="18"/>
          <w:color w:val="auto"/>
        </w:rPr>
        <w:t>The accompanying consolidated financial statements for LivaNova include LivaNova’s wholly owned subsidiaries and the LivaNova PLC Employee Benefit Trust (“the Trust”). All intercompany accounts and transactions have been eliminated.</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Use of Estimates</w:t>
      </w:r>
    </w:p>
    <w:p>
      <w:pPr>
        <w:spacing w:after="0" w:line="110"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The preparation of our consolidated financial statements in conformity with U.S. GAAP requires management to make estimates and assumptions that affect the amounts reported in such financial statements and accompanying notes. These estimates are based on management’s best knowledge of current events and actions we may undertake in the future. Estimates are used in accounting for, among other items, valuation and amortization of intangible assets, goodwill, measurement of deferred tax assets and liabilities, uncertain income tax positions, stock-based compensation, obsolete and slow-moving inventories, models, such as an impairment analysis, and in general, allocations to provisions and the fair value of assets and liabilities recorded in a business combination. Actual results could differ materially from those estimates.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Reclassifications</w:t>
      </w:r>
    </w:p>
    <w:p>
      <w:pPr>
        <w:spacing w:after="0" w:line="110" w:lineRule="exact"/>
        <w:rPr>
          <w:sz w:val="20"/>
          <w:szCs w:val="20"/>
          <w:color w:val="auto"/>
        </w:rPr>
      </w:pPr>
    </w:p>
    <w:p>
      <w:pPr>
        <w:ind w:right="700" w:firstLine="162"/>
        <w:spacing w:after="0" w:line="277" w:lineRule="auto"/>
        <w:rPr>
          <w:sz w:val="20"/>
          <w:szCs w:val="20"/>
          <w:color w:val="auto"/>
        </w:rPr>
      </w:pPr>
      <w:r>
        <w:rPr>
          <w:rFonts w:ascii="Arial" w:cs="Arial" w:eastAsia="Arial" w:hAnsi="Arial"/>
          <w:sz w:val="18"/>
          <w:szCs w:val="18"/>
          <w:color w:val="auto"/>
        </w:rPr>
        <w:t>We have reclassified certain prior period amounts for comparative purposes. These reclassifications did not have a material effect on our financial condition, results of operations or cash flows.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Cash and Cash Equivalents</w:t>
      </w:r>
    </w:p>
    <w:p>
      <w:pPr>
        <w:spacing w:after="0" w:line="110" w:lineRule="exact"/>
        <w:rPr>
          <w:sz w:val="20"/>
          <w:szCs w:val="20"/>
          <w:color w:val="auto"/>
        </w:rPr>
      </w:pPr>
    </w:p>
    <w:p>
      <w:pPr>
        <w:ind w:right="440" w:firstLine="162"/>
        <w:spacing w:after="0" w:line="342" w:lineRule="auto"/>
        <w:rPr>
          <w:sz w:val="20"/>
          <w:szCs w:val="20"/>
          <w:color w:val="auto"/>
        </w:rPr>
      </w:pPr>
      <w:r>
        <w:rPr>
          <w:rFonts w:ascii="Arial" w:cs="Arial" w:eastAsia="Arial" w:hAnsi="Arial"/>
          <w:sz w:val="16"/>
          <w:szCs w:val="16"/>
          <w:color w:val="auto"/>
        </w:rPr>
        <w:t>We consider all highly liquid investments with an original maturity of three months or less, consisting of demand deposit accounts and money market mutual funds, to be cash equivalents. Cash equivalents are carried on the consolidated balance sheet at cost, which approximated their fair value.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Accounts Receivable</w:t>
      </w:r>
    </w:p>
    <w:p>
      <w:pPr>
        <w:spacing w:after="0" w:line="110" w:lineRule="exact"/>
        <w:rPr>
          <w:sz w:val="20"/>
          <w:szCs w:val="20"/>
          <w:color w:val="auto"/>
        </w:rPr>
      </w:pPr>
    </w:p>
    <w:p>
      <w:pPr>
        <w:ind w:firstLine="162"/>
        <w:spacing w:after="0" w:line="312" w:lineRule="auto"/>
        <w:rPr>
          <w:sz w:val="20"/>
          <w:szCs w:val="20"/>
          <w:color w:val="auto"/>
        </w:rPr>
      </w:pPr>
      <w:r>
        <w:rPr>
          <w:rFonts w:ascii="Arial" w:cs="Arial" w:eastAsia="Arial" w:hAnsi="Arial"/>
          <w:sz w:val="16"/>
          <w:szCs w:val="16"/>
          <w:color w:val="auto"/>
        </w:rPr>
        <w:t>Our accounts receivable consisted of trade receivables from direct customers and distributors. We maintain an allowance for doubtful accounts for potential credit losses based on our estimates of the ability of customers to make required payments, historical credit experience, existing economic conditions and expected future trends. We write off uncollectible accounts against the allowance when all reasonable collection efforts have been exhausted.</w:t>
      </w: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661" w:right="279" w:bottom="1440" w:gutter="0" w:footer="0" w:header="0"/>
        </w:sectPr>
      </w:pPr>
    </w:p>
    <w:bookmarkStart w:id="70" w:name="page71"/>
    <w:bookmarkEnd w:id="70"/>
    <w:p>
      <w:pPr>
        <w:spacing w:after="0"/>
        <w:rPr>
          <w:sz w:val="20"/>
          <w:szCs w:val="20"/>
          <w:color w:val="auto"/>
        </w:rPr>
      </w:pPr>
      <w:r>
        <w:rPr>
          <w:rFonts w:ascii="Arial" w:cs="Arial" w:eastAsia="Arial" w:hAnsi="Arial"/>
          <w:sz w:val="20"/>
          <w:szCs w:val="20"/>
          <w:color w:val="auto"/>
        </w:rPr>
        <w:t>Inventories</w:t>
      </w:r>
    </w:p>
    <w:p>
      <w:pPr>
        <w:spacing w:after="0" w:line="110" w:lineRule="exact"/>
        <w:rPr>
          <w:sz w:val="20"/>
          <w:szCs w:val="20"/>
          <w:color w:val="auto"/>
        </w:rPr>
      </w:pPr>
    </w:p>
    <w:p>
      <w:pPr>
        <w:ind w:right="160" w:firstLine="162"/>
        <w:spacing w:after="0" w:line="259" w:lineRule="auto"/>
        <w:rPr>
          <w:sz w:val="20"/>
          <w:szCs w:val="20"/>
          <w:color w:val="auto"/>
        </w:rPr>
      </w:pPr>
      <w:r>
        <w:rPr>
          <w:rFonts w:ascii="Arial" w:cs="Arial" w:eastAsia="Arial" w:hAnsi="Arial"/>
          <w:sz w:val="18"/>
          <w:szCs w:val="18"/>
          <w:color w:val="auto"/>
        </w:rPr>
        <w:t>We state our inventories at the lower of cost, using the first-in first-out (“FIFO”) method, or net realizable value. Our calculation of cost includes the acquisition cost of raw materials and components, direct labor and overhead, including depreciation of manufacturing related assets. We reduce the carrying value of inventories for those items that are potentially excess, obsolete or slow moving based on changes in customer demand, technology developments or other economic factors.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(“PP&amp;E”)</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Assets held and used</w:t>
      </w:r>
    </w:p>
    <w:p>
      <w:pPr>
        <w:spacing w:after="0" w:line="110"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PP&amp;E is carried at cost, less accumulated depreciation. Maintenance, repairs and minor replacements are charged to expense as incurred, while significant renewals and improvements are capitalized. We compute depreciation using the straight-line method over estimated useful lives. Leasehold improvements are depreciated over the shorter of the following terms: the useful life of the asset or a term that includes required lease periods and renewals that are deemed to be reasonably assured at the date the leasehold improvements are purchased. Capital improvements to the building are added as building components and depreciated over the useful life of the improvement or the building, whichever is less.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Assets held for sale</w:t>
      </w:r>
    </w:p>
    <w:p>
      <w:pPr>
        <w:spacing w:after="0" w:line="110" w:lineRule="exact"/>
        <w:rPr>
          <w:sz w:val="20"/>
          <w:szCs w:val="20"/>
          <w:color w:val="auto"/>
        </w:rPr>
      </w:pPr>
    </w:p>
    <w:p>
      <w:pPr>
        <w:ind w:right="100" w:firstLine="162"/>
        <w:spacing w:after="0" w:line="276" w:lineRule="auto"/>
        <w:rPr>
          <w:sz w:val="20"/>
          <w:szCs w:val="20"/>
          <w:color w:val="auto"/>
        </w:rPr>
      </w:pPr>
      <w:r>
        <w:rPr>
          <w:rFonts w:ascii="Arial" w:cs="Arial" w:eastAsia="Arial" w:hAnsi="Arial"/>
          <w:sz w:val="17"/>
          <w:szCs w:val="17"/>
          <w:color w:val="auto"/>
        </w:rPr>
        <w:t>We classify long-lived assets as held for sale in the period in which we commit to a plan to sell the asset, the asset is available for immediate sale, the asset is being actively marketed for sale at a price that is reasonable in relation to its current fair value and the sale of the asset is probable within the next twelve months and when actions required to complete the plan indicate that it is unlikely that significant changes to the plan will be made or that the plan will be withdrawn. A long-lived asset classified as held for sale is measured at the lower of its carrying amount or fair value less cost to sell and depreciation is discontinued. We recognize an impairment for any excess of carrying value over the fair value less cost to sell.</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Goodwill</w:t>
      </w:r>
    </w:p>
    <w:p>
      <w:pPr>
        <w:spacing w:after="0" w:line="110" w:lineRule="exact"/>
        <w:rPr>
          <w:sz w:val="20"/>
          <w:szCs w:val="20"/>
          <w:color w:val="auto"/>
        </w:rPr>
      </w:pPr>
    </w:p>
    <w:p>
      <w:pPr>
        <w:ind w:right="60" w:firstLine="162"/>
        <w:spacing w:after="0" w:line="270" w:lineRule="auto"/>
        <w:rPr>
          <w:sz w:val="20"/>
          <w:szCs w:val="20"/>
          <w:color w:val="auto"/>
        </w:rPr>
      </w:pPr>
      <w:r>
        <w:rPr>
          <w:rFonts w:ascii="Arial" w:cs="Arial" w:eastAsia="Arial" w:hAnsi="Arial"/>
          <w:sz w:val="17"/>
          <w:szCs w:val="17"/>
          <w:color w:val="auto"/>
        </w:rPr>
        <w:t>We allocate the amounts we pay for an acquisition to the assets we acquire and liabilities we assume based on their fair values at the date of acquisition, including property, plant and equipment, inventories, accounts receivable, long-term debt, and identifiable intangible assets which either arise from a contractual or legal right or are separable from goodwill. We base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 We allocate any excess purchase price over the fair value of the net tangible and identifiable intangible assets acquired to goodwill. Transaction costs associated with these acquisitions are expensed as incurred and are reported in selling, general and administrative on the consolidated statements of income (loss). We recognize adjustments to the provisional amounts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are recorded in the same period’s consolidated financial statements, calculated as if the accounting had been completed at the acquisition date.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Assets, Other than Goodwill</w:t>
      </w:r>
    </w:p>
    <w:p>
      <w:pPr>
        <w:spacing w:after="0" w:line="110"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trade names and customer relationships. Customer relationships consist of relationships with hospitals and surgeons in the countries where we operate. Indefinite-lived intangible assets other than goodwill are composed of IPR&amp;D assets acquired in acquisitions. We estimate the useful lives of our intangible assets, which requires significant management judgment. We amortize our finite-lived intangible assets over their useful lives using the straight-line method.</w:t>
      </w:r>
    </w:p>
    <w:p>
      <w:pPr>
        <w:spacing w:after="0" w:line="70" w:lineRule="exact"/>
        <w:rPr>
          <w:sz w:val="20"/>
          <w:szCs w:val="20"/>
          <w:color w:val="auto"/>
        </w:rPr>
      </w:pPr>
    </w:p>
    <w:p>
      <w:pPr>
        <w:jc w:val="both"/>
        <w:ind w:right="220" w:firstLine="162"/>
        <w:spacing w:after="0" w:line="264" w:lineRule="auto"/>
        <w:rPr>
          <w:sz w:val="20"/>
          <w:szCs w:val="20"/>
          <w:color w:val="auto"/>
        </w:rPr>
      </w:pPr>
      <w:r>
        <w:rPr>
          <w:rFonts w:ascii="Arial" w:cs="Arial" w:eastAsia="Arial" w:hAnsi="Arial"/>
          <w:sz w:val="18"/>
          <w:szCs w:val="18"/>
          <w:color w:val="auto"/>
        </w:rPr>
        <w:t>Amortization expense is disclosed separately on our consolidated statements of income (loss). We evaluate our intangible assets each reporting period to determine whether events and circumstances indicate either a different useful life or impairment. If we change our estimate of the useful life of an asset, we amortize the carrying amount over the revised remaining useful life.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Impairments of Long-Lived Assets and Goodwill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Long-lived Assets Impairment</w:t>
      </w:r>
    </w:p>
    <w:p>
      <w:pPr>
        <w:spacing w:after="0" w:line="110"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color w:val="auto"/>
        </w:rPr>
        <w:t>We evaluate the carrying value of our long-lived assets and investments for impairment when events or changes in circumstances indicate that the carrying value of such assets may not be recoverable. Such changes in circumstance may include, among other items, (i) an expectation of a sale or disposal of a long-lived asset or asset group, (ii) adverse changes in</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676" w:right="239" w:bottom="1440" w:gutter="0" w:footer="0" w:header="0"/>
        </w:sectPr>
      </w:pPr>
    </w:p>
    <w:bookmarkStart w:id="71" w:name="page72"/>
    <w:bookmarkEnd w:id="71"/>
    <w:p>
      <w:pPr>
        <w:ind w:right="280"/>
        <w:spacing w:after="0" w:line="277" w:lineRule="auto"/>
        <w:rPr>
          <w:sz w:val="20"/>
          <w:szCs w:val="20"/>
          <w:color w:val="auto"/>
        </w:rPr>
      </w:pPr>
      <w:r>
        <w:rPr>
          <w:rFonts w:ascii="Arial" w:cs="Arial" w:eastAsia="Arial" w:hAnsi="Arial"/>
          <w:sz w:val="18"/>
          <w:szCs w:val="18"/>
          <w:color w:val="auto"/>
        </w:rPr>
        <w:t>market or competitive conditions, (iii) an adverse change in legal factors or business climate in the markets in which we operate and (iv) operating or cash flow losses.</w:t>
      </w:r>
    </w:p>
    <w:p>
      <w:pPr>
        <w:spacing w:after="0" w:line="62"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For PP&amp;E and intangible assets used in our operations, recoverability generally is determined by comparing the carrying value of an asset, or group of assets to their expected undiscounted future cash flows. If the carrying value of an asset (asset group) is not recoverable, the amount of impairment loss is measured as the difference between the carrying value of the asset (asset group) and its estimated fair value. The asset grouping as well as the determination of expected undiscounted cash flow amounts requires significant judgments, estimates, and assumptions, including cash flows generated upon disposition. We measure fair value as the price that would be received if we were to sell the assets in an orderly transaction. Assets to be disposed of are carried at the lower of their financial statement carrying amount or fair value less costs to sell.</w:t>
      </w:r>
    </w:p>
    <w:p>
      <w:pPr>
        <w:spacing w:after="0" w:line="70"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color w:val="auto"/>
        </w:rPr>
        <w:t>We conduct impairment testing of our indefinite-lived intangible assets on October 1st each year. We test indefinite-lived intangible assets for impairment between annual tests if an event occurs or circumstances change that would indicate the carrying amount may be impaired. An impairment loss is recognized when the asset's carrying value exceeds its fair value.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 Impairment</w:t>
      </w:r>
    </w:p>
    <w:p>
      <w:pPr>
        <w:spacing w:after="0" w:line="110" w:lineRule="exact"/>
        <w:rPr>
          <w:sz w:val="20"/>
          <w:szCs w:val="20"/>
          <w:color w:val="auto"/>
        </w:rPr>
      </w:pPr>
    </w:p>
    <w:p>
      <w:pPr>
        <w:ind w:right="480" w:firstLine="162"/>
        <w:spacing w:after="0" w:line="257" w:lineRule="auto"/>
        <w:rPr>
          <w:sz w:val="20"/>
          <w:szCs w:val="20"/>
          <w:color w:val="auto"/>
        </w:rPr>
      </w:pPr>
      <w:r>
        <w:rPr>
          <w:rFonts w:ascii="Arial" w:cs="Arial" w:eastAsia="Arial" w:hAnsi="Arial"/>
          <w:sz w:val="18"/>
          <w:szCs w:val="18"/>
          <w:color w:val="auto"/>
        </w:rPr>
        <w:t>We conduct impairment testing of our goodwill on October 1st each year. We test goodwill for impairment between annual tests if an event occurs or circumstances change that would more-likely-than-not reduce the fair value of a reporting unit below its carrying amount. Testing is performed at the reporting unit level, which is defined as an operating segment or a component of an operating segment that constitutes a business for which financial information is available and is regularly viewed by management. Our operating segments are deemed to be our reporting units for purposes of goodwill impairment testing.</w:t>
      </w:r>
    </w:p>
    <w:p>
      <w:pPr>
        <w:spacing w:after="0" w:line="80" w:lineRule="exact"/>
        <w:rPr>
          <w:sz w:val="20"/>
          <w:szCs w:val="20"/>
          <w:color w:val="auto"/>
        </w:rPr>
      </w:pPr>
    </w:p>
    <w:p>
      <w:pPr>
        <w:ind w:firstLine="162"/>
        <w:spacing w:after="0" w:line="254" w:lineRule="auto"/>
        <w:rPr>
          <w:sz w:val="20"/>
          <w:szCs w:val="20"/>
          <w:color w:val="auto"/>
        </w:rPr>
      </w:pPr>
      <w:r>
        <w:rPr>
          <w:rFonts w:ascii="Arial" w:cs="Arial" w:eastAsia="Arial" w:hAnsi="Arial"/>
          <w:sz w:val="18"/>
          <w:szCs w:val="18"/>
          <w:color w:val="auto"/>
        </w:rPr>
        <w:t>If we determine that goodwill is more-likely-than-not impaired, we perform the first step of a two-step goodwill impairment test. We first identify potential impairment by comparing the fair value of the reporting unit to its carrying amount, including goodwill. Fair value refers to the price that would be received if we were to sell the unit as a whole in an orderly transaction. If the carrying amount of our reporting unit is greater than zero and its fair value exceeds its carrying amount, goodwill of the reporting unit is considered not impaired and the second step of the impairment test is unnecessary. If the carrying value of the reporting unit exceeds its fair value, we perform step 2 of the goodwill impairment test. An impairment loss is recognized when the carrying amount of the reporting unit’s net assets exceeds the estimated fair value of the reporting unit, up to and including the carrying amount of the goodwill. Fair value is estimated using a discounted cash flow model. Estimating fair value requires various assumptions, including revenue and gross margin growth rates and discount rates.</w:t>
      </w:r>
    </w:p>
    <w:p>
      <w:pPr>
        <w:spacing w:after="0" w:line="84" w:lineRule="exact"/>
        <w:rPr>
          <w:sz w:val="20"/>
          <w:szCs w:val="20"/>
          <w:color w:val="auto"/>
        </w:rPr>
      </w:pPr>
    </w:p>
    <w:p>
      <w:pPr>
        <w:ind w:right="200" w:firstLine="162"/>
        <w:spacing w:after="0" w:line="308" w:lineRule="auto"/>
        <w:rPr>
          <w:sz w:val="20"/>
          <w:szCs w:val="20"/>
          <w:color w:val="auto"/>
        </w:rPr>
      </w:pPr>
      <w:r>
        <w:rPr>
          <w:rFonts w:ascii="Arial" w:cs="Arial" w:eastAsia="Arial" w:hAnsi="Arial"/>
          <w:sz w:val="17"/>
          <w:szCs w:val="17"/>
          <w:color w:val="auto"/>
        </w:rPr>
        <w:t>If the aggregate fair value of our reporting units exceeds our market capitalization, we evaluate the reasonableness of the implied control premium which includes a comparison to implied control premiums from recent market transactions within our industry or other relevant benchmark data.</w:t>
      </w:r>
    </w:p>
    <w:p>
      <w:pPr>
        <w:spacing w:after="0" w:line="38" w:lineRule="exact"/>
        <w:rPr>
          <w:sz w:val="20"/>
          <w:szCs w:val="20"/>
          <w:color w:val="auto"/>
        </w:rPr>
      </w:pPr>
    </w:p>
    <w:p>
      <w:pPr>
        <w:ind w:right="200" w:firstLine="162"/>
        <w:spacing w:after="0" w:line="257" w:lineRule="auto"/>
        <w:rPr>
          <w:sz w:val="20"/>
          <w:szCs w:val="20"/>
          <w:color w:val="auto"/>
        </w:rPr>
      </w:pPr>
      <w:r>
        <w:rPr>
          <w:rFonts w:ascii="Arial" w:cs="Arial" w:eastAsia="Arial" w:hAnsi="Arial"/>
          <w:sz w:val="18"/>
          <w:szCs w:val="18"/>
          <w:color w:val="auto"/>
        </w:rPr>
        <w:t>Goodwill impairment evaluations are highly subjective. In most instances, they involve expectations of future cash flows that reflect our judgments and assumptions regarding future industry conditions and operations. The estimates, judgments and assumptions used in the application of our goodwill impairment policies reflect both historical experience and an assessment of current operational, industry, market, economic and political environments. The use of different estimates, judgments, assumptions and expectations regarding future industry and market conditions and operations would likely result in materially different asset carrying values and operating results.</w:t>
      </w:r>
    </w:p>
    <w:p>
      <w:pPr>
        <w:spacing w:after="0" w:line="80" w:lineRule="exact"/>
        <w:rPr>
          <w:sz w:val="20"/>
          <w:szCs w:val="20"/>
          <w:color w:val="auto"/>
        </w:rPr>
      </w:pPr>
    </w:p>
    <w:p>
      <w:pPr>
        <w:ind w:right="100" w:firstLine="162"/>
        <w:spacing w:after="0" w:line="286" w:lineRule="auto"/>
        <w:rPr>
          <w:sz w:val="20"/>
          <w:szCs w:val="20"/>
          <w:color w:val="auto"/>
        </w:rPr>
      </w:pPr>
      <w:r>
        <w:rPr>
          <w:rFonts w:ascii="Arial" w:cs="Arial" w:eastAsia="Arial" w:hAnsi="Arial"/>
          <w:sz w:val="17"/>
          <w:szCs w:val="17"/>
          <w:color w:val="auto"/>
        </w:rPr>
        <w:t>Quantitative factors used to determine the fair value of the reporting units reflect our best estimates, and we believe they are reasonable. Future declines in the reporting units’ operating performance or our anticipated business outlook may reduce the estimated fair value of our reporting units and result in an impairment. Factors that could have a negative impact on the fair value of the reporting units include, but are not limited to:</w:t>
      </w:r>
    </w:p>
    <w:p>
      <w:pPr>
        <w:spacing w:after="0" w:line="57" w:lineRule="exact"/>
        <w:rPr>
          <w:sz w:val="20"/>
          <w:szCs w:val="20"/>
          <w:color w:val="auto"/>
        </w:rPr>
      </w:pPr>
    </w:p>
    <w:p>
      <w:pPr>
        <w:ind w:left="720" w:hanging="55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decreases in revenue as a result of the inability of our sales force to effectively market and promote our products;</w:t>
      </w:r>
    </w:p>
    <w:p>
      <w:pPr>
        <w:spacing w:after="0" w:line="63" w:lineRule="exact"/>
        <w:rPr>
          <w:rFonts w:ascii="Arial" w:cs="Arial" w:eastAsia="Arial" w:hAnsi="Arial"/>
          <w:sz w:val="18"/>
          <w:szCs w:val="18"/>
          <w:color w:val="auto"/>
        </w:rPr>
      </w:pPr>
    </w:p>
    <w:p>
      <w:pPr>
        <w:ind w:left="720" w:hanging="55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competition, patent expirations or new technologies or treatments;</w:t>
      </w:r>
    </w:p>
    <w:p>
      <w:pPr>
        <w:spacing w:after="0" w:line="63" w:lineRule="exact"/>
        <w:rPr>
          <w:rFonts w:ascii="Arial" w:cs="Arial" w:eastAsia="Arial" w:hAnsi="Arial"/>
          <w:sz w:val="18"/>
          <w:szCs w:val="18"/>
          <w:color w:val="auto"/>
        </w:rPr>
      </w:pPr>
    </w:p>
    <w:p>
      <w:pPr>
        <w:ind w:left="720" w:hanging="55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declines in anticipated growth rates;</w:t>
      </w:r>
    </w:p>
    <w:p>
      <w:pPr>
        <w:spacing w:after="0" w:line="63" w:lineRule="exact"/>
        <w:rPr>
          <w:rFonts w:ascii="Arial" w:cs="Arial" w:eastAsia="Arial" w:hAnsi="Arial"/>
          <w:sz w:val="18"/>
          <w:szCs w:val="18"/>
          <w:color w:val="auto"/>
        </w:rPr>
      </w:pPr>
    </w:p>
    <w:p>
      <w:pPr>
        <w:ind w:left="720" w:hanging="55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of litigation, legal proceedings, investigations or other claims resulting in significant cash outflows; and</w:t>
      </w:r>
    </w:p>
    <w:p>
      <w:pPr>
        <w:spacing w:after="0" w:line="63" w:lineRule="exact"/>
        <w:rPr>
          <w:rFonts w:ascii="Arial" w:cs="Arial" w:eastAsia="Arial" w:hAnsi="Arial"/>
          <w:sz w:val="18"/>
          <w:szCs w:val="18"/>
          <w:color w:val="auto"/>
        </w:rPr>
      </w:pPr>
    </w:p>
    <w:p>
      <w:pPr>
        <w:ind w:left="720" w:hanging="55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market-participant risk-adjusted Weighted Average Cost of Capital (“WACC”).</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Derivatives and Risk Management</w:t>
      </w:r>
    </w:p>
    <w:p>
      <w:pPr>
        <w:spacing w:after="0" w:line="110"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U.S. GAAP requires companies to recognize all derivatives as assets and liabilities on the balance sheet and to measure the instruments at fair value through earnings unless the derivative qualifies for hedge accounting. If the derivative qualifies for hedge accounting, depending on the nature of the hedge and hedge effectiveness, changes in the fair value of the derivative will either be recognized immediately in earnings or recorded in other comprehensive income (“OCI”) until the hedged item is recognized in earnings. The changes in the fair value of the derivative are intended to offset the change in fair value of the</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665" w:right="259" w:bottom="1440" w:gutter="0" w:footer="0" w:header="0"/>
        </w:sectPr>
      </w:pPr>
    </w:p>
    <w:bookmarkStart w:id="72" w:name="page73"/>
    <w:bookmarkEnd w:id="72"/>
    <w:p>
      <w:pPr>
        <w:ind w:right="120"/>
        <w:spacing w:after="0" w:line="277" w:lineRule="auto"/>
        <w:rPr>
          <w:sz w:val="20"/>
          <w:szCs w:val="20"/>
          <w:color w:val="auto"/>
        </w:rPr>
      </w:pPr>
      <w:r>
        <w:rPr>
          <w:rFonts w:ascii="Arial" w:cs="Arial" w:eastAsia="Arial" w:hAnsi="Arial"/>
          <w:sz w:val="18"/>
          <w:szCs w:val="18"/>
          <w:color w:val="auto"/>
        </w:rPr>
        <w:t>hedged asset, liability or probable commitment. We evaluate hedge effectiveness at inception. Cash flows from derivative contracts are reported as operating activities on the consolidated statements of cash flows.</w:t>
      </w:r>
    </w:p>
    <w:p>
      <w:pPr>
        <w:spacing w:after="0" w:line="62" w:lineRule="exact"/>
        <w:rPr>
          <w:sz w:val="20"/>
          <w:szCs w:val="20"/>
          <w:color w:val="auto"/>
        </w:rPr>
      </w:pPr>
    </w:p>
    <w:p>
      <w:pPr>
        <w:ind w:right="20" w:firstLine="162"/>
        <w:spacing w:after="0" w:line="297" w:lineRule="auto"/>
        <w:rPr>
          <w:sz w:val="20"/>
          <w:szCs w:val="20"/>
          <w:color w:val="auto"/>
        </w:rPr>
      </w:pPr>
      <w:r>
        <w:rPr>
          <w:rFonts w:ascii="Arial" w:cs="Arial" w:eastAsia="Arial" w:hAnsi="Arial"/>
          <w:sz w:val="16"/>
          <w:szCs w:val="16"/>
          <w:color w:val="auto"/>
        </w:rPr>
        <w:t>We use currency exchange rate derivative contracts and interest rate derivative instruments to manage the impact of currency exchange and interest rate changes on earnings and cash flows. Forward currency exchange rate contracts are designed to hedge anticipated foreign currency transactions and changes in the value of specific assets and liabilities. At inception of the forward contract, the derivative is designated as either a freestanding derivative or a cash flow hedge. We do not enter into derivative contracts for speculative purposes. All derivative instruments are recorded at fair value on the consolidated balance sheets, as assets or liabilities (current or non-current) depending upon the gain or loss position of the contract and contract maturity date.</w:t>
      </w:r>
    </w:p>
    <w:p>
      <w:pPr>
        <w:spacing w:after="0" w:line="50" w:lineRule="exact"/>
        <w:rPr>
          <w:sz w:val="20"/>
          <w:szCs w:val="20"/>
          <w:color w:val="auto"/>
        </w:rPr>
      </w:pPr>
    </w:p>
    <w:p>
      <w:pPr>
        <w:ind w:right="120" w:firstLine="162"/>
        <w:spacing w:after="0" w:line="272" w:lineRule="auto"/>
        <w:rPr>
          <w:sz w:val="20"/>
          <w:szCs w:val="20"/>
          <w:color w:val="auto"/>
        </w:rPr>
      </w:pPr>
      <w:r>
        <w:rPr>
          <w:rFonts w:ascii="Arial" w:cs="Arial" w:eastAsia="Arial" w:hAnsi="Arial"/>
          <w:sz w:val="17"/>
          <w:szCs w:val="17"/>
          <w:color w:val="auto"/>
        </w:rPr>
        <w:t>Forward contracts designated as cash flow hedges are designed to hedge the variability of cash flows associated with forecasted transactions denominated in a foreign currency that will take place in the future. For derivative instruments that are designated and qualify as a cash flow hedge, the gain or loss on the derivative instrument is reported as a component of accumulated other comprehensive income (“AOCI”) and reclassified into earnings to offset exchange differences originated by the hedged item or the current earnings effect of the hedged item. We use freestanding derivative forward contracts to offset exposure to the variability of the value associated with assets and liabilities denominated in a foreign currency. These derivatives are not designated as hedges, and therefore changes in the value of these forward contracts are recognized in earnings, thereby offsetting the current earnings effect of the related change in value of foreign currency denominated assets and liabilities.</w:t>
      </w:r>
    </w:p>
    <w:p>
      <w:pPr>
        <w:spacing w:after="0" w:line="70"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We use interest rate derivative instruments designated as cash flow hedges to manage the exposure to interest rate movements and to reduce the risk of increased borrowing costs by converting floating-rate debt into fixed-rate debt. Under these agreements, we agree to exchange, at specified intervals, the difference between fixed and floating interest amounts calculated by reference to agreed-upon notional principal amounts. The interest rate swaps are structured to mirror the payment terms of the underlying loan. The fair value of the interest rate swaps is reported on the consolidated balance sheets as assets or liabilities (current or non-current) depending upon the gain or loss position of the contract and the maturity of the future cash flows of each contract. The gain or loss on these derivatives is reported as a component of AOCI.</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Fair Value Measurements</w:t>
      </w:r>
    </w:p>
    <w:p>
      <w:pPr>
        <w:spacing w:after="0" w:line="11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We follow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us. Unobservable inputs are inputs that reflect our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7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ind w:left="140"/>
              <w:spacing w:after="0"/>
              <w:rPr>
                <w:sz w:val="20"/>
                <w:szCs w:val="20"/>
                <w:color w:val="auto"/>
              </w:rPr>
            </w:pPr>
            <w:r>
              <w:rPr>
                <w:rFonts w:ascii="Arial" w:cs="Arial" w:eastAsia="Arial" w:hAnsi="Arial"/>
                <w:sz w:val="18"/>
                <w:szCs w:val="18"/>
                <w:color w:val="auto"/>
              </w:rPr>
              <w:t>Level 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40" w:type="dxa"/>
            <w:vAlign w:val="bottom"/>
          </w:tcPr>
          <w:p>
            <w:pPr>
              <w:ind w:left="80"/>
              <w:spacing w:after="0"/>
              <w:rPr>
                <w:sz w:val="20"/>
                <w:szCs w:val="20"/>
                <w:color w:val="auto"/>
              </w:rPr>
            </w:pPr>
            <w:r>
              <w:rPr>
                <w:rFonts w:ascii="Arial" w:cs="Arial" w:eastAsia="Arial" w:hAnsi="Arial"/>
                <w:sz w:val="18"/>
                <w:szCs w:val="18"/>
                <w:color w:val="auto"/>
              </w:rPr>
              <w:t>Inputs are quoted prices in active markets for identical assets or liabilities;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ind w:left="140"/>
              <w:spacing w:after="0"/>
              <w:rPr>
                <w:sz w:val="20"/>
                <w:szCs w:val="20"/>
                <w:color w:val="auto"/>
              </w:rPr>
            </w:pPr>
            <w:r>
              <w:rPr>
                <w:rFonts w:ascii="Arial" w:cs="Arial" w:eastAsia="Arial" w:hAnsi="Arial"/>
                <w:sz w:val="18"/>
                <w:szCs w:val="18"/>
                <w:color w:val="auto"/>
              </w:rPr>
              <w:t>Level 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40" w:type="dxa"/>
            <w:vAlign w:val="bottom"/>
          </w:tcPr>
          <w:p>
            <w:pPr>
              <w:ind w:left="140"/>
              <w:spacing w:after="0"/>
              <w:rPr>
                <w:sz w:val="20"/>
                <w:szCs w:val="20"/>
                <w:color w:val="auto"/>
              </w:rPr>
            </w:pPr>
            <w:r>
              <w:rPr>
                <w:rFonts w:ascii="Arial" w:cs="Arial" w:eastAsia="Arial" w:hAnsi="Arial"/>
                <w:sz w:val="18"/>
                <w:szCs w:val="18"/>
                <w:color w:val="auto"/>
                <w:w w:val="93"/>
              </w:rPr>
              <w:t>Inputs include quoted prices for similar assets or liabilities in active markets, quoted prices for identical or similar assets or liabilities in</w:t>
            </w:r>
          </w:p>
        </w:tc>
      </w:tr>
      <w:tr>
        <w:trPr>
          <w:trHeight w:val="216"/>
        </w:trPr>
        <w:tc>
          <w:tcPr>
            <w:tcW w:w="180" w:type="dxa"/>
            <w:vAlign w:val="bottom"/>
          </w:tcPr>
          <w:p>
            <w:pPr>
              <w:spacing w:after="0"/>
              <w:rPr>
                <w:sz w:val="18"/>
                <w:szCs w:val="18"/>
                <w:color w:val="auto"/>
              </w:rPr>
            </w:pPr>
          </w:p>
        </w:tc>
        <w:tc>
          <w:tcPr>
            <w:tcW w:w="11060" w:type="dxa"/>
            <w:vAlign w:val="bottom"/>
            <w:gridSpan w:val="3"/>
          </w:tcPr>
          <w:p>
            <w:pPr>
              <w:ind w:left="140"/>
              <w:spacing w:after="0"/>
              <w:rPr>
                <w:sz w:val="20"/>
                <w:szCs w:val="20"/>
                <w:color w:val="auto"/>
              </w:rPr>
            </w:pPr>
            <w:r>
              <w:rPr>
                <w:rFonts w:ascii="Arial" w:cs="Arial" w:eastAsia="Arial" w:hAnsi="Arial"/>
                <w:sz w:val="18"/>
                <w:szCs w:val="18"/>
                <w:color w:val="auto"/>
                <w:w w:val="97"/>
              </w:rPr>
              <w:t>markets that are not active, and inputs (other than quoted prices) that are observable for the asset or liability, either directly or indirectly; and</w:t>
            </w: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ind w:left="140"/>
              <w:spacing w:after="0"/>
              <w:rPr>
                <w:sz w:val="20"/>
                <w:szCs w:val="20"/>
                <w:color w:val="auto"/>
              </w:rPr>
            </w:pPr>
            <w:r>
              <w:rPr>
                <w:rFonts w:ascii="Arial" w:cs="Arial" w:eastAsia="Arial" w:hAnsi="Arial"/>
                <w:sz w:val="18"/>
                <w:szCs w:val="18"/>
                <w:color w:val="auto"/>
              </w:rPr>
              <w:t>Level 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40" w:type="dxa"/>
            <w:vAlign w:val="bottom"/>
          </w:tcPr>
          <w:p>
            <w:pPr>
              <w:ind w:left="80"/>
              <w:spacing w:after="0"/>
              <w:rPr>
                <w:sz w:val="20"/>
                <w:szCs w:val="20"/>
                <w:color w:val="auto"/>
              </w:rPr>
            </w:pPr>
            <w:r>
              <w:rPr>
                <w:rFonts w:ascii="Arial" w:cs="Arial" w:eastAsia="Arial" w:hAnsi="Arial"/>
                <w:sz w:val="18"/>
                <w:szCs w:val="18"/>
                <w:color w:val="auto"/>
              </w:rPr>
              <w:t>Inputs are unobservable for the asset or liability.</w:t>
            </w:r>
          </w:p>
        </w:tc>
      </w:tr>
    </w:tbl>
    <w:p>
      <w:pPr>
        <w:spacing w:after="0" w:line="40"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Financial assets and liabilities that are classified as Level 2 include derivative instruments, primarily forward and option currency contracts and interest rate swaps contracts, which are valued using standard calculations and models that use readily observable market data as their basis.</w:t>
      </w:r>
    </w:p>
    <w:p>
      <w:pPr>
        <w:spacing w:after="0" w:line="3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Financial liabilities that are classified as Level 3 include contingent consideration arrangements resulting from acquisitions that involve potential future payment of consideration that is contingent upon the achievement of performance milestones and sales-based earn-outs. Contingent consideration is recognized at fair value at the date of acquisition based on the consideration expected to be transferred and estimated as the probability of future cash flows, discounted to present value in accordance with accepted valuation methodologies. The discount rate used is determined at the time of measurement. Contingent consideration is remeasured each reporting period with the change in fair value, including accretion for the passage of time, recorded in earnings. The change in fair value of contingent consideration based on the achievement of regulatory milestones is recorded as research and development expense while the change in fair value of sales-based earnout contingent consideration is recorded as cost of sales. Contingent consideration payments made soon after the acquisition date are classified as an investing activity. Contingent consideration</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665" w:right="239" w:bottom="1440" w:gutter="0" w:footer="0" w:header="0"/>
        </w:sectPr>
      </w:pPr>
    </w:p>
    <w:bookmarkStart w:id="73" w:name="page74"/>
    <w:bookmarkEnd w:id="73"/>
    <w:p>
      <w:pPr>
        <w:spacing w:after="0" w:line="277" w:lineRule="auto"/>
        <w:rPr>
          <w:sz w:val="20"/>
          <w:szCs w:val="20"/>
          <w:color w:val="auto"/>
        </w:rPr>
      </w:pPr>
      <w:r>
        <w:rPr>
          <w:rFonts w:ascii="Arial" w:cs="Arial" w:eastAsia="Arial" w:hAnsi="Arial"/>
          <w:sz w:val="18"/>
          <w:szCs w:val="18"/>
          <w:color w:val="auto"/>
        </w:rPr>
        <w:t>payments that are not made soon after the acquisition date are classified as a financing activity up to the amount of the contingent consideration liability recognized at the acquisition date, with any excess classified as an operating activity.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Investments in Equity Securities</w:t>
      </w:r>
    </w:p>
    <w:p>
      <w:pPr>
        <w:spacing w:after="0" w:line="110"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Our investments in equity securities, and related loans, are investments in affiliates that are in varied stages of development and not publicly traded. Our equity investments are reported in investments, and related loans in other assets, on the consolidated balance sheets.</w:t>
      </w:r>
    </w:p>
    <w:p>
      <w:pPr>
        <w:spacing w:after="0" w:line="62"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We elect to measure investments that do not have readily determinable fair values, at cost minus impairment, if any, plus or minus changes resulting from observable price changes in orderly transactions for an identical or a similar investment of the same issuer.</w:t>
      </w:r>
    </w:p>
    <w:p>
      <w:pPr>
        <w:spacing w:after="0" w:line="62" w:lineRule="exact"/>
        <w:rPr>
          <w:sz w:val="20"/>
          <w:szCs w:val="20"/>
          <w:color w:val="auto"/>
        </w:rPr>
      </w:pPr>
    </w:p>
    <w:p>
      <w:pPr>
        <w:ind w:right="160" w:firstLine="162"/>
        <w:spacing w:after="0" w:line="255" w:lineRule="auto"/>
        <w:rPr>
          <w:sz w:val="20"/>
          <w:szCs w:val="20"/>
          <w:color w:val="auto"/>
        </w:rPr>
      </w:pPr>
      <w:r>
        <w:rPr>
          <w:rFonts w:ascii="Arial" w:cs="Arial" w:eastAsia="Arial" w:hAnsi="Arial"/>
          <w:sz w:val="18"/>
          <w:szCs w:val="18"/>
          <w:color w:val="auto"/>
        </w:rPr>
        <w:t>Our investments in affiliates in which we have significant influence but not control are accounted for using the equity method. Our share of net income or loss is reflected as one line item on our consolidated statements of income (loss) under losses from losses from equity-method investments and will increase or decrease, as applicable, the carrying value of our equity method investments reported under investments on the consolidated balance sheets. We regularly review our investments for changes in circumstance or the occurrence of events that suggest our investment may not be recoverable, and if an impairment is considered to be other-than-temporary, the loss is recognized on the consolidated statements of income (loss) in the period the determination is made and reported as losses from equity-method investments.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Warranty Obligation</w:t>
      </w:r>
    </w:p>
    <w:p>
      <w:pPr>
        <w:spacing w:after="0" w:line="110"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We offer a warranty on various products. We estimate the costs that may be incurred under warranties and record a liability in the amount of such costs at the time the product is sold. The amount of the reserve recorded is equal to the net costs to repair or otherwise satisfy the claim. We include the warranty obligation in accrued liabilities and other on the consolidated balance sheets. Warranty expense is recorded to cost of goods sold on our consolidated statements of income (loss).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Retirement Benefit Plan Assumptions</w:t>
      </w:r>
    </w:p>
    <w:p>
      <w:pPr>
        <w:spacing w:after="0" w:line="11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We sponsor various retirement benefit plans, including defined benefit pension plans (pension benefits), defined contribution savings plans and termination indemnity plans, covering substantially all U.S. employees and employees outside the U.S. Pension benefit costs include assumptions for the discount rate, retirement age, compensation rate increases and the expected return on plan assets.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Product Liability Accruals</w:t>
      </w:r>
    </w:p>
    <w:p>
      <w:pPr>
        <w:spacing w:after="0" w:line="110" w:lineRule="exact"/>
        <w:rPr>
          <w:sz w:val="20"/>
          <w:szCs w:val="20"/>
          <w:color w:val="auto"/>
        </w:rPr>
      </w:pPr>
    </w:p>
    <w:p>
      <w:pPr>
        <w:ind w:right="360" w:firstLine="162"/>
        <w:spacing w:after="0" w:line="342" w:lineRule="auto"/>
        <w:rPr>
          <w:sz w:val="20"/>
          <w:szCs w:val="20"/>
          <w:color w:val="auto"/>
        </w:rPr>
      </w:pPr>
      <w:r>
        <w:rPr>
          <w:rFonts w:ascii="Arial" w:cs="Arial" w:eastAsia="Arial" w:hAnsi="Arial"/>
          <w:sz w:val="16"/>
          <w:szCs w:val="16"/>
          <w:color w:val="auto"/>
        </w:rPr>
        <w:t>Accruals for product liability claims are recorded when it is probable that a liability has been incurred and the amount of the liability can be reasonably estimated based on existing information. Accruals for product liability claims are adjusted periodically as additional information becomes available.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Revenue Recognition</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3. Revenue Recognition.”</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w:t>
      </w:r>
    </w:p>
    <w:p>
      <w:pPr>
        <w:spacing w:after="0" w:line="110"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All R&amp;D costs are expensed as incurred. R&amp;D includes costs of basic research activities as well as engineering and technical effort required to develop a new product or make significant improvements to an existing product or manufacturing process. R&amp;D costs also include regulatory and clinical study expenses, including post-market clinical studies.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Leases</w:t>
      </w:r>
    </w:p>
    <w:p>
      <w:pPr>
        <w:spacing w:after="0" w:line="110" w:lineRule="exact"/>
        <w:rPr>
          <w:sz w:val="20"/>
          <w:szCs w:val="20"/>
          <w:color w:val="auto"/>
        </w:rPr>
      </w:pPr>
    </w:p>
    <w:p>
      <w:pPr>
        <w:ind w:right="100" w:firstLine="162"/>
        <w:spacing w:after="0" w:line="291" w:lineRule="auto"/>
        <w:rPr>
          <w:sz w:val="20"/>
          <w:szCs w:val="20"/>
          <w:color w:val="auto"/>
        </w:rPr>
      </w:pPr>
      <w:r>
        <w:rPr>
          <w:rFonts w:ascii="Arial" w:cs="Arial" w:eastAsia="Arial" w:hAnsi="Arial"/>
          <w:sz w:val="16"/>
          <w:szCs w:val="16"/>
          <w:color w:val="auto"/>
        </w:rPr>
        <w:t xml:space="preserve">On January 1, 2019, we adopted ASC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including subsequent related accounting updates (collectively referred to as “Topic 842”), which supersedes the previous accounting model for leases. We adopted the standard using the modified retrospective approach with an effective date as of January 1, 2019. Prior year financial statements were not recast under the new standard. In addition, we elected the package of practical expedients permitted under the transition guidance within the new standard, which among other things, allowed us to carry forward our historical assessment of whether contracts are or contain leases and lease classification. We also elected the practical expedient to account for lease and non-lease components together as a single combined lease component, which is applicable to all asset classes. We did not, however, elect the practical expedient related to using hindsight in determining the lease term as this was not relevant following our election of the modified retrospective approach.</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665" w:right="239" w:bottom="1440" w:gutter="0" w:footer="0" w:header="0"/>
        </w:sectPr>
      </w:pPr>
    </w:p>
    <w:bookmarkStart w:id="74" w:name="page75"/>
    <w:bookmarkEnd w:id="74"/>
    <w:p>
      <w:pPr>
        <w:jc w:val="both"/>
        <w:ind w:right="80" w:firstLine="162"/>
        <w:spacing w:after="0" w:line="257" w:lineRule="auto"/>
        <w:rPr>
          <w:sz w:val="20"/>
          <w:szCs w:val="20"/>
          <w:color w:val="auto"/>
        </w:rPr>
      </w:pPr>
      <w:r>
        <w:rPr>
          <w:rFonts w:ascii="Arial" w:cs="Arial" w:eastAsia="Arial" w:hAnsi="Arial"/>
          <w:sz w:val="18"/>
          <w:szCs w:val="18"/>
          <w:color w:val="auto"/>
        </w:rPr>
        <w:t>In addition, we elect certain practical expedients on an ongoing basis, including the practical expedient for short-term leases pursuant to which a lessee is permitted to make an accounting policy election by class of underlying asset not to recognize a lease liability and operating lease asset for leases with a term of 12 months or less and that do not include an option to purchase the underlying asset that the lessee is reasonably certain to exercise. We have applied this accounting policy to all asset classes in our portfolio and will recognize the lease payments for such short-term leases within profit and loss on a straight-line basis over the lease term.</w:t>
      </w:r>
    </w:p>
    <w:p>
      <w:pPr>
        <w:spacing w:after="0" w:line="80"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Furthermore, from a lessor perspective, certain of our agreements that allow the customer to use, rather than purchase, our medical devices meet the criteria of being a lease in accordance with the new standard. While the amount of revenue and expenses recognized over the contract term will not be impacted, the timing of revenue and expense recognition will be impacted depending upon lease classification. We enacted appropriate changes to our business processes, systems and internal controls to support identification, recognition and disclosure of leases under the new standard.</w:t>
      </w:r>
    </w:p>
    <w:p>
      <w:pPr>
        <w:spacing w:after="0" w:line="63" w:lineRule="exact"/>
        <w:rPr>
          <w:sz w:val="20"/>
          <w:szCs w:val="20"/>
          <w:color w:val="auto"/>
        </w:rPr>
      </w:pPr>
    </w:p>
    <w:p>
      <w:pPr>
        <w:ind w:firstLine="162"/>
        <w:spacing w:after="0" w:line="288" w:lineRule="auto"/>
        <w:rPr>
          <w:sz w:val="20"/>
          <w:szCs w:val="20"/>
          <w:color w:val="auto"/>
        </w:rPr>
      </w:pPr>
      <w:r>
        <w:rPr>
          <w:rFonts w:ascii="Arial" w:cs="Arial" w:eastAsia="Arial" w:hAnsi="Arial"/>
          <w:sz w:val="16"/>
          <w:szCs w:val="16"/>
          <w:color w:val="auto"/>
        </w:rPr>
        <w:t>We determine if an arrangement is or contains a lease at inception. Operating lease assets and operating lease liabilities are recognized based on the present value of the future minimum lease payments over the lease term at the latter of our lease standard effective date for adoption or the lease commencement date. Variable lease payments, such as common area rent maintenance charges and rent escalations not known upon lease commencement, are not included in determination of the minimum lease payments and will be expensed in the period in which the obligation for those payments is incurred. As most of our leases do not provide an implicit rate, we use our incremental borrowing rate based on the information available at commencement in determining the present value of future payments. The incremental borrowing rate represents an estimate of the interest rate we would incur at lease commencement to borrow an amount equal to the lease payments on a collateralized basis over the term of a lease within a particular currency environment. We used the incremental borrowing rate available nearest to our adoption date for leases that commenced prior to that date. The operating lease asset also includes any lease payments made in advance and excludes lease incentives. Our lease terms may include options to extend or terminate the lease when it is reasonably certain that we will exercise that option. Lease expense for minimum lease payments is recognized on a straight-line basis over the lease term.</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additional information refer to “Note 13. Leases.”</w:t>
      </w:r>
    </w:p>
    <w:p>
      <w:pPr>
        <w:spacing w:after="0" w:line="117"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 xml:space="preserve">Prior to the adoption of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and subsequent amendments on January 1, 2019, we accounted for leases that transfer substantially all benefits and risks incidental to the ownership of property as an acquisition of an asset and the incurrence of an obligation, and we accounted for all other leases as operating leases. Certain of our leases provide for tenant improvement allowances that were recorded as deferred rent and amortized using the straight-line method over the life of the lease as a reduction to rent expense. In addition, scheduled rent increases and rent holidays were recognized on a straight-line basis over the term of the lease.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Stock-Based Incentive Awards</w:t>
      </w:r>
    </w:p>
    <w:p>
      <w:pPr>
        <w:spacing w:after="0" w:line="110" w:lineRule="exact"/>
        <w:rPr>
          <w:sz w:val="20"/>
          <w:szCs w:val="20"/>
          <w:color w:val="auto"/>
        </w:rPr>
      </w:pPr>
    </w:p>
    <w:p>
      <w:pPr>
        <w:ind w:right="20" w:firstLine="162"/>
        <w:spacing w:after="0" w:line="297" w:lineRule="auto"/>
        <w:rPr>
          <w:sz w:val="20"/>
          <w:szCs w:val="20"/>
          <w:color w:val="auto"/>
        </w:rPr>
      </w:pPr>
      <w:r>
        <w:rPr>
          <w:rFonts w:ascii="Arial" w:cs="Arial" w:eastAsia="Arial" w:hAnsi="Arial"/>
          <w:sz w:val="16"/>
          <w:szCs w:val="16"/>
          <w:color w:val="auto"/>
        </w:rPr>
        <w:t>We may grant stock-based incentive awards to directors, officers, key employees and consultants. We measure the cost of employee services received in exchange for an award of equity instruments based on the grant date fair market value of the award. We recognize equity-based compensation expense ratably over the period that an employee is required to provide service in exchange for the entire award (all vesting periods). We issue new shares upon stock option exercises, otherwise issuance of stock for vesting of restricted stock units or exercises of stock appreciation rights are issued from treasury shares. We have the right to elect to pay the cash value of vested restricted stock units in lieu of the issuance of new shares.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Appreciation Rights (“SARs”)</w:t>
      </w:r>
    </w:p>
    <w:p>
      <w:pPr>
        <w:spacing w:after="0" w:line="110"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A SAR confers upon an employee the contractual right to receive an amount of cash, stock, or a combination of both that equals the appreciation in the company’s stock from an award’s grant date to the exercise date. SARs may be exercised at the employee’s discretion during the exercise period and do not give the employee an ownership right in the underlying stock. SARs do not involve payment of an exercise price. We use the Black-Scholes option pricing methodology to calculate the grant date fair market value of SARs and compensation is expensed ratably over the service period. We determine the expected volatility of the awards based on historical volatility. Calculation of compensation for stock awards requires estimation of volatility, employee turnover and forfeiture rates.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Restricted Stock Units (“RSUs”)</w:t>
      </w:r>
    </w:p>
    <w:p>
      <w:pPr>
        <w:spacing w:after="0" w:line="110"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We may grant RSUs at no purchase cost to the grantee. The grantees of unvested RSUs have no voting rights or rights to dividends. Sale or transfer of the stock and stock units is restricted until they are vested. The fair market value of service-based</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665" w:right="259" w:bottom="1440" w:gutter="0" w:footer="0" w:header="0"/>
        </w:sectPr>
      </w:pPr>
    </w:p>
    <w:bookmarkStart w:id="75" w:name="page76"/>
    <w:bookmarkEnd w:id="75"/>
    <w:p>
      <w:pPr>
        <w:ind w:right="860"/>
        <w:spacing w:after="0" w:line="277" w:lineRule="auto"/>
        <w:rPr>
          <w:sz w:val="20"/>
          <w:szCs w:val="20"/>
          <w:color w:val="auto"/>
        </w:rPr>
      </w:pPr>
      <w:r>
        <w:rPr>
          <w:rFonts w:ascii="Arial" w:cs="Arial" w:eastAsia="Arial" w:hAnsi="Arial"/>
          <w:sz w:val="18"/>
          <w:szCs w:val="18"/>
          <w:color w:val="auto"/>
        </w:rPr>
        <w:t>RSUs is determined using the market closing price on the grant date, and compensation is expensed ratably over the service period. Calculation of compensation for stock awards requires estimation of employee turnover and forfeiture rates.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We are a UK corporation, and we operate through our various subsidiaries in a number of countries throughout the world. Our provision for income taxes is based on the tax laws and rates applicable in the jurisdictions in which we operate and earn income. We use significant judgment and estimates in accounting for our income taxes. We recognize deferred tax assets and liabilities for the anticipated future tax effects of temporary differences between the financial statements basis and the tax basis of our assets and liabilities, which are measured using enacted tax rates expected to apply to taxable income in the years in which those temporary differences are expected to be recovered or settled.</w:t>
      </w:r>
    </w:p>
    <w:p>
      <w:pPr>
        <w:spacing w:after="0" w:line="64" w:lineRule="exact"/>
        <w:rPr>
          <w:sz w:val="20"/>
          <w:szCs w:val="20"/>
          <w:color w:val="auto"/>
        </w:rPr>
      </w:pPr>
    </w:p>
    <w:p>
      <w:pPr>
        <w:ind w:right="20" w:firstLine="162"/>
        <w:spacing w:after="0" w:line="254" w:lineRule="auto"/>
        <w:rPr>
          <w:sz w:val="20"/>
          <w:szCs w:val="20"/>
          <w:color w:val="auto"/>
        </w:rPr>
      </w:pPr>
      <w:r>
        <w:rPr>
          <w:rFonts w:ascii="Arial" w:cs="Arial" w:eastAsia="Arial" w:hAnsi="Arial"/>
          <w:sz w:val="18"/>
          <w:szCs w:val="18"/>
          <w:color w:val="auto"/>
        </w:rPr>
        <w:t>We periodically assess the recoverability of our deferred tax assets by considering whether it is more-likely-than-not that some or all of the actual benefit of those assets will be realized. To the extent that realization does not meet the “more-likely-than-not” criterion, we establish a valuation allowance. We periodically review the adequacy and necessity of the valuation allowance by considering significant positive and negative evidence relative to our ability to recover deferred tax assets and to determine the timing and amount of valuation allowance that should be released. This evidence includes: profitability in the most recent quarters; internal forecasts for the current and next two future years; size of deferred tax asset relative to estimated profitability; the potential effects on future profitability from increasing competition, healthcare reforms and overall economic conditions; limitations and potential limitations on the use of our net operating losses due to ownership changes, pursuant to IRC Section 382; and the implementation of prudent and feasible tax planning strategies, if any.</w:t>
      </w:r>
    </w:p>
    <w:p>
      <w:pPr>
        <w:spacing w:after="0" w:line="84" w:lineRule="exact"/>
        <w:rPr>
          <w:sz w:val="20"/>
          <w:szCs w:val="20"/>
          <w:color w:val="auto"/>
        </w:rPr>
      </w:pPr>
    </w:p>
    <w:p>
      <w:pPr>
        <w:ind w:firstLine="162"/>
        <w:spacing w:after="0" w:line="288" w:lineRule="auto"/>
        <w:rPr>
          <w:sz w:val="20"/>
          <w:szCs w:val="20"/>
          <w:color w:val="auto"/>
        </w:rPr>
      </w:pPr>
      <w:r>
        <w:rPr>
          <w:rFonts w:ascii="Arial" w:cs="Arial" w:eastAsia="Arial" w:hAnsi="Arial"/>
          <w:sz w:val="16"/>
          <w:szCs w:val="16"/>
          <w:color w:val="auto"/>
        </w:rPr>
        <w:t>We file federal and local tax returns in many jurisdictions throughout the world and are subject to income tax examinations for our fiscal year 2001 and subsequent years, with certain exceptions. While we believe that our tax return positions are fully supported, tax authorities may disagree with certain positions we have taken and assess additional taxes and as a result, we may establish reserves for uncertain tax positions, which require a significant degree of management judgment. We regularly assess the likely outcomes of our tax positions in order to determine the appropriateness of our reserves; however, the actual outcome of an audit can be significantly different than our expectations, which could have a material impact on our tax provision. Our tax positions are evaluated for recognition using a more-likely-than-not threshold. Uncertain tax positions requiring recognition are measured as the largest amount of tax benefit that has a greater than 50% likelihood of being realized upon effective settlement with a taxing authority that has full knowledge of all relevant information. Some of the reasons a reserve for an uncertain tax benefit may be reversed are: completion of a tax audit; a change in applicable tax law including a tax case or legislative guidance; or an expiration of the statute of limitations. We recognize interest and penalties associated with unrecognized tax benefits and record interest in interest expense, and penalties in selling, general and administrative expense, on our consolidated statements of income (loss).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Foreign Currency</w:t>
      </w:r>
    </w:p>
    <w:p>
      <w:pPr>
        <w:spacing w:after="0" w:line="110" w:lineRule="exact"/>
        <w:rPr>
          <w:sz w:val="20"/>
          <w:szCs w:val="20"/>
          <w:color w:val="auto"/>
        </w:rPr>
      </w:pPr>
    </w:p>
    <w:p>
      <w:pPr>
        <w:ind w:right="120" w:firstLine="162"/>
        <w:spacing w:after="0" w:line="297" w:lineRule="auto"/>
        <w:rPr>
          <w:sz w:val="20"/>
          <w:szCs w:val="20"/>
          <w:color w:val="auto"/>
        </w:rPr>
      </w:pPr>
      <w:r>
        <w:rPr>
          <w:rFonts w:ascii="Arial" w:cs="Arial" w:eastAsia="Arial" w:hAnsi="Arial"/>
          <w:sz w:val="16"/>
          <w:szCs w:val="16"/>
          <w:color w:val="auto"/>
        </w:rPr>
        <w:t>Our functional currency is the U.S. dollar; however, a portion of the revenues earned and expenses incurred by certain of our subsidiaries are denominated in currencies other than the U.S. dollar. We determine the functional currency of our subsidiaries that exist and operate in different economic and currency environments based on the primary economic environment in which the subsidiary operates, that is, the currency of the environment in which an entity primarily generates and expends cash. Our significant foreign subsidiaries are located in Europe and the U.S. The functional currency of our significant European subsidiaries is the Euro, and the functional currency of our significant U.S. subsidiaries is the U.S. dollar.</w:t>
      </w:r>
    </w:p>
    <w:p>
      <w:pPr>
        <w:spacing w:after="0" w:line="50"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Assets and liabilities of subsidiaries whose functional currency is not the U.S. dollar are translated into U.S. dollars based on a combination of both current and historical exchange rates, while their revenues earned and expenses incurred are translated into U.S. dollars at average period exchange rates. Translation adjustments are included as AOCI on the consolidated balance sheets. Gains and losses arising from transactions denominated in a currency different from an entity’s functional currency are included in foreign exchange and other (losses) gains on our consolidated statements of income (loss). Taxes are not provided on cumulative translation adjustments, as substantially all translation adjustments are related to earnings which are intended to be indefinitely reinvested in the countries where earned.</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Contingencies</w:t>
      </w:r>
    </w:p>
    <w:p>
      <w:pPr>
        <w:spacing w:after="0" w:line="110" w:lineRule="exact"/>
        <w:rPr>
          <w:sz w:val="20"/>
          <w:szCs w:val="20"/>
          <w:color w:val="auto"/>
        </w:rPr>
      </w:pPr>
    </w:p>
    <w:p>
      <w:pPr>
        <w:ind w:right="80" w:firstLine="162"/>
        <w:spacing w:after="0" w:line="302" w:lineRule="auto"/>
        <w:rPr>
          <w:sz w:val="20"/>
          <w:szCs w:val="20"/>
          <w:color w:val="auto"/>
        </w:rPr>
      </w:pPr>
      <w:r>
        <w:rPr>
          <w:rFonts w:ascii="Arial" w:cs="Arial" w:eastAsia="Arial" w:hAnsi="Arial"/>
          <w:sz w:val="16"/>
          <w:szCs w:val="16"/>
          <w:color w:val="auto"/>
        </w:rPr>
        <w:t>We are subject to product liability claims, government investigations and other legal proceedings in the ordinary course of business. Legal fees and other expenses related to litigation are expensed as incurred and included in selling, general and administrative expenses on our consolidated statements of income (loss). Contingent liabilities are recorded when we determine that a loss is both probable and reasonably estimable. Due to the fact that legal proceedings and other contingencies are inherently unpredictable, our assessments involve significant judgment regarding future events.</w:t>
      </w: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665" w:right="259" w:bottom="1440" w:gutter="0" w:footer="0" w:header="0"/>
        </w:sectPr>
      </w:pPr>
    </w:p>
    <w:bookmarkStart w:id="76" w:name="page77"/>
    <w:bookmarkEnd w:id="76"/>
    <w:p>
      <w:pPr>
        <w:spacing w:after="0"/>
        <w:rPr>
          <w:sz w:val="20"/>
          <w:szCs w:val="20"/>
          <w:color w:val="auto"/>
        </w:rPr>
      </w:pPr>
      <w:r>
        <w:rPr>
          <w:rFonts w:ascii="Arial" w:cs="Arial" w:eastAsia="Arial" w:hAnsi="Arial"/>
          <w:sz w:val="20"/>
          <w:szCs w:val="20"/>
          <w:b w:val="1"/>
          <w:bCs w:val="1"/>
          <w:color w:val="auto"/>
        </w:rPr>
        <w:t>Note 3. Revenue Recognition</w:t>
      </w:r>
    </w:p>
    <w:p>
      <w:pPr>
        <w:spacing w:after="0" w:line="116"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We generate our revenue through contracts with customers that primarily consist of hospitals, healthcare institutions, distributors and other organizations. Revenue is measured based on consideration specified in a contract with a customer, and excludes amounts collected on behalf of third parties. We measure the consideration based upon the estimated amount to be received. The amount of consideration we ultimately receive varies depending upon the return terms, sales rebates, discounts, and other incentives that we may offer, which are accounted for as variable consideration when estimating the amount of revenue to recognize. The estimate of variable consideration requires significant judgment.</w:t>
      </w:r>
    </w:p>
    <w:p>
      <w:pPr>
        <w:spacing w:after="0" w:line="64"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color w:val="auto"/>
        </w:rPr>
        <w:t>We have historically experienced a low rate of product returns, and the total dollar value of product returns has not been significant to our consolidated financial statements.</w:t>
      </w:r>
    </w:p>
    <w:p>
      <w:pPr>
        <w:spacing w:after="0" w:line="62" w:lineRule="exact"/>
        <w:rPr>
          <w:sz w:val="20"/>
          <w:szCs w:val="20"/>
          <w:color w:val="auto"/>
        </w:rPr>
      </w:pPr>
    </w:p>
    <w:p>
      <w:pPr>
        <w:jc w:val="both"/>
        <w:ind w:right="180" w:firstLine="162"/>
        <w:spacing w:after="0" w:line="259" w:lineRule="auto"/>
        <w:rPr>
          <w:sz w:val="20"/>
          <w:szCs w:val="20"/>
          <w:color w:val="auto"/>
        </w:rPr>
      </w:pPr>
      <w:r>
        <w:rPr>
          <w:rFonts w:ascii="Arial" w:cs="Arial" w:eastAsia="Arial" w:hAnsi="Arial"/>
          <w:sz w:val="18"/>
          <w:szCs w:val="18"/>
          <w:color w:val="auto"/>
        </w:rPr>
        <w:t>We recognize revenue when a performance obligation is satisfied by transferring the control of a product or providing service to a customer. Some of our contracts include the purchase of multiple products and/or services. In such cases, we allocate the transaction price based upon the relative estimated stand-alone price of each product and/or service sold. We record state and local sales taxes net; that is, we exclude sales tax from revenue. Typically, our contracts do not have a significant financing component.</w:t>
      </w:r>
    </w:p>
    <w:p>
      <w:pPr>
        <w:spacing w:after="0" w:line="79"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We incur incremental commission fees paid to the sales force associated with the sale of products. We apply the practical expedient within ASC 606-10-50-22 and have elected to recognize the incremental costs of obtaining a contract as an expense when incurred if the amortization period of the asset the entity would otherwise recognize is one year or less. As a result, no commissions have been capitalized as contract costs since adoption of ASC 606. The following is a description of the principal activities (separated by reportable segments) from which we generate our revenue. For more detailed information about our reportable segments including disaggregated revenue results by major product line and primary geographic markets, see “Note 20. Geographic and Segment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Cardiovascular Products and Services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Cardiovascular segment has three primary product lines: cardiopulmonary products, heart valves and advanced circulatory support.</w:t>
      </w:r>
    </w:p>
    <w:p>
      <w:pPr>
        <w:spacing w:after="0" w:line="117" w:lineRule="exact"/>
        <w:rPr>
          <w:sz w:val="20"/>
          <w:szCs w:val="20"/>
          <w:color w:val="auto"/>
        </w:rPr>
      </w:pPr>
    </w:p>
    <w:p>
      <w:pPr>
        <w:ind w:right="80" w:firstLine="162"/>
        <w:spacing w:after="0" w:line="312" w:lineRule="auto"/>
        <w:rPr>
          <w:sz w:val="20"/>
          <w:szCs w:val="20"/>
          <w:color w:val="auto"/>
        </w:rPr>
      </w:pPr>
      <w:r>
        <w:rPr>
          <w:rFonts w:ascii="Arial" w:cs="Arial" w:eastAsia="Arial" w:hAnsi="Arial"/>
          <w:sz w:val="16"/>
          <w:szCs w:val="16"/>
          <w:color w:val="auto"/>
        </w:rPr>
        <w:t>Cardiopulmonary products include oxygenators, heart-lung machines, autotransfusion systems, perfusion tubing systems, cannulae and other related accessories. Heart valves include mechanical heart valves, tissue heart valves, related repair products and minimally invasive surgical instruments. Advanced circulatory support includes temporary life support product kits that can include a combination of pumps, oxygenators, and cannulae.</w:t>
      </w:r>
    </w:p>
    <w:p>
      <w:pPr>
        <w:spacing w:after="0" w:line="39"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Cardiopulmonary products may include performance obligations associated with assembly and installation of equipment. Accordingly, we allocate a portion of the sales prices to installation obligations and recognize that revenue when the service is provided. We recognize revenue for equipment and accessory product sales when control of the equipment or product passes to the customer.</w:t>
      </w:r>
    </w:p>
    <w:p>
      <w:pPr>
        <w:spacing w:after="0" w:line="73" w:lineRule="exact"/>
        <w:rPr>
          <w:sz w:val="20"/>
          <w:szCs w:val="20"/>
          <w:color w:val="auto"/>
        </w:rPr>
      </w:pPr>
    </w:p>
    <w:p>
      <w:pPr>
        <w:ind w:right="100" w:firstLine="162"/>
        <w:spacing w:after="0" w:line="279" w:lineRule="auto"/>
        <w:rPr>
          <w:sz w:val="20"/>
          <w:szCs w:val="20"/>
          <w:color w:val="auto"/>
        </w:rPr>
      </w:pPr>
      <w:r>
        <w:rPr>
          <w:rFonts w:ascii="Arial" w:cs="Arial" w:eastAsia="Arial" w:hAnsi="Arial"/>
          <w:sz w:val="17"/>
          <w:szCs w:val="17"/>
          <w:color w:val="auto"/>
        </w:rPr>
        <w:t>Technical services include installation, repair and maintenance of cardiopulmonary equipment under service contracts or upon customer request. Technical service agreements generally provide for upfront payments in advance of rendering services or periodic billing over the contract term. Amounts billed in advance are deferred and recognized as revenue when the performance obligation is satisfied. Technical services are not a significant component of Cardiovascular revenue and have been presented with the related equipment and accessories revenue.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Heart valve revenue is recognized when control passes to the customer, usually at the point of surgery.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Advanced circulatory support revenue is recognized when control passes to the customer, usually at the point of shipment.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Neuromodulation Products</w:t>
      </w:r>
    </w:p>
    <w:p>
      <w:pPr>
        <w:spacing w:after="0" w:line="117"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Neuromodulation segment products are comprised of Neuromodulation therapy systems for the treatment of drug-resistant epilepsy, DTD and obstructive sleep apnea. Our Neuromodulation product line includes the VNS Therapy System, which consists of an implantable pulse generator, a lead that connects the generator to the vagus nerve, and other accessories. Our Neuromodulation product line also includes an implantable device for the treatment of obstructive sleep apnea that stimulates multiple tongue muscles via the hypoglossal nerve, which opens the airway while a patient is sleeping. We recognize revenue for Neuromodulation product sales when control passes to the customer.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Contract Balances</w:t>
      </w:r>
    </w:p>
    <w:p>
      <w:pPr>
        <w:spacing w:after="0" w:line="117" w:lineRule="exact"/>
        <w:rPr>
          <w:sz w:val="20"/>
          <w:szCs w:val="20"/>
          <w:color w:val="auto"/>
        </w:rPr>
      </w:pPr>
    </w:p>
    <w:p>
      <w:pPr>
        <w:jc w:val="both"/>
        <w:ind w:right="200" w:firstLine="162"/>
        <w:spacing w:after="0" w:line="264" w:lineRule="auto"/>
        <w:rPr>
          <w:sz w:val="20"/>
          <w:szCs w:val="20"/>
          <w:color w:val="auto"/>
        </w:rPr>
      </w:pPr>
      <w:r>
        <w:rPr>
          <w:rFonts w:ascii="Arial" w:cs="Arial" w:eastAsia="Arial" w:hAnsi="Arial"/>
          <w:sz w:val="18"/>
          <w:szCs w:val="18"/>
          <w:color w:val="auto"/>
        </w:rPr>
        <w:t>Due to the nature of our products and services, revenue producing activities may result in contract assets and contract liabilities which are insignificant to our financial position and results of operations. These activities relate primarily to Cardiovascular technical services contracts for short-term and multi-year service agreements. Contract assets are primarily</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670" w:right="239" w:bottom="1440" w:gutter="0" w:footer="0" w:header="0"/>
        </w:sectPr>
      </w:pPr>
    </w:p>
    <w:bookmarkStart w:id="77" w:name="page78"/>
    <w:bookmarkEnd w:id="77"/>
    <w:p>
      <w:pPr>
        <w:ind w:right="100"/>
        <w:spacing w:after="0" w:line="257" w:lineRule="auto"/>
        <w:rPr>
          <w:sz w:val="20"/>
          <w:szCs w:val="20"/>
          <w:color w:val="auto"/>
        </w:rPr>
      </w:pPr>
      <w:r>
        <w:rPr>
          <w:rFonts w:ascii="Arial" w:cs="Arial" w:eastAsia="Arial" w:hAnsi="Arial"/>
          <w:sz w:val="18"/>
          <w:szCs w:val="18"/>
          <w:color w:val="auto"/>
        </w:rPr>
        <w:t>comprised of unbilled revenues, which occur when a performance obligation has been completed, but not billed to the customer. Contract liabilities are made up of deferred revenue, which occurs when a customer pays for a service, before a performance obligation has been completed. Contract assets are included within prepaid expenses and other current assets on the consolidated balance sheets and were insignificant at December 31, 2019 and 2018. As of December 31, 2019 and December 31, 2018, contract liabilities of $8.6 million and $4.8 million, respectively, were included within accrued liabilities and other and other long-term liabilities on the consolidated balance sheets.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Business Combinations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ImThera</w:t>
      </w:r>
    </w:p>
    <w:p>
      <w:pPr>
        <w:spacing w:after="0" w:line="110"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ImThera manufactures an implantable device for the treatment of obstructive sleep apnea that stimulates multiple tongue muscles via the hypoglossal nerve, which opens the airway while a patient is sleeping. ImThera has a commercial presence in the European market, and an FDA pivotal study is ongoing in the U.S.</w:t>
      </w:r>
    </w:p>
    <w:p>
      <w:pPr>
        <w:spacing w:after="0" w:line="73" w:lineRule="exact"/>
        <w:rPr>
          <w:sz w:val="20"/>
          <w:szCs w:val="20"/>
          <w:color w:val="auto"/>
        </w:rPr>
      </w:pPr>
    </w:p>
    <w:p>
      <w:pPr>
        <w:ind w:right="180" w:firstLine="162"/>
        <w:spacing w:after="0" w:line="342" w:lineRule="auto"/>
        <w:rPr>
          <w:sz w:val="20"/>
          <w:szCs w:val="20"/>
          <w:color w:val="auto"/>
        </w:rPr>
      </w:pPr>
      <w:r>
        <w:rPr>
          <w:rFonts w:ascii="Arial" w:cs="Arial" w:eastAsia="Arial" w:hAnsi="Arial"/>
          <w:sz w:val="16"/>
          <w:szCs w:val="16"/>
          <w:color w:val="auto"/>
        </w:rPr>
        <w:t>On January 16, 2018, we acquired the remaining 86% outstanding interest in ImThera for cash consideration of up to $225 million. Cash in the amount of $78.3 million was paid at closing with the balance to be paid based on achievement of a certain regulatory milestone and a sales-based earnout.</w:t>
      </w:r>
    </w:p>
    <w:p>
      <w:pPr>
        <w:spacing w:after="0" w:line="16" w:lineRule="exact"/>
        <w:rPr>
          <w:sz w:val="20"/>
          <w:szCs w:val="20"/>
          <w:color w:val="auto"/>
        </w:rPr>
      </w:pPr>
    </w:p>
    <w:p>
      <w:pPr>
        <w:ind w:right="680" w:firstLine="162"/>
        <w:spacing w:after="0" w:line="277" w:lineRule="auto"/>
        <w:rPr>
          <w:sz w:val="20"/>
          <w:szCs w:val="20"/>
          <w:color w:val="auto"/>
        </w:rPr>
      </w:pPr>
      <w:r>
        <w:rPr>
          <w:rFonts w:ascii="Arial" w:cs="Arial" w:eastAsia="Arial" w:hAnsi="Arial"/>
          <w:sz w:val="18"/>
          <w:szCs w:val="18"/>
          <w:color w:val="auto"/>
        </w:rPr>
        <w:t>The following table presents the acquisition date fair value of the consideration transferred and the fair value of our interest in ImThera prior to the acquisition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78,332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112,744</w:t>
            </w:r>
          </w:p>
        </w:tc>
      </w:tr>
      <w:tr>
        <w:trPr>
          <w:trHeight w:val="27"/>
        </w:trPr>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Fair value of our interest in ImThera prior to the acquisition </w:t>
            </w:r>
            <w:r>
              <w:rPr>
                <w:rFonts w:ascii="Arial" w:cs="Arial" w:eastAsia="Arial" w:hAnsi="Arial"/>
                <w:sz w:val="25"/>
                <w:szCs w:val="25"/>
                <w:color w:val="auto"/>
                <w:vertAlign w:val="superscript"/>
              </w:rPr>
              <w:t>(1)</w:t>
            </w:r>
          </w:p>
        </w:tc>
        <w:tc>
          <w:tcPr>
            <w:tcW w:w="9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25,580</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216,656</w:t>
            </w:r>
          </w:p>
        </w:tc>
      </w:tr>
      <w:tr>
        <w:trPr>
          <w:trHeight w:val="20"/>
        </w:trPr>
        <w:tc>
          <w:tcPr>
            <w:tcW w:w="9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40" w:hanging="328"/>
        <w:spacing w:after="0" w:line="278"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6"/>
          <w:szCs w:val="16"/>
          <w:color w:val="auto"/>
        </w:rPr>
        <w:t>The fair value of our previously held interest in ImThera was determined based on the fair value of total consideration transferred and application of a discount for lack of control. As a result, we recognized a gain of $11.5 million for the fair value in excess of our carrying value of $14.1 million. The gain is included in Gain on acquisitions on our consolidated statement of income (loss) for the year ended December 31, 2018.</w:t>
      </w:r>
    </w:p>
    <w:p>
      <w:pPr>
        <w:spacing w:after="0" w:line="72"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The following table presents the purchase price allocation at fair value for the ImThera acquisition including certain measurement period adjustments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8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Initial Purchase Price</w:t>
            </w:r>
          </w:p>
        </w:tc>
        <w:tc>
          <w:tcPr>
            <w:tcW w:w="182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Measurement Period</w:t>
            </w:r>
          </w:p>
        </w:tc>
        <w:tc>
          <w:tcPr>
            <w:tcW w:w="1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Adjusted Purchase</w:t>
            </w:r>
          </w:p>
        </w:tc>
      </w:tr>
      <w:tr>
        <w:trPr>
          <w:trHeight w:val="261"/>
        </w:trPr>
        <w:tc>
          <w:tcPr>
            <w:tcW w:w="6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b w:val="1"/>
                <w:bCs w:val="1"/>
                <w:color w:val="auto"/>
              </w:rPr>
              <w:t>Allocation</w:t>
            </w:r>
          </w:p>
        </w:tc>
        <w:tc>
          <w:tcPr>
            <w:tcW w:w="200" w:type="dxa"/>
            <w:vAlign w:val="bottom"/>
          </w:tcPr>
          <w:p>
            <w:pPr>
              <w:spacing w:after="0"/>
              <w:rPr>
                <w:sz w:val="22"/>
                <w:szCs w:val="22"/>
                <w:color w:val="auto"/>
              </w:rPr>
            </w:pPr>
          </w:p>
        </w:tc>
        <w:tc>
          <w:tcPr>
            <w:tcW w:w="162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Adjustments </w:t>
            </w:r>
            <w:r>
              <w:rPr>
                <w:rFonts w:ascii="Arial" w:cs="Arial" w:eastAsia="Arial" w:hAnsi="Arial"/>
                <w:sz w:val="25"/>
                <w:szCs w:val="25"/>
                <w:b w:val="1"/>
                <w:bCs w:val="1"/>
                <w:color w:val="auto"/>
                <w:vertAlign w:val="superscript"/>
              </w:rPr>
              <w:t>(1)</w:t>
            </w:r>
          </w:p>
        </w:tc>
        <w:tc>
          <w:tcPr>
            <w:tcW w:w="120" w:type="dxa"/>
            <w:vAlign w:val="bottom"/>
          </w:tcPr>
          <w:p>
            <w:pPr>
              <w:spacing w:after="0"/>
              <w:rPr>
                <w:sz w:val="22"/>
                <w:szCs w:val="22"/>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Price Allocation</w:t>
            </w:r>
          </w:p>
        </w:tc>
      </w:tr>
      <w:tr>
        <w:trPr>
          <w:trHeight w:val="264"/>
        </w:trPr>
        <w:tc>
          <w:tcPr>
            <w:tcW w:w="6080" w:type="dxa"/>
            <w:vAlign w:val="bottom"/>
            <w:tcBorders>
              <w:top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In-process research and development </w:t>
            </w:r>
            <w:r>
              <w:rPr>
                <w:rFonts w:ascii="Arial" w:cs="Arial" w:eastAsia="Arial" w:hAnsi="Arial"/>
                <w:sz w:val="25"/>
                <w:szCs w:val="25"/>
                <w:color w:val="auto"/>
                <w:vertAlign w:val="superscript"/>
              </w:rPr>
              <w:t>(2)</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151,605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10,677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162,282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82,596</w:t>
            </w: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Deferred income tax liabilities, net </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27,980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29,258</w:t>
            </w: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and liabilities, net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217,185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216,656</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00" w:hanging="328"/>
        <w:spacing w:after="0" w:line="266"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6"/>
          <w:szCs w:val="16"/>
          <w:color w:val="auto"/>
        </w:rPr>
        <w:t>During the second quarter of 2018, measurement period adjustments were recorded based upon new information obtained about facts and circumstances that existed as of the acquisition date.</w:t>
      </w:r>
    </w:p>
    <w:p>
      <w:pPr>
        <w:spacing w:after="0" w:line="1" w:lineRule="exact"/>
        <w:rPr>
          <w:rFonts w:ascii="Arial" w:cs="Arial" w:eastAsia="Arial" w:hAnsi="Arial"/>
          <w:sz w:val="14"/>
          <w:szCs w:val="14"/>
          <w:color w:val="auto"/>
        </w:rPr>
      </w:pPr>
    </w:p>
    <w:p>
      <w:pPr>
        <w:ind w:left="660" w:right="40" w:hanging="328"/>
        <w:spacing w:after="0" w:line="264"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6"/>
          <w:szCs w:val="16"/>
          <w:color w:val="auto"/>
        </w:rPr>
        <w:t>The fair value of IPR&amp;D was determined using the income approach, which is a valuation technique that provides a fair value estimate based on the market participant expectations of cash flows the asset would generate. The cash flows were discounted commensurate with the level of risk associated with the asset. The discount rates were developed after assigning a probability of success to achieving the projected cash flows based on the current stage of development, inherent uncertainty in reaching certain regulatory milestones and risks associated with commercialization of the product. The IPR&amp;D amount is included in intangible assets, net on the consolidated balance sheets as of December 31, 2019 and 2018.</w:t>
      </w: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6"/>
          <w:szCs w:val="16"/>
          <w:color w:val="auto"/>
        </w:rPr>
        <w:t>The amounts are presented net of deferred tax assets acquired.</w:t>
      </w:r>
    </w:p>
    <w:p>
      <w:pPr>
        <w:spacing w:after="0" w:line="118" w:lineRule="exact"/>
        <w:rPr>
          <w:sz w:val="20"/>
          <w:szCs w:val="20"/>
          <w:color w:val="auto"/>
        </w:rPr>
      </w:pPr>
    </w:p>
    <w:p>
      <w:pPr>
        <w:ind w:right="240" w:firstLine="162"/>
        <w:spacing w:after="0" w:line="308" w:lineRule="auto"/>
        <w:rPr>
          <w:sz w:val="20"/>
          <w:szCs w:val="20"/>
          <w:color w:val="auto"/>
        </w:rPr>
      </w:pPr>
      <w:r>
        <w:rPr>
          <w:rFonts w:ascii="Arial" w:cs="Arial" w:eastAsia="Arial" w:hAnsi="Arial"/>
          <w:sz w:val="17"/>
          <w:szCs w:val="17"/>
          <w:color w:val="auto"/>
        </w:rPr>
        <w:t>Goodwill arising from the ImThera acquisition, which is not deductible for tax purposes, primarily represents the synergies anticipated between ImThera and our existing Neuromodulation business. The assets acquired, including goodwill, are recognized in our Neuromodulation segment.</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results of the ImThera acquisition added $0.3 million in revenue and $8.8 million in operating losses during the year ended December 31, 2018.</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recognized ImThera acquisition-related expenses of approximately $0.7 million for legal and valuation expenses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These expenses are included within “Selling, general</w:t>
      </w: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665" w:right="239" w:bottom="1440" w:gutter="0" w:footer="0" w:header="0"/>
        </w:sectPr>
      </w:pPr>
    </w:p>
    <w:bookmarkStart w:id="78" w:name="page79"/>
    <w:bookmarkEnd w:id="78"/>
    <w:p>
      <w:pPr>
        <w:ind w:right="660"/>
        <w:spacing w:after="0" w:line="308" w:lineRule="auto"/>
        <w:rPr>
          <w:sz w:val="20"/>
          <w:szCs w:val="20"/>
          <w:color w:val="auto"/>
        </w:rPr>
      </w:pPr>
      <w:r>
        <w:rPr>
          <w:rFonts w:ascii="Arial" w:cs="Arial" w:eastAsia="Arial" w:hAnsi="Arial"/>
          <w:sz w:val="17"/>
          <w:szCs w:val="17"/>
          <w:color w:val="auto"/>
        </w:rPr>
        <w:t>and administrative” expenses on our consolidated statement of income (loss). Pro forma financial information, assuming the ImThera acquisition had occurred as of the beginning of the calendar year prior to the year of acquisition, was not material for disclosure purposes.</w:t>
      </w:r>
    </w:p>
    <w:p>
      <w:pPr>
        <w:spacing w:after="0" w:line="38" w:lineRule="exact"/>
        <w:rPr>
          <w:sz w:val="20"/>
          <w:szCs w:val="20"/>
          <w:color w:val="auto"/>
        </w:rPr>
      </w:pPr>
    </w:p>
    <w:p>
      <w:pPr>
        <w:ind w:right="300" w:firstLine="162"/>
        <w:spacing w:after="0" w:line="259" w:lineRule="auto"/>
        <w:rPr>
          <w:sz w:val="20"/>
          <w:szCs w:val="20"/>
          <w:color w:val="auto"/>
        </w:rPr>
      </w:pPr>
      <w:r>
        <w:rPr>
          <w:rFonts w:ascii="Arial" w:cs="Arial" w:eastAsia="Arial" w:hAnsi="Arial"/>
          <w:sz w:val="18"/>
          <w:szCs w:val="18"/>
          <w:color w:val="auto"/>
        </w:rPr>
        <w:t>The ImThera business combination involved contingent consideration arrangements composed of potential cash payments upon the achievement of a certain regulatory milestone and a sales-based earnout associated with sales of products covered by the purchase agreement. The sales-based earnout was valued using projected sales from our internal strategic plan. Both arrangements are Level 3 fair value measurements and include the following significant unobservable inputs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Fair value at</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660" w:type="dxa"/>
            <w:vAlign w:val="bottom"/>
            <w:gridSpan w:val="2"/>
          </w:tcPr>
          <w:p>
            <w:pPr>
              <w:ind w:left="40"/>
              <w:spacing w:after="0"/>
              <w:rPr>
                <w:sz w:val="20"/>
                <w:szCs w:val="20"/>
                <w:color w:val="auto"/>
              </w:rPr>
            </w:pPr>
            <w:r>
              <w:rPr>
                <w:rFonts w:ascii="Arial" w:cs="Arial" w:eastAsia="Arial" w:hAnsi="Arial"/>
                <w:sz w:val="18"/>
                <w:szCs w:val="18"/>
                <w:b w:val="1"/>
                <w:bCs w:val="1"/>
                <w:color w:val="auto"/>
              </w:rPr>
              <w:t>ImThera Acquisition</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January 16, 2018</w:t>
            </w:r>
          </w:p>
        </w:tc>
        <w:tc>
          <w:tcPr>
            <w:tcW w:w="100" w:type="dxa"/>
            <w:vAlign w:val="bottom"/>
          </w:tcPr>
          <w:p>
            <w:pPr>
              <w:spacing w:after="0"/>
              <w:rPr>
                <w:sz w:val="20"/>
                <w:szCs w:val="20"/>
                <w:color w:val="auto"/>
              </w:rPr>
            </w:pPr>
          </w:p>
        </w:tc>
        <w:tc>
          <w:tcPr>
            <w:tcW w:w="2280" w:type="dxa"/>
            <w:vAlign w:val="bottom"/>
            <w:gridSpan w:val="2"/>
          </w:tcPr>
          <w:p>
            <w:pPr>
              <w:ind w:left="300"/>
              <w:spacing w:after="0"/>
              <w:rPr>
                <w:sz w:val="20"/>
                <w:szCs w:val="20"/>
                <w:color w:val="auto"/>
              </w:rPr>
            </w:pPr>
            <w:r>
              <w:rPr>
                <w:rFonts w:ascii="Arial" w:cs="Arial" w:eastAsia="Arial" w:hAnsi="Arial"/>
                <w:sz w:val="18"/>
                <w:szCs w:val="18"/>
                <w:b w:val="1"/>
                <w:bCs w:val="1"/>
                <w:color w:val="auto"/>
              </w:rPr>
              <w:t>Valuation Technique</w:t>
            </w:r>
          </w:p>
        </w:tc>
        <w:tc>
          <w:tcPr>
            <w:tcW w:w="2500" w:type="dxa"/>
            <w:vAlign w:val="bottom"/>
            <w:gridSpan w:val="2"/>
          </w:tcPr>
          <w:p>
            <w:pPr>
              <w:ind w:left="420"/>
              <w:spacing w:after="0"/>
              <w:rPr>
                <w:sz w:val="20"/>
                <w:szCs w:val="20"/>
                <w:color w:val="auto"/>
              </w:rPr>
            </w:pPr>
            <w:r>
              <w:rPr>
                <w:rFonts w:ascii="Arial" w:cs="Arial" w:eastAsia="Arial" w:hAnsi="Arial"/>
                <w:sz w:val="18"/>
                <w:szCs w:val="18"/>
                <w:b w:val="1"/>
                <w:bCs w:val="1"/>
                <w:color w:val="auto"/>
              </w:rPr>
              <w:t>Unobservable Input</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Ranges</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50,429</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- 4.7%</w:t>
            </w: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74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- 2021</w:t>
            </w:r>
          </w:p>
        </w:tc>
      </w:tr>
      <w:tr>
        <w:trPr>
          <w:trHeight w:val="32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Sales-based earnout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62,315</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Monte Carlo simulation</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Risk-adjusted discount rate</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11.5%</w:t>
            </w: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Credit risk discount rate</w:t>
            </w: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740" w:type="dxa"/>
            <w:vAlign w:val="bottom"/>
          </w:tcPr>
          <w:p>
            <w:pPr>
              <w:ind w:left="20"/>
              <w:spacing w:after="0"/>
              <w:rPr>
                <w:sz w:val="20"/>
                <w:szCs w:val="20"/>
                <w:color w:val="auto"/>
              </w:rPr>
            </w:pPr>
            <w:r>
              <w:rPr>
                <w:rFonts w:ascii="Arial" w:cs="Arial" w:eastAsia="Arial" w:hAnsi="Arial"/>
                <w:sz w:val="18"/>
                <w:szCs w:val="18"/>
                <w:color w:val="auto"/>
              </w:rPr>
              <w:t>- 5.8%</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volatility</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29.3%</w:t>
            </w: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74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years of earnout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- 2025</w:t>
            </w:r>
          </w:p>
        </w:tc>
      </w:t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112,744</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a reconciliation of the beginning and ending balance of contingent consideration liabilities refer to “Note 10. Fair Value Measurements.”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TandemLife</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TandemLife is focused on the delivery of leading-edge temporary life support systems, including cardiopulmonary and respiratory support solutions.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TandemLife complements our Cardiovascular segment portfolio and expands our existing product line of cardiopulmonary products.</w:t>
      </w:r>
    </w:p>
    <w:p>
      <w:pPr>
        <w:spacing w:after="0" w:line="103"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On April 4, 2018, we acquired CardiacAssist, Inc., doing business as TandemLife for cash consideration of up to $254 million. Cash of $204 million was paid at closing with up to $50 million in contingent consideration based on the achievement of regulatory milestones.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acquisition date fair value of the consideration transferred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574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203,671</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4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40,190</w:t>
            </w:r>
          </w:p>
        </w:tc>
      </w:tr>
      <w:tr>
        <w:trPr>
          <w:trHeight w:val="27"/>
        </w:trPr>
        <w:tc>
          <w:tcPr>
            <w:tcW w:w="4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48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243,861</w:t>
            </w:r>
          </w:p>
        </w:tc>
      </w:tr>
      <w:tr>
        <w:trPr>
          <w:trHeight w:val="20"/>
        </w:trPr>
        <w:tc>
          <w:tcPr>
            <w:tcW w:w="4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43"/>
        </w:trPr>
        <w:tc>
          <w:tcPr>
            <w:tcW w:w="4200" w:type="dxa"/>
            <w:vAlign w:val="bottom"/>
          </w:tcPr>
          <w:p>
            <w:pPr>
              <w:spacing w:after="0"/>
              <w:rPr>
                <w:sz w:val="24"/>
                <w:szCs w:val="24"/>
                <w:color w:val="auto"/>
              </w:rPr>
            </w:pPr>
          </w:p>
        </w:tc>
        <w:tc>
          <w:tcPr>
            <w:tcW w:w="5740" w:type="dxa"/>
            <w:vAlign w:val="bottom"/>
            <w:gridSpan w:val="2"/>
          </w:tcPr>
          <w:p>
            <w:pPr>
              <w:jc w:val="right"/>
              <w:ind w:right="3890"/>
              <w:spacing w:after="0"/>
              <w:rPr>
                <w:sz w:val="20"/>
                <w:szCs w:val="20"/>
                <w:color w:val="auto"/>
              </w:rPr>
            </w:pPr>
            <w:r>
              <w:rPr>
                <w:rFonts w:ascii="Arial" w:cs="Arial" w:eastAsia="Arial" w:hAnsi="Arial"/>
                <w:sz w:val="18"/>
                <w:szCs w:val="18"/>
                <w:color w:val="auto"/>
              </w:rPr>
              <w:t>F-19</w:t>
            </w:r>
          </w:p>
        </w:tc>
        <w:tc>
          <w:tcPr>
            <w:tcW w:w="1480" w:type="dxa"/>
            <w:vAlign w:val="bottom"/>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79" w:name="page80"/>
    <w:bookmarkEnd w:id="79"/>
    <w:p>
      <w:pPr>
        <w:ind w:right="240" w:firstLine="162"/>
        <w:spacing w:after="0" w:line="277" w:lineRule="auto"/>
        <w:rPr>
          <w:sz w:val="20"/>
          <w:szCs w:val="20"/>
          <w:color w:val="auto"/>
        </w:rPr>
      </w:pPr>
      <w:r>
        <w:rPr>
          <w:rFonts w:ascii="Arial" w:cs="Arial" w:eastAsia="Arial" w:hAnsi="Arial"/>
          <w:sz w:val="18"/>
          <w:szCs w:val="18"/>
          <w:color w:val="auto"/>
        </w:rPr>
        <w:t>The following table presents the purchase price allocation at fair value for the TandemLife acquisition including certain measurement period adjustments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Initial Purchase Price</w:t>
            </w: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Measurement Period</w:t>
            </w:r>
          </w:p>
        </w:tc>
        <w:tc>
          <w:tcPr>
            <w:tcW w:w="180" w:type="dxa"/>
            <w:vAlign w:val="bottom"/>
          </w:tcPr>
          <w:p>
            <w:pPr>
              <w:spacing w:after="0"/>
              <w:rPr>
                <w:sz w:val="18"/>
                <w:szCs w:val="18"/>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Adjusted Purchase</w:t>
            </w:r>
          </w:p>
        </w:tc>
      </w:tr>
      <w:tr>
        <w:trPr>
          <w:trHeight w:val="261"/>
        </w:trPr>
        <w:tc>
          <w:tcPr>
            <w:tcW w:w="5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Allocation</w:t>
            </w:r>
          </w:p>
        </w:tc>
        <w:tc>
          <w:tcPr>
            <w:tcW w:w="140" w:type="dxa"/>
            <w:vAlign w:val="bottom"/>
          </w:tcPr>
          <w:p>
            <w:pPr>
              <w:spacing w:after="0"/>
              <w:rPr>
                <w:sz w:val="22"/>
                <w:szCs w:val="22"/>
                <w:color w:val="auto"/>
              </w:rPr>
            </w:pPr>
          </w:p>
        </w:tc>
        <w:tc>
          <w:tcPr>
            <w:tcW w:w="190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7"/>
              </w:rPr>
              <w:t xml:space="preserve">Adjustments </w:t>
            </w:r>
            <w:r>
              <w:rPr>
                <w:rFonts w:ascii="Arial" w:cs="Arial" w:eastAsia="Arial" w:hAnsi="Arial"/>
                <w:sz w:val="25"/>
                <w:szCs w:val="25"/>
                <w:b w:val="1"/>
                <w:bCs w:val="1"/>
                <w:color w:val="auto"/>
                <w:w w:val="87"/>
                <w:vertAlign w:val="superscript"/>
              </w:rPr>
              <w:t>(1)</w:t>
            </w:r>
          </w:p>
        </w:tc>
        <w:tc>
          <w:tcPr>
            <w:tcW w:w="180" w:type="dxa"/>
            <w:vAlign w:val="bottom"/>
          </w:tcPr>
          <w:p>
            <w:pPr>
              <w:spacing w:after="0"/>
              <w:rPr>
                <w:sz w:val="22"/>
                <w:szCs w:val="22"/>
                <w:color w:val="auto"/>
              </w:rPr>
            </w:pPr>
          </w:p>
        </w:tc>
        <w:tc>
          <w:tcPr>
            <w:tcW w:w="1760" w:type="dxa"/>
            <w:vAlign w:val="bottom"/>
          </w:tcPr>
          <w:p>
            <w:pPr>
              <w:jc w:val="right"/>
              <w:ind w:right="250"/>
              <w:spacing w:after="0"/>
              <w:rPr>
                <w:sz w:val="20"/>
                <w:szCs w:val="20"/>
                <w:color w:val="auto"/>
              </w:rPr>
            </w:pPr>
            <w:r>
              <w:rPr>
                <w:rFonts w:ascii="Arial" w:cs="Arial" w:eastAsia="Arial" w:hAnsi="Arial"/>
                <w:sz w:val="18"/>
                <w:szCs w:val="18"/>
                <w:b w:val="1"/>
                <w:bCs w:val="1"/>
                <w:color w:val="auto"/>
              </w:rPr>
              <w:t>Price Allocation</w:t>
            </w:r>
          </w:p>
        </w:tc>
      </w:tr>
      <w:tr>
        <w:trPr>
          <w:trHeight w:val="264"/>
        </w:trPr>
        <w:tc>
          <w:tcPr>
            <w:tcW w:w="5380" w:type="dxa"/>
            <w:vAlign w:val="bottom"/>
            <w:tcBorders>
              <w:top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In-process research and development </w:t>
            </w:r>
            <w:r>
              <w:rPr>
                <w:rFonts w:ascii="Arial" w:cs="Arial" w:eastAsia="Arial" w:hAnsi="Arial"/>
                <w:sz w:val="25"/>
                <w:szCs w:val="25"/>
                <w:color w:val="auto"/>
                <w:vertAlign w:val="superscript"/>
              </w:rPr>
              <w:t>(2) (3)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110,977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107,503</w:t>
            </w: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Trade names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11,539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11,539</w:t>
            </w: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Developed technology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118,917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118,120</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assets and liabilities, net</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3,874</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Deferred income tax liabilities, net </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243,861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243,861</w:t>
            </w: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20" w:hanging="328"/>
        <w:spacing w:after="0" w:line="265"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During the third quarter of 2018, measurement period adjustments were recorded based upon new information regarding future estimates of R&amp;D expenses that existed as of the acquisition date. In addition, during the first quarter of 2019, measurement period adjustments related to finalizing our tax attributes were recorded, which resulted in an increase of $3.3 million in deferred tax assets and a commensurate decrease to goodwill.</w:t>
      </w:r>
    </w:p>
    <w:p>
      <w:pPr>
        <w:spacing w:after="0" w:line="2" w:lineRule="exact"/>
        <w:rPr>
          <w:rFonts w:ascii="Arial" w:cs="Arial" w:eastAsia="Arial" w:hAnsi="Arial"/>
          <w:sz w:val="14"/>
          <w:szCs w:val="14"/>
          <w:color w:val="auto"/>
        </w:rPr>
      </w:pPr>
    </w:p>
    <w:p>
      <w:pPr>
        <w:ind w:left="660" w:right="60" w:hanging="328"/>
        <w:spacing w:after="0" w:line="264"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amounts are included in intangible assets, net on the consolidated balance sheets as of December 31, 2019 and 2018. Trade names and developed technology are amortized over remaining useful lives of 15 and 2 years, respectively.</w:t>
      </w:r>
    </w:p>
    <w:p>
      <w:pPr>
        <w:ind w:left="660" w:right="200" w:hanging="328"/>
        <w:spacing w:after="0" w:line="281"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fair value of IPR&amp;D was determined using the income approach, which is a valuation technique that provides a fair value estimate based on the market participant expectations of cash flows the asset would generate. The cash flows were discounted commensurate with the level of risk associated with the asset. The discount rates were developed after assigning a probability of success to achieving the projected cash flows based on the current stage of development, inherent uncertainty in reaching certain regulatory milestones and risks associated with commercialization of the product.</w:t>
      </w:r>
    </w:p>
    <w:p>
      <w:pPr>
        <w:spacing w:after="0" w:line="2" w:lineRule="exact"/>
        <w:rPr>
          <w:rFonts w:ascii="Arial" w:cs="Arial" w:eastAsia="Arial" w:hAnsi="Arial"/>
          <w:sz w:val="15"/>
          <w:szCs w:val="15"/>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The amounts are presented net of deferred tax assets and include deferred tax assets acquired.</w:t>
      </w:r>
    </w:p>
    <w:p>
      <w:pPr>
        <w:spacing w:after="0" w:line="118" w:lineRule="exact"/>
        <w:rPr>
          <w:sz w:val="20"/>
          <w:szCs w:val="20"/>
          <w:color w:val="auto"/>
        </w:rPr>
      </w:pPr>
    </w:p>
    <w:p>
      <w:pPr>
        <w:ind w:right="640" w:firstLine="162"/>
        <w:spacing w:after="0" w:line="342" w:lineRule="auto"/>
        <w:rPr>
          <w:sz w:val="20"/>
          <w:szCs w:val="20"/>
          <w:color w:val="auto"/>
        </w:rPr>
      </w:pPr>
      <w:r>
        <w:rPr>
          <w:rFonts w:ascii="Arial" w:cs="Arial" w:eastAsia="Arial" w:hAnsi="Arial"/>
          <w:sz w:val="16"/>
          <w:szCs w:val="16"/>
          <w:color w:val="auto"/>
        </w:rPr>
        <w:t>Goodwill arising from the TandemLife acquisition, which is not deductible for tax purposes, primarily represents the synergies anticipated between TandemLife and our existing Cardiovascular business. The assets acquired, including goodwill, are recognized in our Cardiovascular segment.</w:t>
      </w:r>
    </w:p>
    <w:p>
      <w:pPr>
        <w:spacing w:after="0" w:line="16" w:lineRule="exact"/>
        <w:rPr>
          <w:sz w:val="20"/>
          <w:szCs w:val="20"/>
          <w:color w:val="auto"/>
        </w:rPr>
      </w:pPr>
    </w:p>
    <w:p>
      <w:pPr>
        <w:ind w:right="140" w:firstLine="162"/>
        <w:spacing w:after="0" w:line="257" w:lineRule="auto"/>
        <w:rPr>
          <w:sz w:val="20"/>
          <w:szCs w:val="20"/>
          <w:color w:val="auto"/>
        </w:rPr>
      </w:pPr>
      <w:r>
        <w:rPr>
          <w:rFonts w:ascii="Arial" w:cs="Arial" w:eastAsia="Arial" w:hAnsi="Arial"/>
          <w:sz w:val="18"/>
          <w:szCs w:val="18"/>
          <w:color w:val="auto"/>
        </w:rPr>
        <w:t>The results of the TandemLife acquisition added $19.5 million in revenue and $14.0 million in operating losses during the year ended December 31, 2018. Additionally, we recognized TandemLife acquisition-related expenses of approximately $2.1 million for legal and valuation expenses during the year ended December 31, 2018. These expenses are included within selling, general and administrative expenses on our consolidated statement of income (loss). Pro forma financial information, assuming the TandemLife acquisition had occurred as of the beginning of the calendar year prior to the year of acquisition, was not material for disclosure purposes.</w:t>
      </w:r>
    </w:p>
    <w:p>
      <w:pPr>
        <w:spacing w:after="0" w:line="80" w:lineRule="exact"/>
        <w:rPr>
          <w:sz w:val="20"/>
          <w:szCs w:val="20"/>
          <w:color w:val="auto"/>
        </w:rPr>
      </w:pPr>
    </w:p>
    <w:p>
      <w:pPr>
        <w:ind w:right="20" w:firstLine="162"/>
        <w:spacing w:after="0" w:line="342" w:lineRule="auto"/>
        <w:rPr>
          <w:sz w:val="20"/>
          <w:szCs w:val="20"/>
          <w:color w:val="auto"/>
        </w:rPr>
      </w:pPr>
      <w:r>
        <w:rPr>
          <w:rFonts w:ascii="Arial" w:cs="Arial" w:eastAsia="Arial" w:hAnsi="Arial"/>
          <w:sz w:val="16"/>
          <w:szCs w:val="16"/>
          <w:color w:val="auto"/>
        </w:rPr>
        <w:t>The TandemLife business combination involved a contingent consideration arrangement composed of potential cash payments upon the achievement of certain regulatory milestones. The arrangement is a Level 3 fair value measurement and includes the following significant unobservable inputs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 at April</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660" w:type="dxa"/>
            <w:vAlign w:val="bottom"/>
            <w:gridSpan w:val="2"/>
          </w:tcPr>
          <w:p>
            <w:pPr>
              <w:ind w:left="40"/>
              <w:spacing w:after="0"/>
              <w:rPr>
                <w:sz w:val="20"/>
                <w:szCs w:val="20"/>
                <w:color w:val="auto"/>
              </w:rPr>
            </w:pPr>
            <w:r>
              <w:rPr>
                <w:rFonts w:ascii="Arial" w:cs="Arial" w:eastAsia="Arial" w:hAnsi="Arial"/>
                <w:sz w:val="18"/>
                <w:szCs w:val="18"/>
                <w:b w:val="1"/>
                <w:bCs w:val="1"/>
                <w:color w:val="auto"/>
              </w:rPr>
              <w:t>TandemLife Acquisition</w:t>
            </w:r>
          </w:p>
        </w:tc>
        <w:tc>
          <w:tcPr>
            <w:tcW w:w="3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4, 2018</w:t>
            </w:r>
          </w:p>
        </w:tc>
        <w:tc>
          <w:tcPr>
            <w:tcW w:w="100" w:type="dxa"/>
            <w:vAlign w:val="bottom"/>
          </w:tcPr>
          <w:p>
            <w:pPr>
              <w:spacing w:after="0"/>
              <w:rPr>
                <w:sz w:val="20"/>
                <w:szCs w:val="20"/>
                <w:color w:val="auto"/>
              </w:rPr>
            </w:pPr>
          </w:p>
        </w:tc>
        <w:tc>
          <w:tcPr>
            <w:tcW w:w="2280" w:type="dxa"/>
            <w:vAlign w:val="bottom"/>
            <w:gridSpan w:val="2"/>
          </w:tcPr>
          <w:p>
            <w:pPr>
              <w:ind w:left="300"/>
              <w:spacing w:after="0"/>
              <w:rPr>
                <w:sz w:val="20"/>
                <w:szCs w:val="20"/>
                <w:color w:val="auto"/>
              </w:rPr>
            </w:pPr>
            <w:r>
              <w:rPr>
                <w:rFonts w:ascii="Arial" w:cs="Arial" w:eastAsia="Arial" w:hAnsi="Arial"/>
                <w:sz w:val="18"/>
                <w:szCs w:val="18"/>
                <w:b w:val="1"/>
                <w:bCs w:val="1"/>
                <w:color w:val="auto"/>
              </w:rPr>
              <w:t>Valuation Technique</w:t>
            </w:r>
          </w:p>
        </w:tc>
        <w:tc>
          <w:tcPr>
            <w:tcW w:w="2500" w:type="dxa"/>
            <w:vAlign w:val="bottom"/>
            <w:gridSpan w:val="2"/>
          </w:tcPr>
          <w:p>
            <w:pPr>
              <w:ind w:left="420"/>
              <w:spacing w:after="0"/>
              <w:rPr>
                <w:sz w:val="20"/>
                <w:szCs w:val="20"/>
                <w:color w:val="auto"/>
              </w:rPr>
            </w:pPr>
            <w:r>
              <w:rPr>
                <w:rFonts w:ascii="Arial" w:cs="Arial" w:eastAsia="Arial" w:hAnsi="Arial"/>
                <w:sz w:val="18"/>
                <w:szCs w:val="18"/>
                <w:b w:val="1"/>
                <w:bCs w:val="1"/>
                <w:color w:val="auto"/>
              </w:rPr>
              <w:t>Unobservable Input</w:t>
            </w:r>
          </w:p>
        </w:tc>
        <w:tc>
          <w:tcPr>
            <w:tcW w:w="1360" w:type="dxa"/>
            <w:vAlign w:val="bottom"/>
            <w:gridSpan w:val="2"/>
          </w:tcPr>
          <w:p>
            <w:pPr>
              <w:ind w:left="400"/>
              <w:spacing w:after="0"/>
              <w:rPr>
                <w:sz w:val="20"/>
                <w:szCs w:val="20"/>
                <w:color w:val="auto"/>
              </w:rPr>
            </w:pPr>
            <w:r>
              <w:rPr>
                <w:rFonts w:ascii="Arial" w:cs="Arial" w:eastAsia="Arial" w:hAnsi="Arial"/>
                <w:sz w:val="18"/>
                <w:szCs w:val="18"/>
                <w:b w:val="1"/>
                <w:bCs w:val="1"/>
                <w:color w:val="auto"/>
              </w:rPr>
              <w:t>Ranges</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payments</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40,190</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- 4.8%</w:t>
            </w: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Probability of payments</w:t>
            </w: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74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3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- 2020</w:t>
            </w:r>
          </w:p>
        </w:tc>
      </w:tr>
      <w:tr>
        <w:trPr>
          <w:trHeight w:val="27"/>
        </w:trPr>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a reconciliation of the beginning and ending balance of contingent consideration liabilities refer to “Note 10. Fair Value Measurements.”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Miami Instruments</w:t>
      </w:r>
    </w:p>
    <w:p>
      <w:pPr>
        <w:spacing w:after="0" w:line="110" w:lineRule="exact"/>
        <w:rPr>
          <w:sz w:val="20"/>
          <w:szCs w:val="20"/>
          <w:color w:val="auto"/>
        </w:rPr>
      </w:pPr>
    </w:p>
    <w:p>
      <w:pPr>
        <w:ind w:right="80" w:firstLine="162"/>
        <w:spacing w:after="0" w:line="279" w:lineRule="auto"/>
        <w:rPr>
          <w:sz w:val="20"/>
          <w:szCs w:val="20"/>
          <w:color w:val="auto"/>
        </w:rPr>
      </w:pPr>
      <w:r>
        <w:rPr>
          <w:rFonts w:ascii="Arial" w:cs="Arial" w:eastAsia="Arial" w:hAnsi="Arial"/>
          <w:sz w:val="17"/>
          <w:szCs w:val="17"/>
          <w:color w:val="auto"/>
        </w:rPr>
        <w:t>On June 12, 2019, we acquired the minimally invasive cardiac surgery instruments business from Miami Instruments, LLC (“Miami Instruments”) for cash consideration of up to $17.0 million. The related operations have been integrated into our Cardiovascular business franchise as part of our Heart Valves portfolio. Cash of $10.8 million was paid at closing with up to $6.0 million in contingent consideration based on achieving certain milestones. In connection with this acquisition, we recognized $14.7 million in developed technology and IPR&amp;D intangible assets and $1.5 million in goodwill.</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665" w:right="239" w:bottom="1440" w:gutter="0" w:footer="0" w:header="0"/>
        </w:sectPr>
      </w:pPr>
    </w:p>
    <w:bookmarkStart w:id="80" w:name="page81"/>
    <w:bookmarkEnd w:id="80"/>
    <w:p>
      <w:pPr>
        <w:spacing w:after="0"/>
        <w:rPr>
          <w:sz w:val="20"/>
          <w:szCs w:val="20"/>
          <w:color w:val="auto"/>
        </w:rPr>
      </w:pPr>
      <w:r>
        <w:rPr>
          <w:rFonts w:ascii="Arial" w:cs="Arial" w:eastAsia="Arial" w:hAnsi="Arial"/>
          <w:sz w:val="20"/>
          <w:szCs w:val="20"/>
          <w:b w:val="1"/>
          <w:bCs w:val="1"/>
          <w:color w:val="auto"/>
        </w:rPr>
        <w:t>Note 5. Discontinued Operations</w:t>
      </w:r>
    </w:p>
    <w:p>
      <w:pPr>
        <w:spacing w:after="0" w:line="116"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In November 2017, we concluded that the sale of CRM represented a strategic shift in our business that would have a major effect on future operations and financial results. Accordingly, the operating results of CRM are classified as discontinued operations on our consolidated statements of income (loss) for all the periods presented in this Annual Report on Form 10-K.</w:t>
      </w:r>
    </w:p>
    <w:p>
      <w:pPr>
        <w:spacing w:after="0" w:line="73" w:lineRule="exact"/>
        <w:rPr>
          <w:sz w:val="20"/>
          <w:szCs w:val="20"/>
          <w:color w:val="auto"/>
        </w:rPr>
      </w:pPr>
    </w:p>
    <w:p>
      <w:pPr>
        <w:ind w:right="120" w:firstLine="162"/>
        <w:spacing w:after="0" w:line="271" w:lineRule="auto"/>
        <w:rPr>
          <w:sz w:val="20"/>
          <w:szCs w:val="20"/>
          <w:color w:val="auto"/>
        </w:rPr>
      </w:pPr>
      <w:r>
        <w:rPr>
          <w:rFonts w:ascii="Arial" w:cs="Arial" w:eastAsia="Arial" w:hAnsi="Arial"/>
          <w:sz w:val="17"/>
          <w:szCs w:val="17"/>
          <w:color w:val="auto"/>
        </w:rPr>
        <w:t>We completed the CRM Sale on April 30, 2018 to MicroPort Cardiac Rhythm B.V. and MicroPort Scientific Corporation for total cash proceeds of $195.9 million, less cash transferred of $9.2 million, subject to a closing working capital adjustment that could result in a negative adjustment of up to $10.0 million in addition to $14.9 million recorded within accrued liabilities and other at December 31, 2019. In conjunction with the sale, we entered into transition services agreements to provide certain support services generally for up to twelve months from the closing date of the sale. The services include, among others, accounting, information technology, human resources, quality assurance, regulatory affairs, supply chain, clinical affairs and customer support. During the year ended December 31, 2019 and December 31, 2018 we recognized income of $0.9 million and $2.8 million, respectively, for providing these services. Income recognized related to the transition services agreements is recorded as a reduction to the related expenses in the associated expense line items on our consolidated statements of income (loss).</w:t>
      </w:r>
    </w:p>
    <w:p>
      <w:pPr>
        <w:spacing w:after="0" w:line="179"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The following table represents the financial results of CRM presented as net income (loss) from discontinued operations, net of tax on our consolidated statements of income (loss)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6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16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245,171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92,609</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43,382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105,831</w:t>
            </w:r>
          </w:p>
        </w:tc>
      </w:tr>
      <w:tr>
        <w:trPr>
          <w:trHeight w:val="27"/>
        </w:trPr>
        <w:tc>
          <w:tcPr>
            <w:tcW w:w="6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37,936</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6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12,737</w:t>
            </w:r>
          </w:p>
        </w:tc>
      </w:tr>
      <w:tr>
        <w:trPr>
          <w:trHeight w:val="27"/>
        </w:trPr>
        <w:tc>
          <w:tcPr>
            <w:tcW w:w="6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tangible and intangible assets</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93,574</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Revaluation gain on assets and liabilities held for sale</w:t>
            </w: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sale of CRM</w:t>
            </w: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Operating income (loss) from discontinued operations</w:t>
            </w:r>
          </w:p>
        </w:tc>
        <w:tc>
          <w:tcPr>
            <w:tcW w:w="1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(95,921)</w:t>
            </w:r>
          </w:p>
        </w:tc>
      </w:tr>
      <w:tr>
        <w:trPr>
          <w:trHeight w:val="27"/>
        </w:trPr>
        <w:tc>
          <w:tcPr>
            <w:tcW w:w="6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and other gains (losses)</w:t>
            </w: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Income (loss) from discontinued operations, before tax</w:t>
            </w:r>
          </w:p>
        </w:tc>
        <w:tc>
          <w:tcPr>
            <w:tcW w:w="1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(96,302)</w:t>
            </w:r>
          </w:p>
        </w:tc>
      </w:tr>
      <w:tr>
        <w:trPr>
          <w:trHeight w:val="27"/>
        </w:trPr>
        <w:tc>
          <w:tcPr>
            <w:tcW w:w="6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Losses from equity method investments</w:t>
            </w: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(4,887)</w:t>
            </w:r>
          </w:p>
        </w:tc>
      </w:tr>
      <w:tr>
        <w:trPr>
          <w:trHeight w:val="27"/>
        </w:trPr>
        <w:tc>
          <w:tcPr>
            <w:tcW w:w="60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(loss) from discontinued operations</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80" w:firstLine="162"/>
        <w:spacing w:after="0" w:line="279" w:lineRule="auto"/>
        <w:rPr>
          <w:sz w:val="20"/>
          <w:szCs w:val="20"/>
          <w:color w:val="auto"/>
        </w:rPr>
      </w:pPr>
      <w:r>
        <w:rPr>
          <w:rFonts w:ascii="Arial" w:cs="Arial" w:eastAsia="Arial" w:hAnsi="Arial"/>
          <w:sz w:val="17"/>
          <w:szCs w:val="17"/>
          <w:color w:val="auto"/>
        </w:rPr>
        <w:t>Cash flows attributable to our discontinued operations are included on our consolidated statements of cash flows. For the years ended December 31, 2018 and December 31, 2017, CRM’s capital expenditures were $1.0 million and $6.1 million, respectively, and stock-based compensation expense was $2.0 million and $1.4 million, respectively. For the year ended December 31, 2017, CRM’s depreciation and amortization was $18.3 million. Income tax benefit for the year ended December 31, 2017 includes a $15.3 million tax benefit recognized on the impairment of CRM.</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Restructuring</w:t>
      </w:r>
    </w:p>
    <w:p>
      <w:pPr>
        <w:spacing w:after="0" w:line="116" w:lineRule="exact"/>
        <w:rPr>
          <w:sz w:val="20"/>
          <w:szCs w:val="20"/>
          <w:color w:val="auto"/>
        </w:rPr>
      </w:pPr>
    </w:p>
    <w:p>
      <w:pPr>
        <w:ind w:right="660" w:firstLine="162"/>
        <w:spacing w:after="0" w:line="264" w:lineRule="auto"/>
        <w:rPr>
          <w:sz w:val="20"/>
          <w:szCs w:val="20"/>
          <w:color w:val="auto"/>
        </w:rPr>
      </w:pPr>
      <w:r>
        <w:rPr>
          <w:rFonts w:ascii="Arial" w:cs="Arial" w:eastAsia="Arial" w:hAnsi="Arial"/>
          <w:sz w:val="18"/>
          <w:szCs w:val="18"/>
          <w:color w:val="auto"/>
        </w:rPr>
        <w:t>We initiate restructuring plans to leverage economies of scale, streamline distribution and logistics and strengthen operational and administrative effectiveness in order to reduce overall costs. Costs associated with these plans were reported as restructuring expenses in the operating results of our consolidated statements of income (loss).</w:t>
      </w:r>
    </w:p>
    <w:p>
      <w:pPr>
        <w:spacing w:after="0" w:line="73"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Our 2015 and 2016 Reorganization Plans (the “Prior Plans”) were initiated October 2015 and March 2016, respectively, in conjunction with the completion of the merger of Cyberonics, Inc. and Sorin S.p.A. in October 2015. The Prior Plans include the closure of the R&amp;D facility in Meylan, France and consolidation of its R&amp;D capabilities into the Clamart, France facility. In addition, during the year ended December 31, 2016, we initiated a plan to exit the Costa Rica manufacturing operation and</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670" w:right="239" w:bottom="1440" w:gutter="0" w:footer="0" w:header="0"/>
        </w:sectPr>
      </w:pPr>
    </w:p>
    <w:bookmarkStart w:id="81" w:name="page82"/>
    <w:bookmarkEnd w:id="81"/>
    <w:p>
      <w:pPr>
        <w:ind w:right="720"/>
        <w:spacing w:after="0" w:line="277" w:lineRule="auto"/>
        <w:rPr>
          <w:sz w:val="20"/>
          <w:szCs w:val="20"/>
          <w:color w:val="auto"/>
        </w:rPr>
      </w:pPr>
      <w:r>
        <w:rPr>
          <w:rFonts w:ascii="Arial" w:cs="Arial" w:eastAsia="Arial" w:hAnsi="Arial"/>
          <w:sz w:val="18"/>
          <w:szCs w:val="18"/>
          <w:color w:val="auto"/>
        </w:rPr>
        <w:t>transfer its operations to Houston, Texas. We completed the exit of the Costa Rica manufacturing operation in the first half of 2017 and substantially completed the Prior Plans during 2018.</w:t>
      </w:r>
    </w:p>
    <w:p>
      <w:pPr>
        <w:spacing w:after="0" w:line="62"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Included in Prior Plans was our commitment to sell our Suzhou Industrial Park facility in Shanghai, China, which we announced in March 2017. As a result of this exit plan we recorded an impairment of the building and equipment of $5.4 million and accrued $0.5 million of additional costs, primarily related to employee severance, during the year ended December 31, 2017. We completed the sale of the Suzhou facility in April 2018 and received cash proceeds from the sale of $13.3 million.</w:t>
      </w:r>
    </w:p>
    <w:p>
      <w:pPr>
        <w:spacing w:after="0" w:line="79"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In December 2018, we initiated a reorganization plan (the “2018 Plan”) in order to reduce manufacturing and operational costs associated with our Cardiovascular facilities in Saluggia and Mirandola, Italy and Arvada, Colorado. The 2018 Plan resulted in a net reduction of approximately 75 personnel and was completed prior to the end of 2019.</w:t>
      </w:r>
    </w:p>
    <w:p>
      <w:pPr>
        <w:spacing w:after="0" w:line="73" w:lineRule="exact"/>
        <w:rPr>
          <w:sz w:val="20"/>
          <w:szCs w:val="20"/>
          <w:color w:val="auto"/>
        </w:rPr>
      </w:pPr>
    </w:p>
    <w:p>
      <w:pPr>
        <w:ind w:right="160" w:firstLine="162"/>
        <w:spacing w:after="0" w:line="286" w:lineRule="auto"/>
        <w:rPr>
          <w:sz w:val="20"/>
          <w:szCs w:val="20"/>
          <w:color w:val="auto"/>
        </w:rPr>
      </w:pPr>
      <w:r>
        <w:rPr>
          <w:rFonts w:ascii="Arial" w:cs="Arial" w:eastAsia="Arial" w:hAnsi="Arial"/>
          <w:sz w:val="17"/>
          <w:szCs w:val="17"/>
          <w:color w:val="auto"/>
        </w:rPr>
        <w:t>In November 2019, we initiated a reorganization plan (the “2019 Plan”) to streamline our organizational structure in order to address new regulatory requirements, create efficiencies, improve profitability and ensure business continuity. As a result, we incurred restructuring expenses of $4.4 million during the year ended December 31, 2019, primarily associated with severance costs for approximately 35 impacted employees.</w:t>
      </w:r>
    </w:p>
    <w:p>
      <w:pPr>
        <w:spacing w:after="0" w:line="57"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Additionally, we ended our Caisson TMVR program effective December 31, 2019 after determining that it was no longer viable to continue to invest in the program. As a result, we recognized restructuring expenses of $3.5 million during the year ended December 31, 2019, primarily associated with severance costs for approximately 50 impacted employees.</w:t>
      </w:r>
    </w:p>
    <w:p>
      <w:pPr>
        <w:spacing w:after="0" w:line="73" w:lineRule="exact"/>
        <w:rPr>
          <w:sz w:val="20"/>
          <w:szCs w:val="20"/>
          <w:color w:val="auto"/>
        </w:rPr>
      </w:pPr>
    </w:p>
    <w:p>
      <w:pPr>
        <w:ind w:right="220" w:firstLine="162"/>
        <w:spacing w:after="0" w:line="264" w:lineRule="auto"/>
        <w:rPr>
          <w:sz w:val="20"/>
          <w:szCs w:val="20"/>
          <w:color w:val="auto"/>
        </w:rPr>
      </w:pPr>
      <w:r>
        <w:rPr>
          <w:rFonts w:ascii="Arial" w:cs="Arial" w:eastAsia="Arial" w:hAnsi="Arial"/>
          <w:sz w:val="18"/>
          <w:szCs w:val="18"/>
          <w:color w:val="auto"/>
        </w:rPr>
        <w:t>We expect our restructuring actions will result in an incremental benefit to operating (loss) income from continuing operations, primarily through reductions to cost of sales - exclusive of amortization, selling, general and administrative and research and development from the 2019 Plan and to research and development from the Caisson TMVR restructuring plan.</w:t>
      </w:r>
    </w:p>
    <w:p>
      <w:pPr>
        <w:spacing w:after="0" w:line="7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The following table presents the accruals, inventory obsolescence and other reserves, recorded in connection with our reorganization plans including the balances and activity related to the CRM business franchise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Employee Severance</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2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and Other Termination</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Costs</w:t>
            </w:r>
          </w:p>
        </w:tc>
        <w:tc>
          <w:tcPr>
            <w:tcW w:w="440" w:type="dxa"/>
            <w:vAlign w:val="bottom"/>
          </w:tcPr>
          <w:p>
            <w:pPr>
              <w:spacing w:after="0"/>
              <w:rPr>
                <w:sz w:val="20"/>
                <w:szCs w:val="20"/>
                <w:color w:val="auto"/>
              </w:rPr>
            </w:pPr>
          </w:p>
        </w:tc>
        <w:tc>
          <w:tcPr>
            <w:tcW w:w="1600" w:type="dxa"/>
            <w:vAlign w:val="bottom"/>
            <w:gridSpan w:val="2"/>
          </w:tcPr>
          <w:p>
            <w:pPr>
              <w:ind w:left="300"/>
              <w:spacing w:after="0"/>
              <w:rPr>
                <w:sz w:val="20"/>
                <w:szCs w:val="20"/>
                <w:color w:val="auto"/>
              </w:rPr>
            </w:pPr>
            <w:r>
              <w:rPr>
                <w:rFonts w:ascii="Arial" w:cs="Arial" w:eastAsia="Arial" w:hAnsi="Arial"/>
                <w:sz w:val="18"/>
                <w:szCs w:val="18"/>
                <w:b w:val="1"/>
                <w:bCs w:val="1"/>
                <w:color w:val="auto"/>
              </w:rPr>
              <w:t>Other</w:t>
            </w: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10,076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15,439</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 write-downs</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(33,073)</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6,514</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(9,335)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(9,816)</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12,254</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(20,021)</w:t>
            </w:r>
          </w:p>
        </w:tc>
      </w:tr>
      <w:tr>
        <w:trPr>
          <w:trHeight w:val="264"/>
        </w:trPr>
        <w:tc>
          <w:tcPr>
            <w:tcW w:w="538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Balance at December 31, 2019 </w:t>
            </w:r>
            <w:r>
              <w:rPr>
                <w:rFonts w:ascii="Arial" w:cs="Arial" w:eastAsia="Arial" w:hAnsi="Arial"/>
                <w:sz w:val="25"/>
                <w:szCs w:val="25"/>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4,097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5,497</w:t>
            </w: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Cumulatively, we have recognized a total of $111.5 million in restructuring expense, inclusive of discontinued operations.</w:t>
      </w:r>
    </w:p>
    <w:p>
      <w:pPr>
        <w:spacing w:after="0" w:line="392"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8"/>
          <w:szCs w:val="18"/>
          <w:color w:val="auto"/>
        </w:rPr>
        <w:t>F-22</w:t>
      </w:r>
    </w:p>
    <w:p>
      <w:pPr>
        <w:sectPr>
          <w:pgSz w:w="11900" w:h="16838" w:orient="portrait"/>
          <w:cols w:equalWidth="0" w:num="1">
            <w:col w:w="11420"/>
          </w:cols>
          <w:pgMar w:left="240" w:top="665" w:right="239" w:bottom="1440" w:gutter="0" w:footer="0" w:header="0"/>
        </w:sectPr>
      </w:pPr>
    </w:p>
    <w:bookmarkStart w:id="82" w:name="page83"/>
    <w:bookmarkEnd w:id="82"/>
    <w:p>
      <w:pPr>
        <w:ind w:left="180"/>
        <w:spacing w:after="0"/>
        <w:rPr>
          <w:sz w:val="20"/>
          <w:szCs w:val="20"/>
          <w:color w:val="auto"/>
        </w:rPr>
      </w:pPr>
      <w:r>
        <w:rPr>
          <w:rFonts w:ascii="Arial" w:cs="Arial" w:eastAsia="Arial" w:hAnsi="Arial"/>
          <w:sz w:val="18"/>
          <w:szCs w:val="18"/>
          <w:color w:val="auto"/>
        </w:rPr>
        <w:t>The following table presents restructuring expense by reportable segment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40" w:type="dxa"/>
            <w:vAlign w:val="bottom"/>
            <w:gridSpan w:val="4"/>
          </w:tcPr>
          <w:p>
            <w:pPr>
              <w:ind w:left="80"/>
              <w:spacing w:after="0"/>
              <w:rPr>
                <w:sz w:val="20"/>
                <w:szCs w:val="20"/>
                <w:color w:val="auto"/>
              </w:rPr>
            </w:pPr>
            <w:r>
              <w:rPr>
                <w:rFonts w:ascii="Arial" w:cs="Arial" w:eastAsia="Arial" w:hAnsi="Arial"/>
                <w:sz w:val="18"/>
                <w:szCs w:val="18"/>
                <w:b w:val="1"/>
                <w:bCs w:val="1"/>
                <w:color w:val="auto"/>
                <w:w w:val="92"/>
              </w:rPr>
              <w:t>Year Ended December 31,</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r>
      <w:tr>
        <w:trPr>
          <w:trHeight w:val="27"/>
        </w:trPr>
        <w:tc>
          <w:tcPr>
            <w:tcW w:w="5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3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Cardiovascular </w:t>
            </w:r>
            <w:r>
              <w:rPr>
                <w:rFonts w:ascii="Arial" w:cs="Arial" w:eastAsia="Arial" w:hAnsi="Arial"/>
                <w:sz w:val="25"/>
                <w:szCs w:val="25"/>
                <w:color w:val="auto"/>
                <w:vertAlign w:val="superscript"/>
              </w:rPr>
              <w:t>(1)</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3,592</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11,497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8,819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7"/>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(2)</w:t>
            </w:r>
          </w:p>
        </w:tc>
        <w:tc>
          <w:tcPr>
            <w:tcW w:w="1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7,580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7,676</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Restructuring expense from continuing operations</w:t>
            </w:r>
          </w:p>
        </w:tc>
        <w:tc>
          <w:tcPr>
            <w:tcW w:w="126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12,254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15,915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17,056</w:t>
            </w:r>
          </w:p>
        </w:tc>
      </w:tr>
      <w:tr>
        <w:trPr>
          <w:trHeight w:val="27"/>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12,254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16,566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15,439</w:t>
            </w:r>
          </w:p>
        </w:tc>
      </w:tr>
      <w:tr>
        <w:trPr>
          <w:trHeight w:val="20"/>
        </w:trPr>
        <w:tc>
          <w:tcPr>
            <w:tcW w:w="5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80" w:hanging="328"/>
        <w:spacing w:after="0" w:line="284"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5"/>
          <w:szCs w:val="15"/>
          <w:color w:val="auto"/>
        </w:rPr>
        <w:t>Cardiovascular restructuring expense for the year ended December 31, 2018 included $6.5 million of 2018 Plan expenses. Cardiovascular restructuring expense for the year ended December 31, 2017 included building and equipment impairment of $5.4 million related to the Suzhou, China facility exit plan.</w:t>
      </w: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6"/>
          <w:szCs w:val="16"/>
          <w:color w:val="auto"/>
        </w:rPr>
        <w:t>Other restructuring expense for the year ended December 31, 2019 included $3.5 million of Caisson restructuring expenses.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Product Remediation Liability</w:t>
      </w:r>
    </w:p>
    <w:p>
      <w:pPr>
        <w:spacing w:after="0" w:line="116"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On December 29, 2015, we received an FDA Warning Letter (the “Warning Letter”) alleging certain violations of FDA regulations applicable to medical device manufacturing at our Munich, Germany and Arvada, Colorado facilities. On October 13, 2016, the CDC and FDA separately released safety notifications regarding 3T Heater-Cooler devices in response to which we issued a Field Safety Notice Update for U.S. users of our 3T Heater-Cooler devices to proactively and voluntarily contact facilities to facilitate implementation of the CDC and FDA recommendations.</w:t>
      </w:r>
    </w:p>
    <w:p>
      <w:pPr>
        <w:spacing w:after="0" w:line="63"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At December 31, 2016, we recognized a liability for a product remediation plan related to our 3T Heater-Cooler device (“3T device”). The remediation plan we developed consists primarily of a modification of the 3T device design to include internal sealing and the addition of a vacuum system to new and existing devices. These changes are intended to address regulatory actions and to reduce further the risk of possible dispersion of aerosols from 3T devices in the operating room.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The deployment of this solution for commercially distributed devices has been dependent upon final validation and verification of the design changes and approval or clearance by regulatory authorities worldwide, including FDA clearance in the U.S.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w:t>
      </w:r>
    </w:p>
    <w:p>
      <w:pPr>
        <w:spacing w:after="0" w:line="74" w:lineRule="exact"/>
        <w:rPr>
          <w:sz w:val="20"/>
          <w:szCs w:val="20"/>
          <w:color w:val="auto"/>
        </w:rPr>
      </w:pPr>
    </w:p>
    <w:p>
      <w:pPr>
        <w:ind w:right="200" w:firstLine="162"/>
        <w:spacing w:after="0" w:line="272" w:lineRule="auto"/>
        <w:rPr>
          <w:sz w:val="20"/>
          <w:szCs w:val="20"/>
          <w:color w:val="auto"/>
        </w:rPr>
      </w:pPr>
      <w:r>
        <w:rPr>
          <w:rFonts w:ascii="Arial" w:cs="Arial" w:eastAsia="Arial" w:hAnsi="Arial"/>
          <w:sz w:val="17"/>
          <w:szCs w:val="17"/>
          <w:color w:val="auto"/>
        </w:rPr>
        <w:t>In April 2017, we obtained CE Mark in Europe for the design change of the 3T device, and in May 2017 we completed our first vacuum canister and internal sealing upgrade on a customer-owned device. We are currently implementing the vacuum canister and internal sealing upgrade program in as many countries as possible until all devices are upgraded. In October 2018, after review of information provided by us, the FDA concluded that we could commence the vacuum canister and internal sealing upgrade program in the U.S., and 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w:t>
      </w:r>
    </w:p>
    <w:p>
      <w:pPr>
        <w:spacing w:after="0" w:line="70" w:lineRule="exact"/>
        <w:rPr>
          <w:sz w:val="20"/>
          <w:szCs w:val="20"/>
          <w:color w:val="auto"/>
        </w:rPr>
      </w:pPr>
    </w:p>
    <w:p>
      <w:pPr>
        <w:ind w:right="80" w:firstLine="162"/>
        <w:spacing w:after="0" w:line="272" w:lineRule="auto"/>
        <w:rPr>
          <w:sz w:val="20"/>
          <w:szCs w:val="20"/>
          <w:color w:val="auto"/>
        </w:rPr>
      </w:pPr>
      <w:r>
        <w:rPr>
          <w:rFonts w:ascii="Arial" w:cs="Arial" w:eastAsia="Arial" w:hAnsi="Arial"/>
          <w:sz w:val="17"/>
          <w:szCs w:val="17"/>
          <w:color w:val="auto"/>
        </w:rPr>
        <w:t>As a second part of the remediation plan, we continue to offer a no-charge deep disinfection service (deep cleaning service) for 3T device users as we receive the required regulatory approvals. The deep disinfection service was rolled out in Europe in the second half of 2015, and in April 2018, the FDA agreed to allow us to move forward with the deep cleaning service in the U.S., thereby adding to the growing list of countries around the world in which we offer this service. Finally, we are continuing to offer the loaner program for 3T devices, initiated in the fourth quarter of 2016, to provide existing 3T device users with a new loaner 3T device at no charge pending regulatory approval and implementation of the vacuum system addition and deep disinfection service worldwide. This loaner program, which began in the U.S., was rolled out in Europe shortly thereafter, and is being made available progressively on a global basis, prioritizing and allocating devices to 3T device users based on pre-established criteria.</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665"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9020" w:type="dxa"/>
            <w:vAlign w:val="bottom"/>
          </w:tcPr>
          <w:p>
            <w:pPr>
              <w:ind w:left="180"/>
              <w:spacing w:after="0"/>
              <w:rPr>
                <w:sz w:val="20"/>
                <w:szCs w:val="20"/>
                <w:color w:val="auto"/>
              </w:rPr>
            </w:pPr>
            <w:r>
              <w:rPr>
                <w:rFonts w:ascii="Arial" w:cs="Arial" w:eastAsia="Arial" w:hAnsi="Arial"/>
                <w:sz w:val="18"/>
                <w:szCs w:val="18"/>
                <w:color w:val="auto"/>
              </w:rPr>
              <w:t>Changes in the carrying amount of the product remediation liability are as follows (in thousands):</w:t>
            </w: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35"/>
        </w:trPr>
        <w:tc>
          <w:tcPr>
            <w:tcW w:w="9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9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2,452</w:t>
            </w:r>
          </w:p>
        </w:tc>
      </w:tr>
      <w:tr>
        <w:trPr>
          <w:trHeight w:val="27"/>
        </w:trPr>
        <w:tc>
          <w:tcPr>
            <w:tcW w:w="9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Remediation activity</w:t>
            </w:r>
          </w:p>
        </w:tc>
        <w:tc>
          <w:tcPr>
            <w:tcW w:w="9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9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2,890</w:t>
            </w:r>
          </w:p>
        </w:tc>
      </w:tr>
      <w:tr>
        <w:trPr>
          <w:trHeight w:val="27"/>
        </w:trPr>
        <w:tc>
          <w:tcPr>
            <w:tcW w:w="9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9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9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9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Remediation activity</w:t>
            </w:r>
          </w:p>
        </w:tc>
        <w:tc>
          <w:tcPr>
            <w:tcW w:w="9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9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7"/>
        </w:trPr>
        <w:tc>
          <w:tcPr>
            <w:tcW w:w="9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9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14,745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9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3,663</w:t>
            </w:r>
          </w:p>
        </w:tc>
      </w:tr>
      <w:tr>
        <w:trPr>
          <w:trHeight w:val="27"/>
        </w:trPr>
        <w:tc>
          <w:tcPr>
            <w:tcW w:w="9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Remediation activity</w:t>
            </w:r>
          </w:p>
        </w:tc>
        <w:tc>
          <w:tcPr>
            <w:tcW w:w="9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9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9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3,251</w:t>
            </w:r>
          </w:p>
        </w:tc>
      </w:tr>
      <w:tr>
        <w:trPr>
          <w:trHeight w:val="20"/>
        </w:trPr>
        <w:tc>
          <w:tcPr>
            <w:tcW w:w="9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20" w:firstLine="162"/>
        <w:spacing w:after="0" w:line="273" w:lineRule="auto"/>
        <w:rPr>
          <w:sz w:val="20"/>
          <w:szCs w:val="20"/>
          <w:color w:val="auto"/>
        </w:rPr>
      </w:pPr>
      <w:r>
        <w:rPr>
          <w:rFonts w:ascii="Arial" w:cs="Arial" w:eastAsia="Arial" w:hAnsi="Arial"/>
          <w:sz w:val="17"/>
          <w:szCs w:val="17"/>
          <w:color w:val="auto"/>
        </w:rPr>
        <w:t>We recognized product remediation expenses during the years ended December 31, 2019, 2018 and 2017 of $15.8 million, $10.7 million and $7.3 million, respectively. Product remediation expenses include internal labor costs, costs to remediate certain inspectional observations made by the FDA at our Munich facility and costs associated with the incorporation of the modification of the 3T device design into the next generation 3T device. These costs and related legal costs are expensed as incurred and are not included within the product remediation liability presented above. During the fourth quarter of 2018, we recognized a $294.1 million liability related to the litigation involving the 3T device. As of December 31, 2019, the liability was $170.4 million. Our related legal costs are expensed as incurred. For further information, please refer to “Note 14. Commitments and Contingencies.”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Goodwill and Intangible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finite-lived and indefinite-lived intangible assets as of December 31, 2019 and 2018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40"/>
              <w:spacing w:after="0"/>
              <w:rPr>
                <w:sz w:val="20"/>
                <w:szCs w:val="20"/>
                <w:color w:val="auto"/>
              </w:rPr>
            </w:pPr>
            <w:r>
              <w:rPr>
                <w:rFonts w:ascii="Arial" w:cs="Arial" w:eastAsia="Arial" w:hAnsi="Arial"/>
                <w:sz w:val="18"/>
                <w:szCs w:val="18"/>
                <w:color w:val="auto"/>
              </w:rPr>
              <w:t>Finite-lived intangible assets:</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320,023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317,292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293,785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176,476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25,260</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gross finite-lived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639,787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519,925</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Accumulated amortization - Customer relationships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75,156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57,350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amortization - Developed technology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39,144</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Accumulated amortization - Trade names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14,811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11,440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amortization - Other intangible assets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accumulated amortization</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148,041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108,271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finite-lived intangible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491,746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411,654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Indefinite-lived intangible assets: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IPR&amp;D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115,800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358,785</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915,794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956,815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indefinite-lived intangible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1,031,594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1,315,600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During the year ended December 31, 2019, we recognized $14.7 million of developed technology and in-process R&amp;D and $1.5 million in goodwill related to the acquisition of Miami Instruments.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665"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w w:val="94"/>
              </w:rPr>
              <w:t>The amortization periods for our finite-lived intangible assets as of December 31, 2019, are as follows: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60"/>
        </w:trPr>
        <w:tc>
          <w:tcPr>
            <w:tcW w:w="790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Minimum Life in</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Life in</w:t>
            </w:r>
          </w:p>
        </w:tc>
      </w:tr>
      <w:tr>
        <w:trPr>
          <w:trHeight w:val="234"/>
        </w:trPr>
        <w:tc>
          <w:tcPr>
            <w:tcW w:w="790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years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years</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r>
    </w:tbl>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estimated future amortization expense based on our finite-lived intangible assets at December 31, 2019,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39,901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2021</w:t>
            </w: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39,102</w:t>
            </w:r>
          </w:p>
        </w:tc>
      </w:tr>
      <w:tr>
        <w:trPr>
          <w:trHeight w:val="27"/>
        </w:trPr>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39,102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2023</w:t>
            </w: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39,102</w:t>
            </w:r>
          </w:p>
        </w:tc>
      </w:tr>
      <w:tr>
        <w:trPr>
          <w:trHeight w:val="27"/>
        </w:trPr>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39,102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295,437</w:t>
            </w:r>
          </w:p>
        </w:tc>
      </w:tr>
      <w:tr>
        <w:trPr>
          <w:trHeight w:val="27"/>
        </w:trPr>
        <w:tc>
          <w:tcPr>
            <w:tcW w:w="9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491,746</w:t>
            </w:r>
          </w:p>
        </w:tc>
      </w:tr>
      <w:tr>
        <w:trPr>
          <w:trHeight w:val="20"/>
        </w:trPr>
        <w:tc>
          <w:tcPr>
            <w:tcW w:w="9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 Impairments</w:t>
      </w:r>
    </w:p>
    <w:p>
      <w:pPr>
        <w:spacing w:after="0" w:line="110"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November 2019, we announced that we would be ending our Caisson TMVR program. The announcement triggered an evaluation of finite and indefinite lived assets for impairment. As a result, we fully impaired the IPR&amp;D asset and goodwill of $89.0 million and $42.4 million, respectively.</w:t>
      </w:r>
    </w:p>
    <w:p>
      <w:pPr>
        <w:spacing w:after="0" w:line="38" w:lineRule="exact"/>
        <w:rPr>
          <w:sz w:val="20"/>
          <w:szCs w:val="20"/>
          <w:color w:val="auto"/>
        </w:rPr>
      </w:pPr>
    </w:p>
    <w:p>
      <w:pPr>
        <w:ind w:right="100" w:firstLine="162"/>
        <w:spacing w:after="0" w:line="291" w:lineRule="auto"/>
        <w:rPr>
          <w:sz w:val="20"/>
          <w:szCs w:val="20"/>
          <w:color w:val="auto"/>
        </w:rPr>
      </w:pPr>
      <w:r>
        <w:rPr>
          <w:rFonts w:ascii="Arial" w:cs="Arial" w:eastAsia="Arial" w:hAnsi="Arial"/>
          <w:sz w:val="16"/>
          <w:szCs w:val="16"/>
          <w:color w:val="auto"/>
        </w:rPr>
        <w:t>During the second quarter of 2019, we determined that there would be a delay in the estimated commercialization date of our obstructive sleep apnea product currently under development, which was acquired in the ImThera acquisition. This delay constituted a triggering event that required an evaluation of the IPR&amp;D asset arising from the ImThera acquisition for impairment. Based on the assessment performed, we determined that the IPR&amp;D asset was impaired and as a result, recorded an impairment of $50.3 million, which is included in our Neuromodulation segment. The carrying value of the IPR&amp;D asset as of December 31, 2019 is $112.0 million. The estimated fair value of IPR&amp;D was determined using the income approach. Estimating the fair value of the IPR&amp;D asset requires various assumptions, including revenue growth rates, timing and probability of commercialization and the discount rate. Future delays in commercialization or changes in management estimates could result in further impairment. Refer to “Note 4. Business Combinations.”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 Reclassification</w:t>
      </w:r>
    </w:p>
    <w:p>
      <w:pPr>
        <w:spacing w:after="0" w:line="110" w:lineRule="exact"/>
        <w:rPr>
          <w:sz w:val="20"/>
          <w:szCs w:val="20"/>
          <w:color w:val="auto"/>
        </w:rPr>
      </w:pPr>
    </w:p>
    <w:p>
      <w:pPr>
        <w:jc w:val="both"/>
        <w:ind w:right="400" w:firstLine="162"/>
        <w:spacing w:after="0" w:line="342" w:lineRule="auto"/>
        <w:rPr>
          <w:sz w:val="20"/>
          <w:szCs w:val="20"/>
          <w:color w:val="auto"/>
        </w:rPr>
      </w:pPr>
      <w:r>
        <w:rPr>
          <w:rFonts w:ascii="Arial" w:cs="Arial" w:eastAsia="Arial" w:hAnsi="Arial"/>
          <w:sz w:val="16"/>
          <w:szCs w:val="16"/>
          <w:color w:val="auto"/>
        </w:rPr>
        <w:t>During the third quarter of 2019, upon receiving FDA approval of the LifeSPARC system, we reclassified the IPR&amp;D asset of $107.5 million from the acquisition of TandemLife to finite-lived developed technology intangible assets and began amortizing the intangible asset over a useful life of 15 years.</w:t>
      </w:r>
    </w:p>
    <w:p>
      <w:pPr>
        <w:spacing w:after="0" w:line="2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665" w:right="239" w:bottom="1440" w:gutter="0" w:footer="0" w:header="0"/>
        </w:sectPr>
      </w:pPr>
    </w:p>
    <w:bookmarkStart w:id="85" w:name="page86"/>
    <w:bookmarkEnd w:id="85"/>
    <w:p>
      <w:pPr>
        <w:spacing w:after="0"/>
        <w:rPr>
          <w:sz w:val="20"/>
          <w:szCs w:val="20"/>
          <w:color w:val="auto"/>
        </w:rPr>
      </w:pPr>
      <w:r>
        <w:rPr>
          <w:rFonts w:ascii="Arial" w:cs="Arial" w:eastAsia="Arial" w:hAnsi="Arial"/>
          <w:sz w:val="20"/>
          <w:szCs w:val="20"/>
          <w:color w:val="auto"/>
        </w:rPr>
        <w:t>Goodwill</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7"/>
          </w:tcPr>
          <w:p>
            <w:pPr>
              <w:ind w:left="180"/>
              <w:spacing w:after="0"/>
              <w:rPr>
                <w:sz w:val="20"/>
                <w:szCs w:val="20"/>
                <w:color w:val="auto"/>
              </w:rPr>
            </w:pPr>
            <w:r>
              <w:rPr>
                <w:rFonts w:ascii="Arial" w:cs="Arial" w:eastAsia="Arial" w:hAnsi="Arial"/>
                <w:sz w:val="18"/>
                <w:szCs w:val="18"/>
                <w:color w:val="auto"/>
              </w:rPr>
              <w:t>The changes in the carrying amount of goodwill by reportable segment are as follows (in thousands):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Cardiovascular</w:t>
            </w:r>
          </w:p>
        </w:tc>
        <w:tc>
          <w:tcPr>
            <w:tcW w:w="18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b w:val="1"/>
                <w:bCs w:val="1"/>
                <w:color w:val="auto"/>
              </w:rPr>
              <w:t>Neuromodulation</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4"/>
                <w:szCs w:val="24"/>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784,242</w:t>
            </w:r>
          </w:p>
        </w:tc>
      </w:tr>
      <w:tr>
        <w:trPr>
          <w:trHeight w:val="270"/>
        </w:trPr>
        <w:tc>
          <w:tcPr>
            <w:tcW w:w="4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Goodwill as a result of acquisitions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121,446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82,596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204,042</w:t>
            </w: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(31,469)</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515,859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398,539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956,815</w:t>
            </w: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Goodwill as a result of acquisitions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1,550</w:t>
            </w:r>
          </w:p>
        </w:tc>
      </w:tr>
      <w:tr>
        <w:trPr>
          <w:trHeight w:val="270"/>
        </w:trPr>
        <w:tc>
          <w:tcPr>
            <w:tcW w:w="4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Measurement period adjustments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(3,326)</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Foreign currency adjustments</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2,957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3,172</w:t>
            </w: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517,040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398,754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915,794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360" w:hanging="328"/>
        <w:spacing w:after="0" w:line="266"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6"/>
          <w:szCs w:val="16"/>
          <w:color w:val="auto"/>
        </w:rPr>
        <w:t>Goodwill recognized during the year ended December 31, 2019 was the result of the Miami Instruments acquisition. Goodwill recognized during the year ended December 31, 2018 was the result of the ImThera and TandemLife acquisitions. Refer to “Note 4. Business Combinations.”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6"/>
          <w:szCs w:val="16"/>
          <w:color w:val="auto"/>
        </w:rPr>
        <w:t>Refer to “Note 4. Business Combinations.”</w:t>
      </w:r>
    </w:p>
    <w:p>
      <w:pPr>
        <w:spacing w:after="0" w:line="118" w:lineRule="exact"/>
        <w:rPr>
          <w:sz w:val="20"/>
          <w:szCs w:val="20"/>
          <w:color w:val="auto"/>
        </w:rPr>
      </w:pPr>
    </w:p>
    <w:p>
      <w:pPr>
        <w:ind w:right="140" w:firstLine="162"/>
        <w:spacing w:after="0" w:line="297" w:lineRule="auto"/>
        <w:rPr>
          <w:sz w:val="20"/>
          <w:szCs w:val="20"/>
          <w:color w:val="auto"/>
        </w:rPr>
      </w:pPr>
      <w:r>
        <w:rPr>
          <w:rFonts w:ascii="Arial" w:cs="Arial" w:eastAsia="Arial" w:hAnsi="Arial"/>
          <w:sz w:val="16"/>
          <w:szCs w:val="16"/>
          <w:color w:val="auto"/>
        </w:rPr>
        <w:t>We performed a quantitative assessment for our Cardiovascular and Neuromodulation reporting units as of October 1, 2019. The quantitative impairment assessment was performed using management’s current estimate of future cash flows. We concluded that the fair value of our Cardiovascular and Neuromodulation segments exceeded the carrying value of the respective reporting units by 24% and 584%, respectively, as evidenced by the estimated fair value of our Cardiovascular and Neuromodulation reporting units calculated for the purpose of reconciling the fair value of our reporting units to our market capitalization. Therefore, we concluded that our Cardiovascular and Neuromodulation reporting units’ goodwill was not impaired.</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Investments</w:t>
      </w:r>
    </w:p>
    <w:p>
      <w:pPr>
        <w:spacing w:after="0" w:line="116" w:lineRule="exact"/>
        <w:rPr>
          <w:sz w:val="20"/>
          <w:szCs w:val="20"/>
          <w:color w:val="auto"/>
        </w:rPr>
      </w:pPr>
    </w:p>
    <w:p>
      <w:pPr>
        <w:ind w:right="100" w:firstLine="162"/>
        <w:spacing w:after="0" w:line="279" w:lineRule="auto"/>
        <w:rPr>
          <w:sz w:val="20"/>
          <w:szCs w:val="20"/>
          <w:color w:val="auto"/>
        </w:rPr>
      </w:pPr>
      <w:r>
        <w:rPr>
          <w:rFonts w:ascii="Arial" w:cs="Arial" w:eastAsia="Arial" w:hAnsi="Arial"/>
          <w:sz w:val="17"/>
          <w:szCs w:val="17"/>
          <w:color w:val="auto"/>
        </w:rPr>
        <w:t>The following table details the carrying value of our investments in equity securities of non-consolidated affiliates without readily determinable fair values for which we do not exert significant influence over the investee. These equity investments are reported at cost minus impairment, if any, plus or minus changes resulting from observable price changes in orderly transactions for the identical or similar investment of the same issuer. These below equity investments are included in investments on the consolidated balance sheets as of December 31, 2019 and 2018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Respicardia Inc. </w:t>
            </w:r>
            <w:r>
              <w:rPr>
                <w:rFonts w:ascii="Arial" w:cs="Arial" w:eastAsia="Arial" w:hAnsi="Arial"/>
                <w:sz w:val="25"/>
                <w:szCs w:val="25"/>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17,706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17,706</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Ceribell, Inc. </w:t>
            </w:r>
            <w:r>
              <w:rPr>
                <w:rFonts w:ascii="Arial" w:cs="Arial" w:eastAsia="Arial" w:hAnsi="Arial"/>
                <w:sz w:val="25"/>
                <w:szCs w:val="25"/>
                <w:color w:val="auto"/>
                <w:vertAlign w:val="superscript"/>
              </w:rPr>
              <w:t>(2)</w:t>
            </w:r>
          </w:p>
        </w:tc>
        <w:tc>
          <w:tcPr>
            <w:tcW w:w="40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ShiraTronics, Inc. </w:t>
            </w:r>
            <w:r>
              <w:rPr>
                <w:rFonts w:ascii="Arial" w:cs="Arial" w:eastAsia="Arial" w:hAnsi="Arial"/>
                <w:sz w:val="25"/>
                <w:szCs w:val="25"/>
                <w:color w:val="auto"/>
                <w:vertAlign w:val="superscript"/>
              </w:rPr>
              <w:t>(3)</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Rainbow Medical Ltd. </w:t>
            </w:r>
            <w:r>
              <w:rPr>
                <w:rFonts w:ascii="Arial" w:cs="Arial" w:eastAsia="Arial" w:hAnsi="Arial"/>
                <w:sz w:val="25"/>
                <w:szCs w:val="25"/>
                <w:color w:val="auto"/>
                <w:vertAlign w:val="superscript"/>
              </w:rPr>
              <w:t>(4)</w:t>
            </w:r>
          </w:p>
        </w:tc>
        <w:tc>
          <w:tcPr>
            <w:tcW w:w="40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1,119</w:t>
            </w: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MD Start II </w:t>
            </w:r>
            <w:r>
              <w:rPr>
                <w:rFonts w:ascii="Arial" w:cs="Arial" w:eastAsia="Arial" w:hAnsi="Arial"/>
                <w:sz w:val="25"/>
                <w:szCs w:val="25"/>
                <w:color w:val="auto"/>
                <w:vertAlign w:val="superscript"/>
              </w:rPr>
              <w:t>(5)</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Highlife S.A.S. </w:t>
            </w:r>
            <w:r>
              <w:rPr>
                <w:rFonts w:ascii="Arial" w:cs="Arial" w:eastAsia="Arial" w:hAnsi="Arial"/>
                <w:sz w:val="25"/>
                <w:szCs w:val="25"/>
                <w:color w:val="auto"/>
                <w:vertAlign w:val="superscript"/>
              </w:rPr>
              <w:t>(6)</w:t>
            </w:r>
          </w:p>
        </w:tc>
        <w:tc>
          <w:tcPr>
            <w:tcW w:w="40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1,084</w:t>
            </w: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r>
      <w:tr>
        <w:trPr>
          <w:trHeight w:val="237"/>
        </w:trPr>
        <w:tc>
          <w:tcPr>
            <w:tcW w:w="79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26,805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24,823</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Equity method investments </w:t>
            </w:r>
            <w:r>
              <w:rPr>
                <w:rFonts w:ascii="Arial" w:cs="Arial" w:eastAsia="Arial" w:hAnsi="Arial"/>
                <w:sz w:val="25"/>
                <w:szCs w:val="25"/>
                <w:color w:val="auto"/>
                <w:vertAlign w:val="superscript"/>
              </w:rPr>
              <w:t>(7)</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27,256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24,823</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60" w:right="160" w:hanging="328"/>
        <w:spacing w:after="0" w:line="265"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Respicardia Inc. (“Respicardia”) is a privately funded U.S. company developing an implantable device designed to restore a more natural breathing pattern during sleep in patients with central sleep apnea by transvenously stimulating the phrenic nerve. We have a loan outstanding to Respicardia with a carrying amount of $0.6 million and $0.6 million as of December 31, 2019 and December 31, 2018, respectively, which is included in prepaid expenses and other current assets on the consolidated balance sheet. Refer to the paragraph below for further details regarding this investment.</w:t>
      </w:r>
    </w:p>
    <w:p>
      <w:pPr>
        <w:spacing w:after="0" w:line="1" w:lineRule="exact"/>
        <w:rPr>
          <w:rFonts w:ascii="Arial" w:cs="Arial" w:eastAsia="Arial" w:hAnsi="Arial"/>
          <w:sz w:val="14"/>
          <w:szCs w:val="14"/>
          <w:color w:val="auto"/>
        </w:rPr>
      </w:pPr>
    </w:p>
    <w:p>
      <w:pPr>
        <w:ind w:left="660" w:right="1520" w:hanging="328"/>
        <w:spacing w:after="0" w:line="264"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September 7, 2018, we acquired 1,007,319 shares of Series B Preferred Stock of Ceribell, Inc. (“Ceribell”). Ceribell is focused on utilizing electroencephalography to improve the diagnosis and treatment of patients at risk for seizures.</w:t>
      </w:r>
    </w:p>
    <w:p>
      <w:pPr>
        <w:ind w:left="660" w:right="60" w:hanging="328"/>
        <w:spacing w:after="0" w:line="27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ShiraTronics, Inc. (“ShiraTronics”) is a privately held early-stage medical device company located in the U.S. and Ireland and is focused on developing neuromodulation technologies for the treatment of debilitating migraine headaches. We are required to invest up to a total of $5 million dependent upon ShiraTronics achieving certain milestones.</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676" w:right="239" w:bottom="1440" w:gutter="0" w:footer="0" w:header="0"/>
        </w:sectPr>
      </w:pPr>
    </w:p>
    <w:bookmarkStart w:id="86" w:name="page87"/>
    <w:bookmarkEnd w:id="86"/>
    <w:p>
      <w:pPr>
        <w:ind w:left="660" w:right="260" w:hanging="328"/>
        <w:spacing w:after="0" w:line="266"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6"/>
          <w:szCs w:val="16"/>
          <w:color w:val="auto"/>
        </w:rPr>
        <w:t>Rainbow Medical Ltd. (“Rainbow Medical”) is a private Israeli venture capital company that seeds and grows companies developing medical devices in a diverse range of medical fields. Refer to the paragraph below for further details.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6"/>
          <w:szCs w:val="16"/>
          <w:color w:val="auto"/>
        </w:rPr>
        <w:t>MD Start II is a private venture capital collaboration for the development of medical device technology in Europe.</w:t>
      </w:r>
    </w:p>
    <w:p>
      <w:pPr>
        <w:spacing w:after="0" w:line="18" w:lineRule="exact"/>
        <w:rPr>
          <w:rFonts w:ascii="Arial" w:cs="Arial" w:eastAsia="Arial" w:hAnsi="Arial"/>
          <w:sz w:val="14"/>
          <w:szCs w:val="14"/>
          <w:color w:val="auto"/>
        </w:rPr>
      </w:pPr>
    </w:p>
    <w:p>
      <w:pPr>
        <w:ind w:left="660" w:right="220" w:hanging="328"/>
        <w:spacing w:after="0" w:line="264"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6"/>
          <w:szCs w:val="16"/>
          <w:color w:val="auto"/>
        </w:rPr>
        <w:t>Highlife S.A.S. (“Highlife”) is a privately held clinical-stage medical device company located in France and is focused on the development of a unique TMRV replacement system to treat patients with MR. Refer to the paragraph below for further details. Due to an additional investment by a third party during the year ended December 31, 2018, our equity interest in Highlife decreased to 7.8% from 24.6%. We determined that we no longer had significant influence over Highlife and, as a result, we no longer accounted for Highlife under the equity method.</w:t>
      </w:r>
    </w:p>
    <w:p>
      <w:pPr>
        <w:ind w:left="660" w:right="580" w:hanging="328"/>
        <w:spacing w:after="0" w:line="288"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6"/>
          <w:szCs w:val="16"/>
          <w:color w:val="auto"/>
        </w:rPr>
        <w:t>During 2019 we invested $0.5 million in equity securities that we account for under the equity method of accounting. We are required to fund up to a total of approximately €5.0 million (approximately $5.6 million as of December 31, 2019) based on cash calls.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Respicardia Impairment</w:t>
      </w:r>
    </w:p>
    <w:p>
      <w:pPr>
        <w:spacing w:after="0" w:line="117"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We recognized an impairment of our investment in Respicardia during the year ended December 31, 2017 based on the terms of an additional round of financing with a new strategic investor that indicated the carrying value of our aggregate investment might not be recoverable and that the decrease in value of our aggregate investment was other than temporary. The estimated fair value using the income approach was below the carrying value by $5.5 million. The impairment was included in impairment of investments on our consolidated statement of income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Rainbow Medical Impairment</w:t>
      </w:r>
    </w:p>
    <w:p>
      <w:pPr>
        <w:spacing w:after="0" w:line="117" w:lineRule="exact"/>
        <w:rPr>
          <w:sz w:val="20"/>
          <w:szCs w:val="20"/>
          <w:color w:val="auto"/>
        </w:rPr>
      </w:pPr>
    </w:p>
    <w:p>
      <w:pPr>
        <w:ind w:right="180" w:firstLine="162"/>
        <w:spacing w:after="0" w:line="302" w:lineRule="auto"/>
        <w:rPr>
          <w:sz w:val="20"/>
          <w:szCs w:val="20"/>
          <w:color w:val="auto"/>
        </w:rPr>
      </w:pPr>
      <w:r>
        <w:rPr>
          <w:rFonts w:ascii="Arial" w:cs="Arial" w:eastAsia="Arial" w:hAnsi="Arial"/>
          <w:sz w:val="16"/>
          <w:szCs w:val="16"/>
          <w:color w:val="auto"/>
        </w:rPr>
        <w:t>We recognized an impairment of our investment in Rainbow Medical during the year ended December 31, 2017. An additional round of financing, which included a new investor, indicated that the carrying value of our investment might not be recoverable and that the decrease in value of our investment was other than temporary. We, therefore, estimated the fair value of our investment using the income approach. The estimated fair value of our investment was below our carrying value by $3.0 million. This impairment was included in impairment of investments on our consolidated statement of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Highlife Impairment</w:t>
      </w:r>
    </w:p>
    <w:p>
      <w:pPr>
        <w:spacing w:after="0" w:line="117"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We recognized an impairment of our investment in, and notes receivable from, Highlife, during the year ended December 31, 2017. Certain factors, including a revision in our investment strategy and a new strategic investor, indicated that the carrying value of our aggregate investment might not be recoverable and that the decrease in value of our aggregate investment was other than temporary. We, therefore, estimated the fair value of our investment and notes receivable using the market approach. The estimated fair value of our aggregate investment was below our carrying value by $13.0 million. This aggregate impairment was included in losses from equity method investments on our consolidated statement of income (loss).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Istituto Europeo di Oncologia S.R.L Sale</w:t>
      </w:r>
    </w:p>
    <w:p>
      <w:pPr>
        <w:spacing w:after="0" w:line="117"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During the year ended December 31, 2017, we sold our investment in Istituto Europeo di Oncologia S.R.L, for a gain of $3.2 million. This gain is included in foreign exchange and other (losses) gains on our consolidated statement of income (loss).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Fair Value Measurements</w:t>
      </w:r>
    </w:p>
    <w:p>
      <w:pPr>
        <w:spacing w:after="0" w:line="116"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years ended December 31, 2019, 2018 or 2017.</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670" w:right="259" w:bottom="1440" w:gutter="0" w:footer="0" w:header="0"/>
        </w:sectPr>
      </w:pPr>
    </w:p>
    <w:bookmarkStart w:id="87" w:name="page88"/>
    <w:bookmarkEnd w:id="87"/>
    <w:p>
      <w:pPr>
        <w:spacing w:after="0"/>
        <w:rPr>
          <w:sz w:val="20"/>
          <w:szCs w:val="20"/>
          <w:color w:val="auto"/>
        </w:rPr>
      </w:pPr>
      <w:r>
        <w:rPr>
          <w:rFonts w:ascii="Arial" w:cs="Arial" w:eastAsia="Arial" w:hAnsi="Arial"/>
          <w:sz w:val="20"/>
          <w:szCs w:val="20"/>
          <w:color w:val="auto"/>
        </w:rPr>
        <w:t>Assets and Liabilities Measured at Fair Value on a Recurring Basis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8"/>
          </w:tcPr>
          <w:p>
            <w:pPr>
              <w:ind w:left="4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Fair Value as of</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as: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2019</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Derivative assets - designated as cash flow hedges (foreign currency</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exchange rate "FX")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Derivative assets - freestanding instruments (FX)</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(interest rate</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swaps)</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Derivative liabilities - freestanding instruments (FX)</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3,137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137,349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137,349</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141,029</w:t>
            </w:r>
          </w:p>
        </w:tc>
        <w:tc>
          <w:tcPr>
            <w:tcW w:w="120" w:type="dxa"/>
            <w:vAlign w:val="bottom"/>
          </w:tcPr>
          <w:p>
            <w:pPr>
              <w:spacing w:after="0"/>
              <w:rPr>
                <w:sz w:val="22"/>
                <w:szCs w:val="22"/>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137,349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gridSpan w:val="8"/>
          </w:tcPr>
          <w:p>
            <w:pPr>
              <w:ind w:left="4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Fair Value as of</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as: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Derivative assets - freestanding instruments (foreign currency exchange</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rate "FX")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Derivative liabilities - designated as cash flow hedges (interest rate</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swaps)</w:t>
            </w: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freestanding instruments (FX)</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179,911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179,911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185,303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179,911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220" w:hanging="328"/>
        <w:spacing w:after="0" w:line="293"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6"/>
          <w:szCs w:val="16"/>
          <w:color w:val="auto"/>
        </w:rPr>
        <w:t>The contingent consideration liability at December 31, 2019 represents contingent payments related to four completed acquisitions, including: Inversiones Drilltex SAS (“Drilltex”), ImThera, TandemLife and Miami Instruments. See the table below for additional information.</w:t>
      </w: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676" w:right="239" w:bottom="1440" w:gutter="0" w:footer="0" w:header="0"/>
        </w:sectPr>
      </w:pPr>
    </w:p>
    <w:bookmarkStart w:id="88" w:name="page89"/>
    <w:bookmarkEnd w:id="88"/>
    <w:p>
      <w:pPr>
        <w:ind w:right="20" w:firstLine="162"/>
        <w:spacing w:after="0" w:line="277" w:lineRule="auto"/>
        <w:rPr>
          <w:sz w:val="20"/>
          <w:szCs w:val="20"/>
          <w:color w:val="auto"/>
        </w:rPr>
      </w:pPr>
      <w:r>
        <w:rPr>
          <w:rFonts w:ascii="Arial" w:cs="Arial" w:eastAsia="Arial" w:hAnsi="Arial"/>
          <w:sz w:val="18"/>
          <w:szCs w:val="18"/>
          <w:color w:val="auto"/>
        </w:rPr>
        <w:t>Our recurring fair value measurements, using significant unobservable inputs (Level 3), relate solely to our contingent consideration liability. The following table provides a reconciliation of the beginning and ending balance of the contingent consideration liability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33,973</w:t>
            </w: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price - ImThera contingent consideration </w:t>
            </w:r>
            <w:r>
              <w:rPr>
                <w:rFonts w:ascii="Arial" w:cs="Arial" w:eastAsia="Arial" w:hAnsi="Arial"/>
                <w:sz w:val="25"/>
                <w:szCs w:val="25"/>
                <w:color w:val="auto"/>
                <w:vertAlign w:val="superscript"/>
              </w:rPr>
              <w:t>(1)</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112,744</w:t>
            </w: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 price - TandemLife contingent consideration </w:t>
            </w:r>
            <w:r>
              <w:rPr>
                <w:rFonts w:ascii="Arial" w:cs="Arial" w:eastAsia="Arial" w:hAnsi="Arial"/>
                <w:sz w:val="25"/>
                <w:szCs w:val="25"/>
                <w:color w:val="auto"/>
                <w:vertAlign w:val="superscript"/>
              </w:rPr>
              <w:t>(1)</w:t>
            </w:r>
          </w:p>
        </w:tc>
        <w:tc>
          <w:tcPr>
            <w:tcW w:w="6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40,190</w:t>
            </w: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Payments </w:t>
            </w:r>
            <w:r>
              <w:rPr>
                <w:rFonts w:ascii="Arial" w:cs="Arial" w:eastAsia="Arial" w:hAnsi="Arial"/>
                <w:sz w:val="25"/>
                <w:szCs w:val="25"/>
                <w:color w:val="auto"/>
                <w:vertAlign w:val="superscript"/>
              </w:rPr>
              <w:t>(2)</w:t>
            </w:r>
          </w:p>
        </w:tc>
        <w:tc>
          <w:tcPr>
            <w:tcW w:w="6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(2,661)</w:t>
            </w: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Changes in fair value </w:t>
            </w:r>
            <w:r>
              <w:rPr>
                <w:rFonts w:ascii="Arial" w:cs="Arial" w:eastAsia="Arial" w:hAnsi="Arial"/>
                <w:sz w:val="25"/>
                <w:szCs w:val="25"/>
                <w:color w:val="auto"/>
                <w:vertAlign w:val="superscript"/>
              </w:rPr>
              <w:t>(3)</w:t>
            </w:r>
          </w:p>
        </w:tc>
        <w:tc>
          <w:tcPr>
            <w:tcW w:w="6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6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96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179,911</w:t>
            </w: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(1)</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7,184</w:t>
            </w: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Payments </w:t>
            </w:r>
            <w:r>
              <w:rPr>
                <w:rFonts w:ascii="Arial" w:cs="Arial" w:eastAsia="Arial" w:hAnsi="Arial"/>
                <w:sz w:val="25"/>
                <w:szCs w:val="25"/>
                <w:color w:val="auto"/>
                <w:vertAlign w:val="superscript"/>
              </w:rPr>
              <w:t>(2)</w:t>
            </w:r>
          </w:p>
        </w:tc>
        <w:tc>
          <w:tcPr>
            <w:tcW w:w="6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(20,204)</w:t>
            </w: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Changes in fair value </w:t>
            </w:r>
            <w:r>
              <w:rPr>
                <w:rFonts w:ascii="Arial" w:cs="Arial" w:eastAsia="Arial" w:hAnsi="Arial"/>
                <w:sz w:val="25"/>
                <w:szCs w:val="25"/>
                <w:color w:val="auto"/>
                <w:vertAlign w:val="superscript"/>
              </w:rPr>
              <w:t>(3) (4) (5)</w:t>
            </w:r>
          </w:p>
        </w:tc>
        <w:tc>
          <w:tcPr>
            <w:tcW w:w="6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(29,406)</w:t>
            </w: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Balance at December 31, 2019</w:t>
            </w: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137,349</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contingent consideration liability at December 31, 2019</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22,953</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Long-term portion of contingent consideration liability at December 31, 2019</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114,396</w:t>
            </w:r>
          </w:p>
        </w:tc>
      </w:tr>
      <w:tr>
        <w:trPr>
          <w:trHeight w:val="20"/>
        </w:trPr>
        <w:tc>
          <w:tcPr>
            <w:tcW w:w="9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6"/>
          <w:szCs w:val="16"/>
          <w:color w:val="auto"/>
        </w:rPr>
        <w:t>See “Note 4. Business Combinations” for additional discussion.</w:t>
      </w:r>
    </w:p>
    <w:p>
      <w:pPr>
        <w:spacing w:after="0" w:line="32" w:lineRule="exact"/>
        <w:rPr>
          <w:rFonts w:ascii="Arial" w:cs="Arial" w:eastAsia="Arial" w:hAnsi="Arial"/>
          <w:sz w:val="14"/>
          <w:szCs w:val="14"/>
          <w:color w:val="auto"/>
        </w:rPr>
      </w:pPr>
    </w:p>
    <w:p>
      <w:pPr>
        <w:ind w:left="660" w:right="20" w:hanging="328"/>
        <w:spacing w:after="0" w:line="265"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6"/>
          <w:szCs w:val="16"/>
          <w:color w:val="auto"/>
        </w:rPr>
        <w:t>Payments during the year ended December 31, 2018 are for sales-based earnouts for Cellplex and for Drilltex. In July 2019, we achieved a regulatory milestone upon receiving FDA approval of the LifeSPARC system, triggering the payment of $19.0 million during the third quarter of 2019 to settle the related contingent consideration liability in connection with our TandemLife acquisition.</w:t>
      </w:r>
    </w:p>
    <w:p>
      <w:pPr>
        <w:spacing w:after="0" w:line="2" w:lineRule="exact"/>
        <w:rPr>
          <w:rFonts w:ascii="Arial" w:cs="Arial" w:eastAsia="Arial" w:hAnsi="Arial"/>
          <w:sz w:val="14"/>
          <w:szCs w:val="14"/>
          <w:color w:val="auto"/>
        </w:rPr>
      </w:pPr>
    </w:p>
    <w:p>
      <w:pPr>
        <w:jc w:val="both"/>
        <w:ind w:left="660" w:right="160" w:hanging="328"/>
        <w:spacing w:after="0" w:line="264"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year ended December 31, 2019, the change in fair value resulted in a decrease of $13.2 million and $16.2 million recorded to cost of sales - exclusive of amortization and research and development, respectively. During the year ended December 31, 2018, the change in fair value resulted in a decrease of $3.6 million and $0.7 million recorded to cost of sales - exclusive of amortization and research and development, respectively.</w:t>
      </w:r>
    </w:p>
    <w:p>
      <w:pPr>
        <w:ind w:left="660" w:right="40" w:hanging="328"/>
        <w:spacing w:after="0" w:line="264"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November 2019, we announced that we would be ending our Caisson TMVR program effective December 31, 2019. As such, we released the contingent consideration provision associated with the acquisition of Caisson. At December 31, 2018, the fair value of the Caisson contingent consideration provision was $27.9 million.</w:t>
      </w:r>
    </w:p>
    <w:p>
      <w:pPr>
        <w:ind w:left="660" w:right="120" w:hanging="328"/>
        <w:spacing w:after="0" w:line="332"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change in fair value during the year 2019 reflects a delay in the timing of anticipated regulatory approval and commercialization for ImThera. While the probability of payment remains unchanged from the time of acquisition, the projected years of payment for the regulatory milestone-based payment and the sales-based earnout have been updated to occur between 2023-2024 and 2024-2028, respectively. See “Note 8. Goodwill and Intangible Assets” for additional discussion.</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Assets and Liabilities Measured at Fair Value on a Nonrecurring Basis</w:t>
      </w:r>
    </w:p>
    <w:p>
      <w:pPr>
        <w:spacing w:after="0" w:line="110" w:lineRule="exact"/>
        <w:rPr>
          <w:sz w:val="20"/>
          <w:szCs w:val="20"/>
          <w:color w:val="auto"/>
        </w:rPr>
      </w:pPr>
    </w:p>
    <w:p>
      <w:pPr>
        <w:ind w:right="260" w:firstLine="162"/>
        <w:spacing w:after="0" w:line="257" w:lineRule="auto"/>
        <w:rPr>
          <w:sz w:val="20"/>
          <w:szCs w:val="20"/>
          <w:color w:val="auto"/>
        </w:rPr>
      </w:pPr>
      <w:r>
        <w:rPr>
          <w:rFonts w:ascii="Arial" w:cs="Arial" w:eastAsia="Arial" w:hAnsi="Arial"/>
          <w:sz w:val="18"/>
          <w:szCs w:val="18"/>
          <w:color w:val="auto"/>
        </w:rPr>
        <w:t>Our investments in equity securities of non-consolidated affiliates without readily determinable fair values are reported at cost minus impairment, if any, plus or minus changes resulting from observable price changes in orderly transactions for the identical or similar investment of the same issuer. Our investments in non-financial assets such as, goodwill, intangible assets, and PP&amp;E, are measured at fair value if there is an indication of impairment and recorded at fair value only when an impairment is recognized. We classify the measurement input for these assets as Level 3 inputs within the fair value hierarchy.</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Other</w:t>
      </w:r>
    </w:p>
    <w:p>
      <w:pPr>
        <w:spacing w:after="0" w:line="110"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The carrying values of our cash and cash equivalents, accounts receivable, accounts payable and accrued liabilities approximate their fair values due to the short-term nature of these items.</w:t>
      </w:r>
    </w:p>
    <w:p>
      <w:pPr>
        <w:spacing w:after="0" w:line="62"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The carrying value of our long-term debt including the current portion, as of December 31, 2019, was $333.5 million, which we believe approximates fair value.</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665" w:right="239" w:bottom="1440" w:gutter="0" w:footer="0" w:header="0"/>
        </w:sectPr>
      </w:pPr>
    </w:p>
    <w:bookmarkStart w:id="89" w:name="page90"/>
    <w:bookmarkEnd w:id="89"/>
    <w:p>
      <w:pPr>
        <w:spacing w:after="0"/>
        <w:rPr>
          <w:sz w:val="20"/>
          <w:szCs w:val="20"/>
          <w:color w:val="auto"/>
        </w:rPr>
      </w:pPr>
      <w:r>
        <w:rPr>
          <w:rFonts w:ascii="Arial" w:cs="Arial" w:eastAsia="Arial" w:hAnsi="Arial"/>
          <w:sz w:val="20"/>
          <w:szCs w:val="20"/>
          <w:b w:val="1"/>
          <w:bCs w:val="1"/>
          <w:color w:val="auto"/>
        </w:rPr>
        <w:t>Note 11. Financing Arrangements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outstanding principal amount of our long-term debt as of December 31, 2019 and 2018, was as follows (in thousands, except interest rates):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700" w:type="dxa"/>
            <w:vAlign w:val="bottom"/>
          </w:tcPr>
          <w:p>
            <w:pPr>
              <w:ind w:left="34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4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38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Debt Facility </w:t>
            </w:r>
            <w:r>
              <w:rPr>
                <w:rFonts w:ascii="Arial" w:cs="Arial" w:eastAsia="Arial" w:hAnsi="Arial"/>
                <w:sz w:val="25"/>
                <w:szCs w:val="25"/>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184,275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2022</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1.40% - 3.56%</w:t>
            </w: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2017</w:t>
            </w:r>
          </w:p>
        </w:tc>
        <w:tc>
          <w:tcPr>
            <w:tcW w:w="38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color w:val="auto"/>
                <w:vertAlign w:val="superscript"/>
              </w:rPr>
              <w:t>(2)</w:t>
            </w:r>
          </w:p>
        </w:tc>
        <w:tc>
          <w:tcPr>
            <w:tcW w:w="42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103,570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103,570</w:t>
            </w:r>
          </w:p>
        </w:tc>
        <w:tc>
          <w:tcPr>
            <w:tcW w:w="100" w:type="dxa"/>
            <w:vAlign w:val="bottom"/>
          </w:tcPr>
          <w:p>
            <w:pPr>
              <w:spacing w:after="0"/>
              <w:rPr>
                <w:sz w:val="23"/>
                <w:szCs w:val="23"/>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June 2026</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3.31% - 3.37%</w:t>
            </w:r>
          </w:p>
        </w:tc>
      </w:tr>
      <w:tr>
        <w:trPr>
          <w:trHeight w:val="270"/>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2014</w:t>
            </w:r>
          </w:p>
        </w:tc>
        <w:tc>
          <w:tcPr>
            <w:tcW w:w="3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color w:val="auto"/>
                <w:vertAlign w:val="superscript"/>
              </w:rPr>
              <w:t>(3)</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28,053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47,606</w:t>
            </w:r>
          </w:p>
        </w:tc>
        <w:tc>
          <w:tcPr>
            <w:tcW w:w="100" w:type="dxa"/>
            <w:vAlign w:val="bottom"/>
          </w:tcPr>
          <w:p>
            <w:pPr>
              <w:spacing w:after="0"/>
              <w:rPr>
                <w:sz w:val="23"/>
                <w:szCs w:val="23"/>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June 2021</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Mediocredito Italiano</w:t>
            </w: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7,623</w:t>
            </w:r>
          </w:p>
        </w:tc>
        <w:tc>
          <w:tcPr>
            <w:tcW w:w="10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2023</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0.50% - 2.93%</w:t>
            </w:r>
          </w:p>
        </w:tc>
      </w:tr>
      <w:tr>
        <w:trPr>
          <w:trHeight w:val="27"/>
        </w:trPr>
        <w:tc>
          <w:tcPr>
            <w:tcW w:w="42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Bank of America Merrill Lynch Banco Múltiplo S.A.</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July 2021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8.08%</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Bank of America, U.S.</w:t>
            </w: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 2021</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3.76%</w:t>
            </w:r>
          </w:p>
        </w:tc>
      </w:tr>
      <w:tr>
        <w:trPr>
          <w:trHeight w:val="27"/>
        </w:trPr>
        <w:tc>
          <w:tcPr>
            <w:tcW w:w="42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Banca del Mezzogiorno</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24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long-term facilities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333,511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162,841</w:t>
            </w:r>
          </w:p>
        </w:tc>
        <w:tc>
          <w:tcPr>
            <w:tcW w:w="100" w:type="dxa"/>
            <w:vAlign w:val="bottom"/>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Less current portion of long-term debt</w:t>
            </w: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73,181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23,303</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24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6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260,330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139,538</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60" w:lineRule="exact"/>
        <w:rPr>
          <w:sz w:val="20"/>
          <w:szCs w:val="20"/>
          <w:color w:val="auto"/>
        </w:rPr>
      </w:pPr>
    </w:p>
    <w:p>
      <w:pPr>
        <w:ind w:left="660" w:right="120" w:hanging="328"/>
        <w:spacing w:after="0" w:line="265"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6"/>
          <w:szCs w:val="16"/>
          <w:color w:val="auto"/>
        </w:rPr>
        <w:t>The facility agreement with Bank of America Merrill Lynch International DAC, Barclays Bank PLC, BNP Paribas (London Branch) and Intesa Sanpaolo S.P.A. provides a multi-currency term loan facility in an aggregate amount of $350 million and terminates on March 26, 2022 (the “2019 Debt Facility”). Principal repayments of 20% of the outstanding borrowings under the 2019 Debt Facility are due in September 2020, March 2021 and September 2021, with the remainder of the outstanding borrowings due in March 2022.</w:t>
      </w:r>
    </w:p>
    <w:p>
      <w:pPr>
        <w:spacing w:after="0" w:line="1" w:lineRule="exact"/>
        <w:rPr>
          <w:rFonts w:ascii="Arial" w:cs="Arial" w:eastAsia="Arial" w:hAnsi="Arial"/>
          <w:sz w:val="14"/>
          <w:szCs w:val="14"/>
          <w:color w:val="auto"/>
        </w:rPr>
      </w:pPr>
    </w:p>
    <w:p>
      <w:pPr>
        <w:ind w:left="660" w:right="340" w:hanging="328"/>
        <w:spacing w:after="0" w:line="281" w:lineRule="auto"/>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2017 European Investment Bank (“2017 EIB”) loan was obtained to support certain product development projects. The interest rate for the 2017 EIB loan is reset by the lender each quarter based on LIBOR. Interest payments are paid quarterly and principal payments are paid semi-annually.</w:t>
      </w:r>
    </w:p>
    <w:p>
      <w:pPr>
        <w:spacing w:after="0" w:line="1" w:lineRule="exact"/>
        <w:rPr>
          <w:rFonts w:ascii="Arial" w:cs="Arial" w:eastAsia="Arial" w:hAnsi="Arial"/>
          <w:sz w:val="15"/>
          <w:szCs w:val="15"/>
          <w:color w:val="auto"/>
        </w:rPr>
      </w:pPr>
    </w:p>
    <w:p>
      <w:pPr>
        <w:ind w:left="660" w:right="340" w:hanging="328"/>
        <w:spacing w:after="0" w:line="323" w:lineRule="auto"/>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2014 European Investment Bank (“2014 EIB”) loan was obtained in July 2014 to support product development projects. The interest rate for the EIB loan is reset by the lender each quarter based on the Euribor. Interest payments are paid quarterly and principal payments are paid semi-annually.</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Contractual annual principal maturities of our long-term debt facilities as of December 31, 2019,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73,497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2021</w:t>
            </w: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111,370</w:t>
            </w:r>
          </w:p>
        </w:tc>
      </w:tr>
      <w:tr>
        <w:trPr>
          <w:trHeight w:val="27"/>
        </w:trPr>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91,930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2023</w:t>
            </w: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17,614</w:t>
            </w:r>
          </w:p>
        </w:tc>
      </w:tr>
      <w:tr>
        <w:trPr>
          <w:trHeight w:val="27"/>
        </w:trPr>
        <w:tc>
          <w:tcPr>
            <w:tcW w:w="9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24,261</w:t>
            </w:r>
          </w:p>
        </w:tc>
      </w:tr>
      <w:tr>
        <w:trPr>
          <w:trHeight w:val="27"/>
        </w:trPr>
        <w:tc>
          <w:tcPr>
            <w:tcW w:w="9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payments</w:t>
            </w: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334,668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Less: Debt issuance costs</w:t>
            </w: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1,157</w:t>
            </w:r>
          </w:p>
        </w:tc>
      </w:tr>
      <w:tr>
        <w:trPr>
          <w:trHeight w:val="27"/>
        </w:trPr>
        <w:tc>
          <w:tcPr>
            <w:tcW w:w="9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facilities</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333,511</w:t>
            </w:r>
          </w:p>
        </w:tc>
      </w:tr>
      <w:tr>
        <w:trPr>
          <w:trHeight w:val="20"/>
        </w:trPr>
        <w:tc>
          <w:tcPr>
            <w:tcW w:w="9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0" w:firstLine="162"/>
        <w:spacing w:after="0" w:line="277" w:lineRule="auto"/>
        <w:rPr>
          <w:sz w:val="20"/>
          <w:szCs w:val="20"/>
          <w:color w:val="auto"/>
        </w:rPr>
      </w:pPr>
      <w:r>
        <w:rPr>
          <w:rFonts w:ascii="Arial" w:cs="Arial" w:eastAsia="Arial" w:hAnsi="Arial"/>
          <w:sz w:val="18"/>
          <w:szCs w:val="18"/>
          <w:color w:val="auto"/>
        </w:rPr>
        <w:t>In connection with the CRM sale, on May 1, 2018, the borrowing capacity of the 2017 EIB loan decreased from €100.0 million (approximately $114.3 million as of December 31, 2018) to €90.0 million (approximately $103 million as of December 31, 2018).</w:t>
      </w:r>
    </w:p>
    <w:p>
      <w:pPr>
        <w:spacing w:after="0" w:line="62" w:lineRule="exact"/>
        <w:rPr>
          <w:sz w:val="20"/>
          <w:szCs w:val="20"/>
          <w:color w:val="auto"/>
        </w:rPr>
      </w:pPr>
    </w:p>
    <w:p>
      <w:pPr>
        <w:ind w:right="20" w:firstLine="162"/>
        <w:spacing w:after="0" w:line="272" w:lineRule="auto"/>
        <w:rPr>
          <w:sz w:val="20"/>
          <w:szCs w:val="20"/>
          <w:color w:val="auto"/>
        </w:rPr>
      </w:pPr>
      <w:r>
        <w:rPr>
          <w:rFonts w:ascii="Arial" w:cs="Arial" w:eastAsia="Arial" w:hAnsi="Arial"/>
          <w:sz w:val="17"/>
          <w:szCs w:val="17"/>
          <w:color w:val="auto"/>
        </w:rPr>
        <w:t>On March 26, 2019, we entered into the 2019 Debt Facility. Borrowings under the facility bear interest at a rate of LIBOR plus 1.6% for borrowings in U.S. dollars and EURIBOR plus 1.4% for Euro-denominated borrowings. Proceeds from the facility are used for general corporate and working capital purposes, excluding acquisitions, dividends and share buybacks. Available borrowings under the 2019 Debt Facility commenced on March 26, 2019 and extend through March 26, 2020. Principal repayments of 20% of the outstanding borrowings under the 2019 Debt Facility are due in September 2020, March 2021 and September 2021, with the remainder of the outstanding borrowings due in March 2022. The 2019 Debt Facility contains financial covenants that require LivaNova to maintain a maximum consolidated net debt to EBITDA ratio, a minimum interest coverage ratio and a maximum consolidated net debt to net worth ratio. LivaNova must also maintain a minimum</w:t>
      </w:r>
    </w:p>
    <w:p>
      <w:pPr>
        <w:spacing w:after="0" w:line="3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670" w:right="239" w:bottom="1440" w:gutter="0" w:footer="0" w:header="0"/>
        </w:sectPr>
      </w:pPr>
    </w:p>
    <w:bookmarkStart w:id="90" w:name="page91"/>
    <w:bookmarkEnd w:id="90"/>
    <w:p>
      <w:pPr>
        <w:ind w:right="540"/>
        <w:spacing w:after="0" w:line="277" w:lineRule="auto"/>
        <w:rPr>
          <w:sz w:val="20"/>
          <w:szCs w:val="20"/>
          <w:color w:val="auto"/>
        </w:rPr>
      </w:pPr>
      <w:r>
        <w:rPr>
          <w:rFonts w:ascii="Arial" w:cs="Arial" w:eastAsia="Arial" w:hAnsi="Arial"/>
          <w:sz w:val="18"/>
          <w:szCs w:val="18"/>
          <w:color w:val="auto"/>
        </w:rPr>
        <w:t>amount of consolidated net worth. The 2019 Debt Facility also contains customary representations and warranties, covenants, and events of default. At December 31, 2019, LivaNova was in compliance with all covenants.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w:t>
      </w:r>
    </w:p>
    <w:p>
      <w:pPr>
        <w:spacing w:after="0" w:line="11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outstanding principal amount of our short-term unsecured revolving credit agreements and other agreements with various banks was $4.2 million and $5.5 million at December 31, 2019 and December 31, 2018, respectively, with interest rates ranging from 2.72% to 8.29% and loan terms ranging from 10 days to 220 days.</w:t>
      </w:r>
    </w:p>
    <w:p>
      <w:pPr>
        <w:spacing w:after="0" w:line="7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April 10, 2018, we entered into an amendment and restatement agreement with Barclays Bank PLC amending the revolving facility agreement originally dated October 21, 2016 (the “Amendment”). The Amendment increased our borrowing capacity under the facility from $40.0 million to $70.0 million and extended the term of the facility one year. The facility terminated on October 20, 2019.</w:t>
      </w:r>
    </w:p>
    <w:p>
      <w:pPr>
        <w:spacing w:after="0" w:line="73"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color w:val="auto"/>
        </w:rPr>
        <w:t>On July 25, 2019, we entered into a €40.0 million (approximately $44.9 million as of December 31, 2019) credit facility agreement with Banca Nazionale del Lavoro SpA (“2019 Revolving Credit Facility”) for working capital needs. The 2019 Revolving Credit Facility has a term of 2 years and borrowings bear interest at Euribor plus 0.8%. There were no borrowings under the 2019 Revolving Credit Facility during 2019.</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Bridge Facility Agreement</w:t>
      </w:r>
    </w:p>
    <w:p>
      <w:pPr>
        <w:spacing w:after="0" w:line="110"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In connection with the April 2018 acquisition of TandemLife, we entered into a bridge facility agreement (the “Bridge Facility Agreement”) providing a term loan facility with the aggregate principal amount of $190.0 million. On April 3, 2018, we borrowed $190.0 million under the Bridge Facility Agreement to facilitate the initial payment for our acquisition of TandemLife. We used the proceeds from the sale of the CRM business franchise to repay the borrowings under the Bridge Facility Agreement in full during 2018.</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Derivatives and Risk Management</w:t>
      </w:r>
    </w:p>
    <w:p>
      <w:pPr>
        <w:spacing w:after="0" w:line="116"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foreign currency exchange rate (“FX”) derivative contracts and interest rate swap contracts to reduce the impact of foreign currency exchange rate and interest rate fluctuations on earnings and cash flow. We measure all outstanding derivatives each period end at fair value and report the fair value as either financial assets or liabilities on the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81" w:lineRule="exact"/>
        <w:rPr>
          <w:sz w:val="20"/>
          <w:szCs w:val="20"/>
          <w:color w:val="auto"/>
        </w:rPr>
      </w:pPr>
    </w:p>
    <w:p>
      <w:pPr>
        <w:ind w:right="140" w:firstLine="162"/>
        <w:spacing w:after="0" w:line="257" w:lineRule="auto"/>
        <w:rPr>
          <w:sz w:val="20"/>
          <w:szCs w:val="20"/>
          <w:color w:val="auto"/>
        </w:rPr>
      </w:pPr>
      <w:r>
        <w:rPr>
          <w:rFonts w:ascii="Arial" w:cs="Arial" w:eastAsia="Arial" w:hAnsi="Arial"/>
          <w:sz w:val="18"/>
          <w:szCs w:val="18"/>
          <w:color w:val="auto"/>
        </w:rPr>
        <w:t>If the derivative qualifies for hedge accounting, changes in the fair value of the derivative will be recorded in accumulated other comprehensive income (“AOCI”) until the hedged item is recognized in earnings upon settlement/termination. FX derivative gains and losses in AOCI are reclassified to our consolidated statements of income (loss) as shown in the tables below and interest rate swap gains and losses in AOCI are reclassified to interest expense on our consolidated statements of income (loss). We evaluate hedge effectiveness at inception. Cash flows from derivative contracts are reported as operating activities on our consolidated statements of cash flows.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Freestanding FX Derivative Contracts</w:t>
      </w:r>
    </w:p>
    <w:p>
      <w:pPr>
        <w:spacing w:after="0" w:line="110"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The gross notional amount of FX derivative contracts, not designated as hedging instruments, outstanding at December 31, 2019 and December 31, 2018 was $338.0 million and $320.2 million, respectively. These derivative contracts are designed to offset the FX effects in earnings of various intercompany loans, our 2014 EIB loan, the Euro-denominated borrowings under the 2019 Debt Facility and trade receivables. We recorded net gains (losses) for these freestanding derivatives of $3.1 million, $(11.2) million and $(11.7) million for the years ended December 31, 2019, 2018 and 2017, respectively. These gains and (losses) are included in foreign exchange and other gains (losses) on our consolidated statements of income (loss).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Cash Flow Hedges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We utilize FX derivative contracts, designed as cash flow hedges, to hedge the variability of cash flows associated with our 12 months U.S. dollar forecasts of revenues and costs denominated in British Pound, Japanese Yen, Canadian Dollars and the Euro. We transfer to earnings from AOCI, the gain or loss realized on the FX derivative contracts at the time of invoicing.</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665"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20" w:firstLine="162"/>
        <w:spacing w:after="0" w:line="286" w:lineRule="auto"/>
        <w:rPr>
          <w:sz w:val="20"/>
          <w:szCs w:val="20"/>
          <w:color w:val="auto"/>
        </w:rPr>
      </w:pPr>
      <w:r>
        <w:rPr>
          <w:rFonts w:ascii="Arial" w:cs="Arial" w:eastAsia="Arial" w:hAnsi="Arial"/>
          <w:sz w:val="17"/>
          <w:szCs w:val="17"/>
          <w:color w:val="auto"/>
        </w:rPr>
        <w:t>The 2014 EIB loan agreement matures in June 2021. The variable interest rate for the 2014 EIB loan is reset by the lender each quarter based on the Euribor. To minimize the impact of changes in interest rates we entered into interest rate swap agreement programs to swap the 2014 EIB loan’s floating-rate interest payments for fixed-rate interest payments. The interest rate swap contracts qualify for, and are designated as, cash flow hedges.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notional amounts of open derivative contracts designated as cash flow hedges as of December 31, 2019 and 2018,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British Pounds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9,629</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 to be exchanged for Japanese Yen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25,342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23,985</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Canadian Dollars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7,637</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 to be exchanged for Euros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48,838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29,768</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22,442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38,115</w:t>
            </w:r>
          </w:p>
        </w:tc>
      </w:tr>
      <w:tr>
        <w:trPr>
          <w:trHeight w:val="237"/>
        </w:trPr>
        <w:tc>
          <w:tcPr>
            <w:tcW w:w="7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106,750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109,134</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After-tax net gain (loss) associated with derivatives designated as cash flow hedges recorded in the ending balance of AOCI and the amount expected to be reclassified to earnings in the next 12 months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Amount Expected to be</w:t>
            </w:r>
          </w:p>
        </w:tc>
      </w:tr>
      <w:tr>
        <w:trPr>
          <w:trHeight w:val="216"/>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After-tax net gain (loss) in AOCI</w:t>
            </w:r>
          </w:p>
        </w:tc>
        <w:tc>
          <w:tcPr>
            <w:tcW w:w="160" w:type="dxa"/>
            <w:vAlign w:val="bottom"/>
          </w:tcPr>
          <w:p>
            <w:pPr>
              <w:spacing w:after="0"/>
              <w:rPr>
                <w:sz w:val="18"/>
                <w:szCs w:val="18"/>
                <w:color w:val="auto"/>
              </w:rPr>
            </w:pPr>
          </w:p>
        </w:tc>
        <w:tc>
          <w:tcPr>
            <w:tcW w:w="22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Reclassified to Earnings in</w:t>
            </w:r>
          </w:p>
        </w:tc>
      </w:tr>
      <w:tr>
        <w:trPr>
          <w:trHeight w:val="234"/>
        </w:trPr>
        <w:tc>
          <w:tcPr>
            <w:tcW w:w="63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260" w:type="dxa"/>
            <w:vAlign w:val="bottom"/>
          </w:tcPr>
          <w:p>
            <w:pPr>
              <w:spacing w:after="0"/>
              <w:rPr>
                <w:sz w:val="20"/>
                <w:szCs w:val="20"/>
                <w:color w:val="auto"/>
              </w:rPr>
            </w:pPr>
          </w:p>
        </w:tc>
        <w:tc>
          <w:tcPr>
            <w:tcW w:w="246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of December 31, 2019</w:t>
            </w:r>
          </w:p>
        </w:tc>
        <w:tc>
          <w:tcPr>
            <w:tcW w:w="160" w:type="dxa"/>
            <w:vAlign w:val="bottom"/>
          </w:tcPr>
          <w:p>
            <w:pPr>
              <w:spacing w:after="0"/>
              <w:rPr>
                <w:sz w:val="20"/>
                <w:szCs w:val="20"/>
                <w:color w:val="auto"/>
              </w:rPr>
            </w:pPr>
          </w:p>
        </w:tc>
        <w:tc>
          <w:tcPr>
            <w:tcW w:w="22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Next 12 Months</w:t>
            </w:r>
          </w:p>
        </w:tc>
      </w:tr>
      <w:tr>
        <w:trPr>
          <w:trHeight w:val="27"/>
        </w:trPr>
        <w:tc>
          <w:tcPr>
            <w:tcW w:w="6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26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Pre-tax gains (losses) for derivative contracts designated as cash flow hedges recognized in other comprehensive income (loss) (“OCI”) and the amount reclassified to earnings from AOCI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Year Ended December 31, 2019</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18"/>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2"/>
          </w:tcPr>
          <w:p>
            <w:pPr>
              <w:ind w:left="480"/>
              <w:spacing w:after="0"/>
              <w:rPr>
                <w:sz w:val="20"/>
                <w:szCs w:val="20"/>
                <w:color w:val="auto"/>
              </w:rPr>
            </w:pPr>
            <w:r>
              <w:rPr>
                <w:rFonts w:ascii="Arial" w:cs="Arial" w:eastAsia="Arial" w:hAnsi="Arial"/>
                <w:sz w:val="18"/>
                <w:szCs w:val="18"/>
                <w:b w:val="1"/>
                <w:bCs w:val="1"/>
                <w:color w:val="auto"/>
              </w:rPr>
              <w:t>Location in Earnings of</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Gains (Losses) Reclassified</w:t>
            </w:r>
          </w:p>
        </w:tc>
      </w:tr>
      <w:tr>
        <w:trPr>
          <w:trHeight w:val="234"/>
        </w:trPr>
        <w:tc>
          <w:tcPr>
            <w:tcW w:w="366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2880" w:type="dxa"/>
            <w:vAlign w:val="bottom"/>
            <w:gridSpan w:val="2"/>
          </w:tcPr>
          <w:p>
            <w:pPr>
              <w:ind w:left="400"/>
              <w:spacing w:after="0"/>
              <w:rPr>
                <w:sz w:val="20"/>
                <w:szCs w:val="20"/>
                <w:color w:val="auto"/>
              </w:rPr>
            </w:pPr>
            <w:r>
              <w:rPr>
                <w:rFonts w:ascii="Arial" w:cs="Arial" w:eastAsia="Arial" w:hAnsi="Arial"/>
                <w:sz w:val="18"/>
                <w:szCs w:val="18"/>
                <w:b w:val="1"/>
                <w:bCs w:val="1"/>
                <w:color w:val="auto"/>
              </w:rPr>
              <w:t>Reclassified Gain or Loss</w:t>
            </w:r>
          </w:p>
        </w:tc>
        <w:tc>
          <w:tcPr>
            <w:tcW w:w="160" w:type="dxa"/>
            <w:vAlign w:val="bottom"/>
          </w:tcPr>
          <w:p>
            <w:pPr>
              <w:spacing w:after="0"/>
              <w:rPr>
                <w:sz w:val="20"/>
                <w:szCs w:val="20"/>
                <w:color w:val="auto"/>
              </w:rPr>
            </w:pPr>
          </w:p>
        </w:tc>
        <w:tc>
          <w:tcPr>
            <w:tcW w:w="2320" w:type="dxa"/>
            <w:vAlign w:val="bottom"/>
            <w:gridSpan w:val="2"/>
          </w:tcPr>
          <w:p>
            <w:pPr>
              <w:ind w:left="40"/>
              <w:spacing w:after="0"/>
              <w:rPr>
                <w:sz w:val="20"/>
                <w:szCs w:val="20"/>
                <w:color w:val="auto"/>
              </w:rPr>
            </w:pPr>
            <w:r>
              <w:rPr>
                <w:rFonts w:ascii="Arial" w:cs="Arial" w:eastAsia="Arial" w:hAnsi="Arial"/>
                <w:sz w:val="18"/>
                <w:szCs w:val="18"/>
                <w:b w:val="1"/>
                <w:bCs w:val="1"/>
                <w:color w:val="auto"/>
              </w:rPr>
              <w:t>Gains Recognized in OCI</w:t>
            </w:r>
          </w:p>
        </w:tc>
        <w:tc>
          <w:tcPr>
            <w:tcW w:w="140" w:type="dxa"/>
            <w:vAlign w:val="bottom"/>
          </w:tcPr>
          <w:p>
            <w:pPr>
              <w:spacing w:after="0"/>
              <w:rPr>
                <w:sz w:val="20"/>
                <w:szCs w:val="20"/>
                <w:color w:val="auto"/>
              </w:rPr>
            </w:pPr>
          </w:p>
        </w:tc>
        <w:tc>
          <w:tcPr>
            <w:tcW w:w="22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from AOCI to Earnings:</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2"/>
        </w:trPr>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Foreign exchange and other (losses)</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SG&amp;A</w:t>
            </w:r>
          </w:p>
        </w:tc>
        <w:tc>
          <w:tcPr>
            <w:tcW w:w="160" w:type="dxa"/>
            <w:vAlign w:val="bottom"/>
          </w:tcPr>
          <w:p>
            <w:pPr>
              <w:spacing w:after="0"/>
              <w:rPr>
                <w:sz w:val="21"/>
                <w:szCs w:val="21"/>
                <w:color w:val="auto"/>
              </w:rPr>
            </w:pPr>
          </w:p>
        </w:tc>
        <w:tc>
          <w:tcPr>
            <w:tcW w:w="2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(2,071)</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Year Ended December 31, 2018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2"/>
          </w:tcPr>
          <w:p>
            <w:pPr>
              <w:ind w:left="480"/>
              <w:spacing w:after="0"/>
              <w:rPr>
                <w:sz w:val="20"/>
                <w:szCs w:val="20"/>
                <w:color w:val="auto"/>
              </w:rPr>
            </w:pPr>
            <w:r>
              <w:rPr>
                <w:rFonts w:ascii="Arial" w:cs="Arial" w:eastAsia="Arial" w:hAnsi="Arial"/>
                <w:sz w:val="18"/>
                <w:szCs w:val="18"/>
                <w:b w:val="1"/>
                <w:bCs w:val="1"/>
                <w:color w:val="auto"/>
              </w:rPr>
              <w:t>Location in Earnings of</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Gains (Losses) Reclassified</w:t>
            </w:r>
          </w:p>
        </w:tc>
        <w:tc>
          <w:tcPr>
            <w:tcW w:w="0" w:type="dxa"/>
            <w:vAlign w:val="bottom"/>
          </w:tcPr>
          <w:p>
            <w:pPr>
              <w:spacing w:after="0"/>
              <w:rPr>
                <w:sz w:val="1"/>
                <w:szCs w:val="1"/>
                <w:color w:val="auto"/>
              </w:rPr>
            </w:pPr>
          </w:p>
        </w:tc>
      </w:tr>
      <w:tr>
        <w:trPr>
          <w:trHeight w:val="234"/>
        </w:trPr>
        <w:tc>
          <w:tcPr>
            <w:tcW w:w="366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2880" w:type="dxa"/>
            <w:vAlign w:val="bottom"/>
            <w:gridSpan w:val="2"/>
          </w:tcPr>
          <w:p>
            <w:pPr>
              <w:ind w:left="400"/>
              <w:spacing w:after="0"/>
              <w:rPr>
                <w:sz w:val="20"/>
                <w:szCs w:val="20"/>
                <w:color w:val="auto"/>
              </w:rPr>
            </w:pPr>
            <w:r>
              <w:rPr>
                <w:rFonts w:ascii="Arial" w:cs="Arial" w:eastAsia="Arial" w:hAnsi="Arial"/>
                <w:sz w:val="18"/>
                <w:szCs w:val="18"/>
                <w:b w:val="1"/>
                <w:bCs w:val="1"/>
                <w:color w:val="auto"/>
              </w:rPr>
              <w:t>Reclassified Gain or Loss</w:t>
            </w:r>
          </w:p>
        </w:tc>
        <w:tc>
          <w:tcPr>
            <w:tcW w:w="160" w:type="dxa"/>
            <w:vAlign w:val="bottom"/>
          </w:tcPr>
          <w:p>
            <w:pPr>
              <w:spacing w:after="0"/>
              <w:rPr>
                <w:sz w:val="20"/>
                <w:szCs w:val="20"/>
                <w:color w:val="auto"/>
              </w:rPr>
            </w:pPr>
          </w:p>
        </w:tc>
        <w:tc>
          <w:tcPr>
            <w:tcW w:w="2320" w:type="dxa"/>
            <w:vAlign w:val="bottom"/>
            <w:gridSpan w:val="2"/>
          </w:tcPr>
          <w:p>
            <w:pPr>
              <w:ind w:left="40"/>
              <w:spacing w:after="0"/>
              <w:rPr>
                <w:sz w:val="20"/>
                <w:szCs w:val="20"/>
                <w:color w:val="auto"/>
              </w:rPr>
            </w:pPr>
            <w:r>
              <w:rPr>
                <w:rFonts w:ascii="Arial" w:cs="Arial" w:eastAsia="Arial" w:hAnsi="Arial"/>
                <w:sz w:val="18"/>
                <w:szCs w:val="18"/>
                <w:b w:val="1"/>
                <w:bCs w:val="1"/>
                <w:color w:val="auto"/>
              </w:rPr>
              <w:t>Gains Recognized in OCI</w:t>
            </w:r>
          </w:p>
        </w:tc>
        <w:tc>
          <w:tcPr>
            <w:tcW w:w="140" w:type="dxa"/>
            <w:vAlign w:val="bottom"/>
          </w:tcPr>
          <w:p>
            <w:pPr>
              <w:spacing w:after="0"/>
              <w:rPr>
                <w:sz w:val="20"/>
                <w:szCs w:val="20"/>
                <w:color w:val="auto"/>
              </w:rPr>
            </w:pPr>
          </w:p>
        </w:tc>
        <w:tc>
          <w:tcPr>
            <w:tcW w:w="22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from AOCI to Earnings:</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Foreign exchange and other (losses)</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SG&amp;A</w:t>
            </w:r>
          </w:p>
        </w:tc>
        <w:tc>
          <w:tcPr>
            <w:tcW w:w="160" w:type="dxa"/>
            <w:vAlign w:val="bottom"/>
          </w:tcPr>
          <w:p>
            <w:pPr>
              <w:spacing w:after="0"/>
              <w:rPr>
                <w:sz w:val="21"/>
                <w:szCs w:val="21"/>
                <w:color w:val="auto"/>
              </w:rPr>
            </w:pPr>
          </w:p>
        </w:tc>
        <w:tc>
          <w:tcPr>
            <w:tcW w:w="2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gridSpan w:val="2"/>
            <w:vMerge w:val="restart"/>
          </w:tcPr>
          <w:p>
            <w:pPr>
              <w:ind w:left="1960"/>
              <w:spacing w:after="0"/>
              <w:rPr>
                <w:sz w:val="20"/>
                <w:szCs w:val="20"/>
                <w:color w:val="auto"/>
              </w:rPr>
            </w:pPr>
            <w:r>
              <w:rPr>
                <w:rFonts w:ascii="Arial" w:cs="Arial" w:eastAsia="Arial" w:hAnsi="Arial"/>
                <w:sz w:val="18"/>
                <w:szCs w:val="18"/>
                <w:color w:val="auto"/>
              </w:rPr>
              <w:t>F-32</w:t>
            </w: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4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Year Ended December 31, 2017</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18"/>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2"/>
          </w:tcPr>
          <w:p>
            <w:pPr>
              <w:ind w:left="480"/>
              <w:spacing w:after="0"/>
              <w:rPr>
                <w:sz w:val="20"/>
                <w:szCs w:val="20"/>
                <w:color w:val="auto"/>
              </w:rPr>
            </w:pPr>
            <w:r>
              <w:rPr>
                <w:rFonts w:ascii="Arial" w:cs="Arial" w:eastAsia="Arial" w:hAnsi="Arial"/>
                <w:sz w:val="18"/>
                <w:szCs w:val="18"/>
                <w:b w:val="1"/>
                <w:bCs w:val="1"/>
                <w:color w:val="auto"/>
              </w:rPr>
              <w:t>Location in Earnings of</w:t>
            </w: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(Losses) Gains Reclassified</w:t>
            </w:r>
          </w:p>
        </w:tc>
      </w:tr>
      <w:tr>
        <w:trPr>
          <w:trHeight w:val="234"/>
        </w:trPr>
        <w:tc>
          <w:tcPr>
            <w:tcW w:w="366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2880" w:type="dxa"/>
            <w:vAlign w:val="bottom"/>
            <w:gridSpan w:val="2"/>
          </w:tcPr>
          <w:p>
            <w:pPr>
              <w:ind w:left="400"/>
              <w:spacing w:after="0"/>
              <w:rPr>
                <w:sz w:val="20"/>
                <w:szCs w:val="20"/>
                <w:color w:val="auto"/>
              </w:rPr>
            </w:pPr>
            <w:r>
              <w:rPr>
                <w:rFonts w:ascii="Arial" w:cs="Arial" w:eastAsia="Arial" w:hAnsi="Arial"/>
                <w:sz w:val="18"/>
                <w:szCs w:val="18"/>
                <w:b w:val="1"/>
                <w:bCs w:val="1"/>
                <w:color w:val="auto"/>
              </w:rPr>
              <w:t>Reclassified Gain or Loss</w:t>
            </w:r>
          </w:p>
        </w:tc>
        <w:tc>
          <w:tcPr>
            <w:tcW w:w="14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Recognized in OCI</w:t>
            </w:r>
          </w:p>
        </w:tc>
        <w:tc>
          <w:tcPr>
            <w:tcW w:w="140" w:type="dxa"/>
            <w:vAlign w:val="bottom"/>
          </w:tcPr>
          <w:p>
            <w:pPr>
              <w:spacing w:after="0"/>
              <w:rPr>
                <w:sz w:val="20"/>
                <w:szCs w:val="20"/>
                <w:color w:val="auto"/>
              </w:rPr>
            </w:pPr>
          </w:p>
        </w:tc>
        <w:tc>
          <w:tcPr>
            <w:tcW w:w="22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from AOCI to Earnings:</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2"/>
        </w:trPr>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Foreign exchange and other (losses)</w:t>
            </w: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(6,471)</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Pr>
          <w:p>
            <w:pPr>
              <w:spacing w:after="0"/>
              <w:rPr>
                <w:sz w:val="21"/>
                <w:szCs w:val="21"/>
                <w:color w:val="auto"/>
              </w:rPr>
            </w:pPr>
          </w:p>
        </w:tc>
        <w:tc>
          <w:tcPr>
            <w:tcW w:w="2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2,084</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(3,448)</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We offset fair value amounts associated with our derivative instruments on our consolidated balance sheets that are executed with the same counterparty under master netting arrangements. Our netting arrangements include a right to set off or net together purchases and sales of similar products in the settlement process.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tables present the fair value and the location of derivative contracts reported on the consolidated balance sheets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gridSpan w:val="5"/>
          </w:tcPr>
          <w:p>
            <w:pPr>
              <w:ind w:left="1220"/>
              <w:spacing w:after="0"/>
              <w:rPr>
                <w:sz w:val="20"/>
                <w:szCs w:val="20"/>
                <w:color w:val="auto"/>
              </w:rPr>
            </w:pPr>
            <w:r>
              <w:rPr>
                <w:rFonts w:ascii="Arial" w:cs="Arial" w:eastAsia="Arial" w:hAnsi="Arial"/>
                <w:sz w:val="18"/>
                <w:szCs w:val="18"/>
                <w:b w:val="1"/>
                <w:bCs w:val="1"/>
                <w:color w:val="auto"/>
                <w:w w:val="87"/>
              </w:rPr>
              <w:t>Asset Derivatives</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gridSpan w:val="4"/>
          </w:tcPr>
          <w:p>
            <w:pPr>
              <w:ind w:left="1240"/>
              <w:spacing w:after="0"/>
              <w:rPr>
                <w:sz w:val="20"/>
                <w:szCs w:val="20"/>
                <w:color w:val="auto"/>
              </w:rPr>
            </w:pPr>
            <w:r>
              <w:rPr>
                <w:rFonts w:ascii="Arial" w:cs="Arial" w:eastAsia="Arial" w:hAnsi="Arial"/>
                <w:sz w:val="18"/>
                <w:szCs w:val="18"/>
                <w:b w:val="1"/>
                <w:bCs w:val="1"/>
                <w:color w:val="auto"/>
                <w:w w:val="92"/>
              </w:rPr>
              <w:t>Liability Derivatives</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Derivatives Designated as Hedging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1"/>
        </w:trPr>
        <w:tc>
          <w:tcPr>
            <w:tcW w:w="20" w:type="dxa"/>
            <w:vAlign w:val="bottom"/>
          </w:tcPr>
          <w:p>
            <w:pPr>
              <w:spacing w:after="0"/>
              <w:rPr>
                <w:sz w:val="22"/>
                <w:szCs w:val="22"/>
                <w:color w:val="auto"/>
              </w:rPr>
            </w:pPr>
          </w:p>
        </w:tc>
        <w:tc>
          <w:tcPr>
            <w:tcW w:w="3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Instruments</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gridSpan w:val="2"/>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0"/>
              <w:spacing w:after="0" w:line="262"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5"/>
                <w:szCs w:val="25"/>
                <w:b w:val="1"/>
                <w:bCs w:val="1"/>
                <w:color w:val="auto"/>
                <w:vertAlign w:val="superscript"/>
              </w:rPr>
              <w:t>(1)</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
              <w:spacing w:after="0" w:line="262"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5"/>
                <w:szCs w:val="25"/>
                <w:b w:val="1"/>
                <w:bCs w:val="1"/>
                <w:color w:val="auto"/>
                <w:vertAlign w:val="superscript"/>
              </w:rPr>
              <w:t>(1)</w:t>
            </w:r>
          </w:p>
        </w:tc>
      </w:tr>
      <w:tr>
        <w:trPr>
          <w:trHeight w:val="244"/>
        </w:trPr>
        <w:tc>
          <w:tcPr>
            <w:tcW w:w="20" w:type="dxa"/>
            <w:vAlign w:val="bottom"/>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Interest rate swap contracts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3"/>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FX derivative contracts</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FX derivative contracts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4"/>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hedging</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5"/>
        </w:trPr>
        <w:tc>
          <w:tcPr>
            <w:tcW w:w="20" w:type="dxa"/>
            <w:vAlign w:val="bottom"/>
          </w:tcPr>
          <w:p>
            <w:pPr>
              <w:spacing w:after="0"/>
              <w:rPr>
                <w:sz w:val="17"/>
                <w:szCs w:val="17"/>
                <w:color w:val="auto"/>
              </w:rPr>
            </w:pPr>
          </w:p>
        </w:tc>
        <w:tc>
          <w:tcPr>
            <w:tcW w:w="332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w w:val="97"/>
              </w:rPr>
              <w:t>Derivatives Not Designated as Hedging</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Instruments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FX derivative contracts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3"/>
          </w:tcPr>
          <w:p>
            <w:pPr>
              <w:ind w:left="2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FX derivative contracts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Total derivatives not designated as hedging</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3,137</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Total derivatives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3,680</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5"/>
          </w:tcPr>
          <w:p>
            <w:pPr>
              <w:ind w:left="1200"/>
              <w:spacing w:after="0"/>
              <w:rPr>
                <w:sz w:val="20"/>
                <w:szCs w:val="20"/>
                <w:color w:val="auto"/>
              </w:rPr>
            </w:pPr>
            <w:r>
              <w:rPr>
                <w:rFonts w:ascii="Arial" w:cs="Arial" w:eastAsia="Arial" w:hAnsi="Arial"/>
                <w:sz w:val="18"/>
                <w:szCs w:val="18"/>
                <w:b w:val="1"/>
                <w:bCs w:val="1"/>
                <w:color w:val="auto"/>
                <w:w w:val="89"/>
              </w:rPr>
              <w:t>Asset Derivatives</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gridSpan w:val="4"/>
          </w:tcPr>
          <w:p>
            <w:pPr>
              <w:ind w:left="1240"/>
              <w:spacing w:after="0"/>
              <w:rPr>
                <w:sz w:val="20"/>
                <w:szCs w:val="20"/>
                <w:color w:val="auto"/>
              </w:rPr>
            </w:pPr>
            <w:r>
              <w:rPr>
                <w:rFonts w:ascii="Arial" w:cs="Arial" w:eastAsia="Arial" w:hAnsi="Arial"/>
                <w:sz w:val="18"/>
                <w:szCs w:val="18"/>
                <w:b w:val="1"/>
                <w:bCs w:val="1"/>
                <w:color w:val="auto"/>
                <w:w w:val="92"/>
              </w:rPr>
              <w:t>Liability Derivatives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Derivatives Designated as Hedging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1"/>
        </w:trPr>
        <w:tc>
          <w:tcPr>
            <w:tcW w:w="2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Instruments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99"/>
              </w:rPr>
              <w:t>Balance Sheet Location</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20"/>
              <w:spacing w:after="0" w:line="262"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5"/>
                <w:szCs w:val="25"/>
                <w:b w:val="1"/>
                <w:bCs w:val="1"/>
                <w:color w:val="auto"/>
                <w:vertAlign w:val="superscript"/>
              </w:rPr>
              <w:t>(1)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gridSpan w:val="2"/>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20"/>
              <w:spacing w:after="0" w:line="262"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5"/>
                <w:szCs w:val="25"/>
                <w:b w:val="1"/>
                <w:bCs w:val="1"/>
                <w:color w:val="auto"/>
                <w:vertAlign w:val="superscript"/>
              </w:rPr>
              <w:t>(1)</w:t>
            </w:r>
          </w:p>
        </w:tc>
        <w:tc>
          <w:tcPr>
            <w:tcW w:w="20" w:type="dxa"/>
            <w:vAlign w:val="bottom"/>
          </w:tcPr>
          <w:p>
            <w:pPr>
              <w:spacing w:after="0"/>
              <w:rPr>
                <w:sz w:val="22"/>
                <w:szCs w:val="2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Interest rate swap contracts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3"/>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FX derivative contracts</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c>
          <w:tcPr>
            <w:tcW w:w="20" w:type="dxa"/>
            <w:vAlign w:val="bottom"/>
          </w:tcPr>
          <w:p>
            <w:pPr>
              <w:spacing w:after="0"/>
              <w:rPr>
                <w:sz w:val="23"/>
                <w:szCs w:val="23"/>
                <w:color w:val="auto"/>
              </w:rPr>
            </w:pPr>
          </w:p>
        </w:tc>
      </w:tr>
      <w:tr>
        <w:trPr>
          <w:trHeight w:val="209"/>
        </w:trPr>
        <w:tc>
          <w:tcPr>
            <w:tcW w:w="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Total derivatives designated as hedging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instruments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2,219</w:t>
            </w:r>
          </w:p>
        </w:tc>
        <w:tc>
          <w:tcPr>
            <w:tcW w:w="20" w:type="dxa"/>
            <w:vAlign w:val="bottom"/>
          </w:tcPr>
          <w:p>
            <w:pPr>
              <w:spacing w:after="0"/>
              <w:rPr>
                <w:sz w:val="20"/>
                <w:szCs w:val="20"/>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20" w:type="dxa"/>
            <w:vAlign w:val="bottom"/>
            <w:shd w:val="clear" w:color="auto" w:fill="CCEEFF"/>
          </w:tcPr>
          <w:p>
            <w:pPr>
              <w:spacing w:after="0"/>
              <w:rPr>
                <w:sz w:val="17"/>
                <w:szCs w:val="17"/>
                <w:color w:val="auto"/>
              </w:rPr>
            </w:pPr>
          </w:p>
        </w:tc>
        <w:tc>
          <w:tcPr>
            <w:tcW w:w="332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7"/>
              </w:rPr>
              <w:t>Derivatives Not Designated as Hedging</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Instruments</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9"/>
        </w:trPr>
        <w:tc>
          <w:tcPr>
            <w:tcW w:w="2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FX derivative contracts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3"/>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3,173</w:t>
            </w:r>
          </w:p>
        </w:tc>
        <w:tc>
          <w:tcPr>
            <w:tcW w:w="20" w:type="dxa"/>
            <w:vAlign w:val="bottom"/>
          </w:tcPr>
          <w:p>
            <w:pPr>
              <w:spacing w:after="0"/>
              <w:rPr>
                <w:sz w:val="20"/>
                <w:szCs w:val="20"/>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Total derivatives not designated as hedging</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Total derivatives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5,392</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6"/>
          <w:szCs w:val="16"/>
          <w:color w:val="auto"/>
        </w:rPr>
        <w:t>For the classification of inputs used to evaluate the fair value of our derivatives, refer to “Note 10. Fair Value Measurements.”</w:t>
      </w:r>
    </w:p>
    <w:p>
      <w:pPr>
        <w:sectPr>
          <w:pgSz w:w="11900" w:h="16838" w:orient="portrait"/>
          <w:cols w:equalWidth="0" w:num="1">
            <w:col w:w="11420"/>
          </w:cols>
          <w:pgMar w:left="240" w:top="823" w:right="239" w:bottom="1440" w:gutter="0" w:footer="0" w:header="0"/>
        </w:sectPr>
      </w:pPr>
    </w:p>
    <w:p>
      <w:pPr>
        <w:spacing w:after="0" w:line="33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420"/>
          </w:cols>
          <w:pgMar w:left="240" w:top="823" w:right="2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20"/>
          <w:szCs w:val="20"/>
          <w:b w:val="1"/>
          <w:bCs w:val="1"/>
          <w:color w:val="auto"/>
        </w:rPr>
        <w:t>Note 13. Leases</w:t>
      </w:r>
    </w:p>
    <w:p>
      <w:pPr>
        <w:spacing w:after="0" w:line="116" w:lineRule="exact"/>
        <w:rPr>
          <w:sz w:val="20"/>
          <w:szCs w:val="20"/>
          <w:color w:val="auto"/>
        </w:rPr>
      </w:pPr>
    </w:p>
    <w:p>
      <w:pPr>
        <w:ind w:right="40" w:firstLine="162"/>
        <w:spacing w:after="0" w:line="286" w:lineRule="auto"/>
        <w:rPr>
          <w:sz w:val="20"/>
          <w:szCs w:val="20"/>
          <w:color w:val="auto"/>
        </w:rPr>
      </w:pPr>
      <w:r>
        <w:rPr>
          <w:rFonts w:ascii="Arial" w:cs="Arial" w:eastAsia="Arial" w:hAnsi="Arial"/>
          <w:sz w:val="17"/>
          <w:szCs w:val="17"/>
          <w:color w:val="auto"/>
        </w:rPr>
        <w:t>We have operating leases primarily for (i) office space, (ii) manufacturing, warehouse and research and development facilities and (iii) vehicles. Our leases have remaining lease terms up to 12 years, some of which include options to extend the leases, and some of which include options to terminate the leases at our sole discretion. The components of operating lease assets, liabilities and costs are as follows (in thousands):</w:t>
      </w:r>
    </w:p>
    <w:p>
      <w:pPr>
        <w:sectPr>
          <w:pgSz w:w="11900" w:h="16838" w:orient="portrait"/>
          <w:cols w:equalWidth="0" w:num="1">
            <w:col w:w="11380"/>
          </w:cols>
          <w:pgMar w:left="240" w:top="670" w:right="279" w:bottom="1440" w:gutter="0" w:footer="0" w:header="0"/>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7283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3">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liabilities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operating lease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liabilities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lease cost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cost</w:t>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Contractual maturities of our lease liabilities as of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payments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Amount representing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Present value of lease liabilities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Remaining Lease Term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information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cash flows for operating leases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assets obtained in exchange for lease liabilities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14490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4"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48895</wp:posOffset>
            </wp:positionV>
            <wp:extent cx="14490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16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11,110</w:t>
      </w:r>
    </w:p>
    <w:p>
      <w:pPr>
        <w:spacing w:after="0" w:line="7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46,027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4490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4490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9">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48895</wp:posOffset>
            </wp:positionV>
            <wp:extent cx="14490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December 31, 2019</w:t>
      </w:r>
    </w:p>
    <w:p>
      <w:pPr>
        <w:spacing w:after="0" w:line="62"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14,002</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873</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4490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4490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48895</wp:posOffset>
            </wp:positionV>
            <wp:extent cx="14490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12,399</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10,402</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9,224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7,524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5,975</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16,907</w:t>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62,431</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5,294</w:t>
      </w:r>
    </w:p>
    <w:p>
      <w:pPr>
        <w:spacing w:after="0" w:line="7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48895</wp:posOffset>
            </wp:positionV>
            <wp:extent cx="14490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December 31, 2019</w:t>
      </w:r>
    </w:p>
    <w:p>
      <w:pPr>
        <w:spacing w:after="0" w:line="8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7.0 years</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30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14490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2"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13,522</w:t>
      </w:r>
    </w:p>
    <w:p>
      <w:pPr>
        <w:spacing w:after="0" w:line="63"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8,712</w:t>
      </w:r>
    </w:p>
    <w:p>
      <w:pPr>
        <w:spacing w:after="0" w:line="200" w:lineRule="exact"/>
        <w:rPr>
          <w:sz w:val="20"/>
          <w:szCs w:val="20"/>
          <w:color w:val="auto"/>
        </w:rPr>
      </w:pPr>
    </w:p>
    <w:p>
      <w:pPr>
        <w:sectPr>
          <w:pgSz w:w="11900" w:h="16838" w:orient="portrait"/>
          <w:cols w:equalWidth="0" w:num="2">
            <w:col w:w="8440" w:space="720"/>
            <w:col w:w="2220"/>
          </w:cols>
          <w:pgMar w:left="240" w:top="670" w:right="279" w:bottom="1440" w:gutter="0" w:footer="0" w:header="0"/>
          <w:type w:val="continuous"/>
        </w:sect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380"/>
          </w:cols>
          <w:pgMar w:left="240" w:top="670" w:right="27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color w:val="auto"/>
        </w:rPr>
        <w:t>Disclosures Related to Periods Prior to Adoption of Topic 842</w:t>
      </w:r>
    </w:p>
    <w:p>
      <w:pPr>
        <w:spacing w:after="0" w:line="117"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On January 1, 2019, we adopted Topic 842 using the modified retrospective adoption approach, as noted in “Note 2. Basis of Presentation, Use of Accounting Estimates and Significant Accounting Policies.” As required and as previously disclosed in our 2018 Form 10-K, the following table summarizes our future minimum operating lease payments as of December 31, 2018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than one year</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11,986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One to three years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21,031</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to five years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20,943</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68,958</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FDA Warning Letter</w:t>
      </w:r>
    </w:p>
    <w:p>
      <w:pPr>
        <w:spacing w:after="0" w:line="116" w:lineRule="exact"/>
        <w:rPr>
          <w:sz w:val="20"/>
          <w:szCs w:val="20"/>
          <w:color w:val="auto"/>
        </w:rPr>
      </w:pPr>
    </w:p>
    <w:p>
      <w:pPr>
        <w:jc w:val="both"/>
        <w:ind w:right="100" w:firstLine="162"/>
        <w:spacing w:after="0" w:line="277" w:lineRule="auto"/>
        <w:rPr>
          <w:sz w:val="20"/>
          <w:szCs w:val="20"/>
          <w:color w:val="auto"/>
        </w:rPr>
      </w:pPr>
      <w:r>
        <w:rPr>
          <w:rFonts w:ascii="Arial" w:cs="Arial" w:eastAsia="Arial" w:hAnsi="Arial"/>
          <w:sz w:val="18"/>
          <w:szCs w:val="18"/>
          <w:color w:val="auto"/>
        </w:rPr>
        <w:t>On December 29, 2015, the FDA issued a Warning Letter alleging certain violations of FDA regulations applicable to medical device manufacturers at our Munich, Germany and Arvada, Colorado facilities.</w:t>
      </w:r>
    </w:p>
    <w:p>
      <w:pPr>
        <w:spacing w:after="0" w:line="62"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Heater-Cooler device that were not previously included in the Form 483.</w:t>
      </w:r>
    </w:p>
    <w:p>
      <w:pPr>
        <w:spacing w:after="0" w:line="85" w:lineRule="exact"/>
        <w:rPr>
          <w:sz w:val="20"/>
          <w:szCs w:val="20"/>
          <w:color w:val="auto"/>
        </w:rPr>
      </w:pPr>
    </w:p>
    <w:p>
      <w:pPr>
        <w:ind w:right="14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were subject to refusal of admission into the U.S. until resolution of the issues set forth by the FDA in the Warning Letter. The FDA had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of all of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7"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73"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w:t>
      </w:r>
    </w:p>
    <w:p>
      <w:pPr>
        <w:spacing w:after="0" w:line="79"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CDC and FDA Safety Communications and Company Field Safety Notice</w:t>
      </w:r>
    </w:p>
    <w:p>
      <w:pPr>
        <w:spacing w:after="0" w:line="116"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On October 13, 2016, the CDC and the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665" w:right="239" w:bottom="1440" w:gutter="0" w:footer="0" w:header="0"/>
        </w:sectPr>
      </w:pPr>
    </w:p>
    <w:bookmarkStart w:id="95" w:name="page96"/>
    <w:bookmarkEnd w:id="95"/>
    <w:p>
      <w:pPr>
        <w:jc w:val="both"/>
        <w:ind w:right="260"/>
        <w:spacing w:after="0" w:line="264" w:lineRule="auto"/>
        <w:rPr>
          <w:sz w:val="20"/>
          <w:szCs w:val="20"/>
          <w:color w:val="auto"/>
        </w:rPr>
      </w:pPr>
      <w:r>
        <w:rPr>
          <w:rFonts w:ascii="Arial" w:cs="Arial" w:eastAsia="Arial" w:hAnsi="Arial"/>
          <w:sz w:val="18"/>
          <w:szCs w:val="18"/>
          <w:color w:val="auto"/>
        </w:rPr>
        <w:t>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3"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This loaner program began in the U.S. and was rolled out in Europe shortly thereafter. It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the risk mitigation strategies described above. We are currently implementing the vacuum and sealing upgrade program in as many countries as possible until all devices are upgraded. On October 11, 2018, after review of information provided by us, the FDA concluded that we could commence the vacuum and scaling upgrade program in the U.S., and on February 25, 2020, LivaNova received clearance for K191402, a 510(k) for the 3T devices that addressed issues contained in the 2015 Warning Letter along with design changes that further mitigate the potential risk of aerosolization. Furthermore, we continue to offer a no-charge deep disinfection service (deep cleaning service) for 3T device users as we receive the required regulatory approvals. The deep disinfection service was rolled out in Europe in the second half of 2015, and on April 12, 2018, the FDA agreed to allow us to move forward with the deep cleaning service in the U.S., thereby adding to the growing list of countries around the world in which we offer this service.</w:t>
      </w:r>
    </w:p>
    <w:p>
      <w:pPr>
        <w:spacing w:after="0" w:line="77"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December 31, 2019, the product remediation liability was $3.3 million. Refer to “Note 7. Product Remediation Liability”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 Liability</w:t>
      </w:r>
    </w:p>
    <w:p>
      <w:pPr>
        <w:spacing w:after="0" w:line="110" w:lineRule="exact"/>
        <w:rPr>
          <w:sz w:val="20"/>
          <w:szCs w:val="20"/>
          <w:color w:val="auto"/>
        </w:rPr>
      </w:pPr>
    </w:p>
    <w:p>
      <w:pPr>
        <w:ind w:right="140" w:firstLine="162"/>
        <w:spacing w:after="0" w:line="255" w:lineRule="auto"/>
        <w:rPr>
          <w:sz w:val="20"/>
          <w:szCs w:val="20"/>
          <w:color w:val="auto"/>
        </w:rPr>
      </w:pPr>
      <w:r>
        <w:rPr>
          <w:rFonts w:ascii="Arial" w:cs="Arial" w:eastAsia="Arial" w:hAnsi="Arial"/>
          <w:sz w:val="18"/>
          <w:szCs w:val="18"/>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w:t>
      </w:r>
    </w:p>
    <w:p>
      <w:pPr>
        <w:spacing w:after="0" w:line="85"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70" w:lineRule="exact"/>
        <w:rPr>
          <w:sz w:val="20"/>
          <w:szCs w:val="20"/>
          <w:color w:val="auto"/>
        </w:rPr>
      </w:pPr>
    </w:p>
    <w:p>
      <w:pPr>
        <w:ind w:right="160" w:firstLine="162"/>
        <w:spacing w:after="0" w:line="255" w:lineRule="auto"/>
        <w:rPr>
          <w:sz w:val="20"/>
          <w:szCs w:val="20"/>
          <w:color w:val="auto"/>
        </w:rPr>
      </w:pPr>
      <w:r>
        <w:rPr>
          <w:rFonts w:ascii="Arial" w:cs="Arial" w:eastAsia="Arial" w:hAnsi="Arial"/>
          <w:sz w:val="18"/>
          <w:szCs w:val="18"/>
          <w:color w:val="auto"/>
        </w:rPr>
        <w:t>Cases in state courts in the U.S. and in jurisdictions outside the U.S. continue to progress. As of March 2, 2020, including the cases encompassed in the settlement framework described above that have not yet been dismissed, we are aware of approximately 95 filed and unfiled claims worldwide, with the majority of the claims in various federal or state courts throughout the United States. This number includes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85"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In the fourth quarter of 2018, we recognized a $294.1 million provision for these matters. In the fourth quarter of 2019, we recorded an additional liability of $33.2 million due to additional information obtained, including but not limited to: the nature</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665" w:right="239" w:bottom="1440" w:gutter="0" w:footer="0" w:header="0"/>
        </w:sectPr>
      </w:pPr>
    </w:p>
    <w:bookmarkStart w:id="96" w:name="page97"/>
    <w:bookmarkEnd w:id="96"/>
    <w:p>
      <w:pPr>
        <w:ind w:right="180"/>
        <w:spacing w:after="0" w:line="264" w:lineRule="auto"/>
        <w:rPr>
          <w:sz w:val="20"/>
          <w:szCs w:val="20"/>
          <w:color w:val="auto"/>
        </w:rPr>
      </w:pPr>
      <w:r>
        <w:rPr>
          <w:rFonts w:ascii="Arial" w:cs="Arial" w:eastAsia="Arial" w:hAnsi="Arial"/>
          <w:sz w:val="18"/>
          <w:szCs w:val="18"/>
          <w:color w:val="auto"/>
        </w:rPr>
        <w:t>and quantity of filed and unfiled claims; certain settlement discussions with plaintiffs’ counsel; and the current stage of litigation in our remaining filed and unfiled claims. At December 31, 2019, the provision was $170.4 million. While the amount accrued represents our best estimate, the actual liability for resolution of these matters may vary from our estimate.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tcPr>
          <w:p>
            <w:pPr>
              <w:ind w:left="180"/>
              <w:spacing w:after="0"/>
              <w:rPr>
                <w:sz w:val="20"/>
                <w:szCs w:val="20"/>
                <w:color w:val="auto"/>
              </w:rPr>
            </w:pPr>
            <w:r>
              <w:rPr>
                <w:rFonts w:ascii="Arial" w:cs="Arial" w:eastAsia="Arial" w:hAnsi="Arial"/>
                <w:sz w:val="18"/>
                <w:szCs w:val="18"/>
                <w:color w:val="auto"/>
              </w:rPr>
              <w:t>The changes in the litigation provision liability for the year ended December 31, 2019, are as follows (in thousands):</w:t>
            </w: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35"/>
        </w:trPr>
        <w:tc>
          <w:tcPr>
            <w:tcW w:w="9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5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litigation provision liability at December 31, 2018</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294,061</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Payments</w:t>
            </w: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(156,928)</w:t>
            </w:r>
          </w:p>
        </w:tc>
      </w:tr>
      <w:tr>
        <w:trPr>
          <w:trHeight w:val="27"/>
        </w:trPr>
        <w:tc>
          <w:tcPr>
            <w:tcW w:w="9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33,233</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FX and other</w:t>
            </w:r>
          </w:p>
        </w:tc>
        <w:tc>
          <w:tcPr>
            <w:tcW w:w="5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95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litigation provision liability at December 31, 2019</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170,404</w:t>
            </w:r>
          </w:p>
        </w:tc>
      </w:tr>
      <w:tr>
        <w:trPr>
          <w:trHeight w:val="243"/>
        </w:trPr>
        <w:tc>
          <w:tcPr>
            <w:tcW w:w="9540" w:type="dxa"/>
            <w:vAlign w:val="bottom"/>
          </w:tcPr>
          <w:p>
            <w:pPr>
              <w:ind w:left="280"/>
              <w:spacing w:after="0"/>
              <w:rPr>
                <w:sz w:val="20"/>
                <w:szCs w:val="20"/>
                <w:color w:val="auto"/>
              </w:rPr>
            </w:pPr>
            <w:r>
              <w:rPr>
                <w:rFonts w:ascii="Arial" w:cs="Arial" w:eastAsia="Arial" w:hAnsi="Arial"/>
                <w:sz w:val="18"/>
                <w:szCs w:val="18"/>
                <w:color w:val="auto"/>
              </w:rPr>
              <w:t>Less current portion of litigation provision liability at December 31, 2019</w:t>
            </w:r>
          </w:p>
        </w:tc>
        <w:tc>
          <w:tcPr>
            <w:tcW w:w="5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146,026</w:t>
            </w:r>
          </w:p>
        </w:tc>
      </w:tr>
      <w:tr>
        <w:trPr>
          <w:trHeight w:val="27"/>
        </w:trPr>
        <w:tc>
          <w:tcPr>
            <w:tcW w:w="95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 of litigation provision liability at December 31, 2019</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24,378</w:t>
            </w:r>
          </w:p>
        </w:tc>
      </w:tr>
      <w:tr>
        <w:trPr>
          <w:trHeight w:val="20"/>
        </w:trPr>
        <w:tc>
          <w:tcPr>
            <w:tcW w:w="9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20" w:firstLine="162"/>
        <w:spacing w:after="0" w:line="264" w:lineRule="auto"/>
        <w:rPr>
          <w:sz w:val="20"/>
          <w:szCs w:val="20"/>
          <w:color w:val="auto"/>
        </w:rPr>
      </w:pPr>
      <w:r>
        <w:rPr>
          <w:rFonts w:ascii="Arial" w:cs="Arial" w:eastAsia="Arial" w:hAnsi="Arial"/>
          <w:sz w:val="18"/>
          <w:szCs w:val="18"/>
          <w:color w:val="auto"/>
        </w:rPr>
        <w:t>In July 2019, we entered into agreements with our insurance carriers to recover $33.8 million under our product liability insurance policies related to the litigation involving our 3T device. The insurance recovery was received and recorded in litigation provision, net on the consolidated statements of income (loss) during the third quarter of the current fiscal year.</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Environmental Liability</w:t>
      </w:r>
    </w:p>
    <w:p>
      <w:pPr>
        <w:spacing w:after="0" w:line="110"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Our subsidiary, Sorin S.p.A. (“Sorin”) was created as a result of a spin-off (the “Sorin spin-off”) from SNIA S.p.A. (“SNIA”) in January 2004.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79"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In September 2011 and July 2014, the Bankruptcy Court of Udine and the Bankruptcy Court of Milan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have also appealed that decision to the Supreme Court. In addition, the Bankruptcy Court of Milan’s decision has been appealed.</w:t>
      </w:r>
    </w:p>
    <w:p>
      <w:pPr>
        <w:spacing w:after="0" w:line="8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In January 2012, SNIA filed a civil action against Sorin in the Civil Court of Milan asserting joint liability of a parent and a spun-off company. On April 1, 2016, the Court of Milan dismissed all legal actions of SNIA and of the Public Administrations further requiring the Public Administrations to pay Sorin approximately €292,000 (approximately $328,000 as of December 31, 2019) for legal fees. The Public Administrations appealed the 2016 Decision to the Court of Appeal of Milan. On March 5, 2019, the Court of Appeal issued a partial decision on the merits declaring Sorin/LivaNova jointly liable with SNIA for SNIA’s environmental liabilities in an amount up to the fair value of the net worth received by Sorin because of the Sorin spin-off. Additionally the Court issued a separate order, staying the proceeding until a Panel of three experts can assess the environmental damages, the costs of clean-up, and the costs that the Public Administrations has already borne for the clean-up of the sites to allow the Court to decide on the second claim of the Public Administrations against LivaNova, (i.e., to refund the Public Administration for the SNIA environmental liabilities). In the interim, we are appealing the decision to the Italian Supreme Court (Corte di Cassazione).</w:t>
      </w:r>
    </w:p>
    <w:p>
      <w:pPr>
        <w:spacing w:after="0" w:line="74"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auto"/>
        </w:rPr>
        <w:t>Opposition to Merger Proceedings</w:t>
      </w:r>
    </w:p>
    <w:p>
      <w:pPr>
        <w:spacing w:after="0" w:line="110"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On July 28, 2015, the Public Administrations filed an opposition proceeding before the Commercial Division of the Court of Milan to the merger of Sorin and Cyberonics, Inc., the predecessor companies to LivaNova. The Court authorized the merger, and the Public Administrations did not appeal that decision. The proceeding then continued as a civil case, with the Public Administrations seeking damages. The Commercial Court of Milan delivered a decision in October 2016, fully rejecting the Public Administrations’ request and awarding us approximately €400,000 (approximately $449,000 as of December 31, 2019) in damages for frivolous litigation and legal fees. The Public Administrations appealed to the Court of Appeal of Milan. On May 15, 2018, the Court of Appeal of Milan confirmed the decision authorizing the merger but annulled the penalty for frivolous litigation and reduced the overall contribution of legal fees to €84,000 (approximately $94,000 as of December 31, 2019). On February 28, 2020, the Supreme Court confirmed the decision, authorizing the merger and increasing the overall</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665" w:right="279" w:bottom="1440" w:gutter="0" w:footer="0" w:header="0"/>
        </w:sectPr>
      </w:pPr>
    </w:p>
    <w:bookmarkStart w:id="97" w:name="page98"/>
    <w:bookmarkEnd w:id="97"/>
    <w:p>
      <w:pPr>
        <w:ind w:right="280"/>
        <w:spacing w:after="0" w:line="277" w:lineRule="auto"/>
        <w:rPr>
          <w:sz w:val="20"/>
          <w:szCs w:val="20"/>
          <w:color w:val="auto"/>
        </w:rPr>
      </w:pPr>
      <w:r>
        <w:rPr>
          <w:rFonts w:ascii="Arial" w:cs="Arial" w:eastAsia="Arial" w:hAnsi="Arial"/>
          <w:sz w:val="18"/>
          <w:szCs w:val="18"/>
          <w:color w:val="auto"/>
        </w:rPr>
        <w:t>contribution of legal fees to LivaNova to €98,000 (approximately $110,000 as of December 31, 2019). There is no further avenue of appeal in this matter, and the matter is now concluded.</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auto"/>
        </w:rPr>
        <w:t>Patent Litigation</w:t>
      </w:r>
    </w:p>
    <w:p>
      <w:pPr>
        <w:spacing w:after="0" w:line="110" w:lineRule="exact"/>
        <w:rPr>
          <w:sz w:val="20"/>
          <w:szCs w:val="20"/>
          <w:color w:val="auto"/>
        </w:rPr>
      </w:pPr>
    </w:p>
    <w:p>
      <w:pPr>
        <w:ind w:right="20" w:firstLine="162"/>
        <w:spacing w:after="0" w:line="272" w:lineRule="auto"/>
        <w:rPr>
          <w:sz w:val="20"/>
          <w:szCs w:val="20"/>
          <w:color w:val="auto"/>
        </w:rPr>
      </w:pPr>
      <w:r>
        <w:rPr>
          <w:rFonts w:ascii="Arial" w:cs="Arial" w:eastAsia="Arial" w:hAnsi="Arial"/>
          <w:sz w:val="17"/>
          <w:szCs w:val="17"/>
          <w:color w:val="auto"/>
        </w:rPr>
        <w:t xml:space="preserve">On May 11, 2018, Neuro and Cardiac Technologies LLC (“NCT”), a non-practicing entity, filed a complaint in the United States District Court for the Southern District of Texas asserting that the VNS Therapy System, when used with the SenTiva Model 1000 generator, infringes the claims of U.S. Patent No. 7,076,307 owned by NCT. The complaint requests damages that include a royalty, costs, interest, and attorneys’ fees. On September 13, 2018, we petitioned the Patent Trial and Appeal Board of the U. S. Patent and Trademark Office (the “Patent Office”) for an </w:t>
      </w:r>
      <w:r>
        <w:rPr>
          <w:rFonts w:ascii="Arial" w:cs="Arial" w:eastAsia="Arial" w:hAnsi="Arial"/>
          <w:sz w:val="17"/>
          <w:szCs w:val="17"/>
          <w:i w:val="1"/>
          <w:iCs w:val="1"/>
          <w:color w:val="auto"/>
        </w:rPr>
        <w:t>inter partes review</w:t>
      </w:r>
      <w:r>
        <w:rPr>
          <w:rFonts w:ascii="Arial" w:cs="Arial" w:eastAsia="Arial" w:hAnsi="Arial"/>
          <w:sz w:val="17"/>
          <w:szCs w:val="17"/>
          <w:color w:val="auto"/>
        </w:rPr>
        <w:t xml:space="preserve"> (“IPR”) of the validity of the ‘307 patent. The Patent Office instituted an IPR of all the challenged claims. The Court has stayed the litigation pending the outcome of the IPR proceeding.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Contract Litigation</w:t>
      </w:r>
    </w:p>
    <w:p>
      <w:pPr>
        <w:spacing w:after="0" w:line="110"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On November 25, 2019, LivaNova received notice of a lawsuit initiated by former members of Caisson Interventional, LLC (“Caisson”), a subsidiary of the Company acquired in 2017. The lawsuit, Todd J. Mortier, as Member Representative of the former Members of Caisson Interventional, LLC v. LivaNova USA, Inc., is currently pending in the United States District Court for the District of Minnesota. The complaint alleges (i) breach of contract, (ii) breach of the covenant of good faith and fair dealing and (iii) unjust enrichment in connection with the Company’s operation of Caisson’s Transcatheter Mitral Valve Replacement (“TMVR”) program and the Company’s November 20, 2019 announcement that it was ending the TMVR program at the end of 2019. The lawsuit seeks damages arising out of the 2017 acquisition agreement, including various regulatory milestone payments. We intend to vigorously defend this claim. The Company has not recognized an expense related to this matter because any potential loss is not currently probable or reasonably estimable. In addition, we cannot reasonably estimate a range of potential loss, if any, that may result from this matter.</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Tax Litigation</w:t>
      </w:r>
    </w:p>
    <w:p>
      <w:pPr>
        <w:spacing w:after="0" w:line="110"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In a tax audit report received on October 30, 2009, the Regional Internal Revenue Office of Lombardy (the “Internal Revenue Office”) informed Sorin Group Italia S.r.l. that, among several issues, it was disallowing in part (for a total of €102.6 million (approximately $115.1 million as of December 31, 2019), related to tax years 2002 through 2006) a tax-deductible write down of the investment in the U.S. company, Cobe Cardiovascular Inc., which Sorin Group Italia S.r.l. recognized in 2002 and deducted in five equal installments, beginning in 2002. In December 2009, the Internal Revenue Office issued notices of assessment for 2004. In December 2010 and October 2011, the Internal Revenue Office issued notices of assessment for 2005 and 2006, respectively. We challenged all three notices of assessment (for 2004, 2005 and 2006) before the relevant Provincial Tax Courts.</w:t>
      </w:r>
    </w:p>
    <w:p>
      <w:pPr>
        <w:spacing w:after="0" w:line="70" w:lineRule="exact"/>
        <w:rPr>
          <w:sz w:val="20"/>
          <w:szCs w:val="20"/>
          <w:color w:val="auto"/>
        </w:rPr>
      </w:pPr>
    </w:p>
    <w:p>
      <w:pPr>
        <w:jc w:val="both"/>
        <w:ind w:right="120" w:firstLine="162"/>
        <w:spacing w:after="0" w:line="264" w:lineRule="auto"/>
        <w:rPr>
          <w:sz w:val="20"/>
          <w:szCs w:val="20"/>
          <w:color w:val="auto"/>
        </w:rPr>
      </w:pPr>
      <w:r>
        <w:rPr>
          <w:rFonts w:ascii="Arial" w:cs="Arial" w:eastAsia="Arial" w:hAnsi="Arial"/>
          <w:sz w:val="18"/>
          <w:szCs w:val="18"/>
          <w:color w:val="auto"/>
        </w:rPr>
        <w:t>The preliminary challenges filed for 2004, 2005 and 2006 were denied at the first jurisdictional level. We appealed these decisions. The appeal submitted against the first-level decision for 2004 was successful. The Internal Revenue Office appealed this second-level decision to the Italian Supreme Court (Corte di Cassazione) on February 3, 2017. The Italian Supreme Court’s decision is pending.</w:t>
      </w:r>
    </w:p>
    <w:p>
      <w:pPr>
        <w:spacing w:after="0" w:line="73" w:lineRule="exact"/>
        <w:rPr>
          <w:sz w:val="20"/>
          <w:szCs w:val="20"/>
          <w:color w:val="auto"/>
        </w:rPr>
      </w:pPr>
    </w:p>
    <w:p>
      <w:pPr>
        <w:ind w:right="80" w:firstLine="162"/>
        <w:spacing w:after="0" w:line="260" w:lineRule="auto"/>
        <w:rPr>
          <w:sz w:val="20"/>
          <w:szCs w:val="20"/>
          <w:color w:val="auto"/>
        </w:rPr>
      </w:pPr>
      <w:r>
        <w:rPr>
          <w:rFonts w:ascii="Arial" w:cs="Arial" w:eastAsia="Arial" w:hAnsi="Arial"/>
          <w:sz w:val="18"/>
          <w:szCs w:val="18"/>
          <w:color w:val="auto"/>
        </w:rPr>
        <w:t>The appeals submitted against the first-level decisions for 2005 and 2006 were rejected. We appealed these adverse decisions to the Italian Supreme Court. On November 16, 2018, the Supreme Court returned the decisions for years 2005 and 2006 to the previous-level Court (Regional Tax Court) due to lack of substance of the motivation given in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level judgments that were appealed.</w:t>
      </w:r>
    </w:p>
    <w:p>
      <w:pPr>
        <w:spacing w:after="0" w:line="1"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In November 2012, the Internal Revenue Office served a notice of assessment for 2007, and in July 2013, served a notice of assessment for 2008. In these matters the Internal Revenue Office claims an increase in taxable income due to a reduction (similar to the previous notices of assessment for 2004, 2005 and 2006) of the losses reported by Sorin Group Italia S.r.l. for the 2002, 2003 and 2004 tax periods, and subsequently utilized in 2007 and 2008. We challenged both notices of assessment. The Provincial Tax Court of Milan has stayed its decision for years 2007 and 2008 pending resolution of the litigation regarding years 2004, 2005, and 2006.</w:t>
      </w:r>
    </w:p>
    <w:p>
      <w:pPr>
        <w:spacing w:after="0" w:line="84" w:lineRule="exact"/>
        <w:rPr>
          <w:sz w:val="20"/>
          <w:szCs w:val="20"/>
          <w:color w:val="auto"/>
        </w:rPr>
      </w:pPr>
    </w:p>
    <w:p>
      <w:pPr>
        <w:ind w:right="180" w:firstLine="162"/>
        <w:spacing w:after="0" w:line="257" w:lineRule="auto"/>
        <w:rPr>
          <w:sz w:val="20"/>
          <w:szCs w:val="20"/>
          <w:color w:val="auto"/>
        </w:rPr>
      </w:pPr>
      <w:r>
        <w:rPr>
          <w:rFonts w:ascii="Arial" w:cs="Arial" w:eastAsia="Arial" w:hAnsi="Arial"/>
          <w:sz w:val="18"/>
          <w:szCs w:val="18"/>
          <w:color w:val="auto"/>
        </w:rPr>
        <w:t>The total amount of losses in dispute is €62.6 million (approximately $70.2 million as of December 31, 2019). We have continuously reassessed our potential exposure in these matters, taking into account the recent, and generally adverse, trend to Italian taxpayers in this type of litigation. Although we believe that our defensive arguments are strong, noting the adverse trend in some of the court decisions, we have recognized a reserve for an uncertain tax position for the full amount of the potential liability. On May 31, 2019, we filed an application to settle the litigation according to law N. 136/2018 and paid the</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665" w:right="259" w:bottom="1440" w:gutter="0" w:footer="0" w:header="0"/>
        </w:sectPr>
      </w:pPr>
    </w:p>
    <w:bookmarkStart w:id="98" w:name="page99"/>
    <w:bookmarkEnd w:id="98"/>
    <w:p>
      <w:pPr>
        <w:ind w:right="40"/>
        <w:spacing w:after="0" w:line="259" w:lineRule="auto"/>
        <w:rPr>
          <w:sz w:val="20"/>
          <w:szCs w:val="20"/>
          <w:color w:val="auto"/>
        </w:rPr>
      </w:pPr>
      <w:r>
        <w:rPr>
          <w:rFonts w:ascii="Arial" w:cs="Arial" w:eastAsia="Arial" w:hAnsi="Arial"/>
          <w:sz w:val="18"/>
          <w:szCs w:val="18"/>
          <w:color w:val="auto"/>
        </w:rPr>
        <w:t>required settlement balance of €1.9 million. As per law N. 136/2018, the Italian Revenue Agency will review the settlement and decide to accept or reject the application by July 31, 2020. Until the settlement is accepted by the Italian Revenue Agency, we will continue to reserve for the full amount of the potential liability, by recognizing a €15.5 million reserve for uncertain tax position (approximately $17.4 million, as of December 31, 2019), net of the settlement payment.</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116"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Share repurchase plans</w:t>
      </w:r>
    </w:p>
    <w:p>
      <w:pPr>
        <w:spacing w:after="0" w:line="110"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On August 1, 2016, the Board of Directors of LivaNova approved the authorization of a share repurchase plan (the "Share Repurchase Program") pursuant to an authority granted by shareholders at the 2016 annual general meeting held on June 15, 2016. The authority granted by the shareholders has a five-year expiration. The Share Repurchase Program was structured to enable us to buy back up to $150.0 million of our shares on NASDAQ between September 1, 2016 through December 31, 2016. On November 15, 2016, the Board of Directors approved an amendment (the "Amended Share Repurchase Program") to the Share Repurchase Program authorizing the Company to repurchase up to $150.0 million of our shares between September 1, 2016 and December 31, 2018.</w:t>
      </w:r>
    </w:p>
    <w:p>
      <w:pPr>
        <w:spacing w:after="0" w:line="85"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For the year ended December 31, 2018, we repurchased and canceled 500,333 shares under this plan at a cost of $50.0 million and an average price per share of $99.91. We did not purchase any shares during the years ended December 31, 2017 and December 31, 2019.</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Treasury Stock</w:t>
      </w:r>
    </w:p>
    <w:p>
      <w:pPr>
        <w:spacing w:after="0" w:line="110" w:lineRule="exact"/>
        <w:rPr>
          <w:sz w:val="20"/>
          <w:szCs w:val="20"/>
          <w:color w:val="auto"/>
        </w:rPr>
      </w:pPr>
    </w:p>
    <w:p>
      <w:pPr>
        <w:ind w:right="200" w:firstLine="162"/>
        <w:spacing w:after="0" w:line="264" w:lineRule="auto"/>
        <w:rPr>
          <w:sz w:val="20"/>
          <w:szCs w:val="20"/>
          <w:color w:val="auto"/>
        </w:rPr>
      </w:pPr>
      <w:r>
        <w:rPr>
          <w:rFonts w:ascii="Arial" w:cs="Arial" w:eastAsia="Arial" w:hAnsi="Arial"/>
          <w:sz w:val="18"/>
          <w:szCs w:val="18"/>
          <w:color w:val="auto"/>
        </w:rPr>
        <w:t>For the year ended December 31, 2018, we issued 1.4 million shares to our Employee Benefit Trust (“EBT”). Shares held by the EBT are issued to employees and directors at exercise of stock-based compensation grants. The balance of shares in the EBT are reported as treasury shares. We did not issue any additional shares to our EBT during the year ended December 31, 2019.</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665" w:right="279" w:bottom="1440" w:gutter="0" w:footer="0" w:header="0"/>
        </w:sectPr>
      </w:pPr>
    </w:p>
    <w:bookmarkStart w:id="99" w:name="page100"/>
    <w:bookmarkEnd w:id="99"/>
    <w:p>
      <w:pPr>
        <w:spacing w:after="0"/>
        <w:rPr>
          <w:sz w:val="20"/>
          <w:szCs w:val="20"/>
          <w:color w:val="auto"/>
        </w:rPr>
      </w:pPr>
      <w:r>
        <w:rPr>
          <w:rFonts w:ascii="Arial" w:cs="Arial" w:eastAsia="Arial" w:hAnsi="Arial"/>
          <w:sz w:val="20"/>
          <w:szCs w:val="20"/>
          <w:color w:val="auto"/>
        </w:rPr>
        <w:t>Accumulated other comprehensive (loss) income</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table below presents the change in each component of AOCI, net of tax and the reclassifications out of AOCI into net income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Change in Unrealized</w:t>
            </w:r>
          </w:p>
        </w:tc>
        <w:tc>
          <w:tcPr>
            <w:tcW w:w="1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Foreign Currency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Gain (Loss) on Cash</w:t>
            </w: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1"/>
        </w:trPr>
        <w:tc>
          <w:tcPr>
            <w:tcW w:w="6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Flow Hedges</w:t>
            </w:r>
          </w:p>
        </w:tc>
        <w:tc>
          <w:tcPr>
            <w:tcW w:w="180" w:type="dxa"/>
            <w:vAlign w:val="bottom"/>
          </w:tcPr>
          <w:p>
            <w:pPr>
              <w:spacing w:after="0"/>
              <w:rPr>
                <w:sz w:val="22"/>
                <w:szCs w:val="22"/>
                <w:color w:val="auto"/>
              </w:rPr>
            </w:pPr>
          </w:p>
        </w:tc>
        <w:tc>
          <w:tcPr>
            <w:tcW w:w="1760" w:type="dxa"/>
            <w:vAlign w:val="bottom"/>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6"/>
              </w:rPr>
              <w:t xml:space="preserve">Adjustments </w:t>
            </w:r>
            <w:r>
              <w:rPr>
                <w:rFonts w:ascii="Arial" w:cs="Arial" w:eastAsia="Arial" w:hAnsi="Arial"/>
                <w:sz w:val="25"/>
                <w:szCs w:val="25"/>
                <w:b w:val="1"/>
                <w:bCs w:val="1"/>
                <w:color w:val="auto"/>
                <w:w w:val="86"/>
                <w:vertAlign w:val="superscript"/>
              </w:rPr>
              <w:t>(1)</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64"/>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(72,106)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(68,487)</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reclassifications, before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118,338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108,477</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reclassifications, net of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118,338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111,130</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Reclassification of loss from accumulated other comprehensive income (loss),</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before tax</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3,448</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Reclassification of tax benefit</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Reclassification of gain from accumulated other comprehensive income (loss),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7"/>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tax</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Net current-period other comprehensive (loss) income, net of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118,338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113,800</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46,232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45,313</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 before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(69,720)</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(69,731)</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Reclassification of gain from accumulated other comprehensive income (loss),</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before tax</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Reclassification of tax expense</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Reclassification of gain from accumulated other comprehensive income (loss),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7"/>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tax</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Net current-period other comprehensive loss, net of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(69,789)</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(24,476)</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 before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6,384</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5,723</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Reclassification of gain from accumulated other comprehensive income (loss),</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before tax</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Reclassification of tax expense</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Reclassification of gain from accumulated other comprehensive income (loss),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7"/>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tax</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Net current-period other comprehensive loss, net of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5,084</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(19,392)</w:t>
            </w: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500" w:right="20" w:hanging="330"/>
        <w:spacing w:after="0" w:line="293"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6"/>
          <w:szCs w:val="16"/>
          <w:color w:val="auto"/>
        </w:rPr>
        <w:t>Taxes were not provided for foreign currency translation adjustments as translation adjustments are related to earnings that are intended to be reinvested in the countries where earned.</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Stock-Based Incentive Plans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Stock-Based Incentive Plans</w:t>
      </w:r>
    </w:p>
    <w:p>
      <w:pPr>
        <w:spacing w:after="0" w:line="110" w:lineRule="exact"/>
        <w:rPr>
          <w:sz w:val="20"/>
          <w:szCs w:val="20"/>
          <w:color w:val="auto"/>
        </w:rPr>
      </w:pPr>
    </w:p>
    <w:p>
      <w:pPr>
        <w:ind w:right="160" w:firstLine="162"/>
        <w:spacing w:after="0" w:line="259" w:lineRule="auto"/>
        <w:rPr>
          <w:sz w:val="20"/>
          <w:szCs w:val="20"/>
          <w:color w:val="auto"/>
        </w:rPr>
      </w:pPr>
      <w:r>
        <w:rPr>
          <w:rFonts w:ascii="Arial" w:cs="Arial" w:eastAsia="Arial" w:hAnsi="Arial"/>
          <w:sz w:val="18"/>
          <w:szCs w:val="18"/>
          <w:color w:val="auto"/>
        </w:rPr>
        <w:t>Stock-based awards may be granted under the 2015 Incentive Award Plan (the “2015 Plan”) in the form of stock options, SARs, RSUs and other stock-based and cash-based awards. As of December 31, 2019, there were approximately 4,904,000 shares available for future grants under the 2015 Plan. During the year ended December 31, 2019, we awarded SARs and RSUs with service conditions that generally vest ratably over 4 years, subject to forfeiture unless service conditions are met. In</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676" w:right="239" w:bottom="1440" w:gutter="0" w:footer="0" w:header="0"/>
        </w:sectPr>
      </w:pPr>
    </w:p>
    <w:bookmarkStart w:id="100" w:name="page101"/>
    <w:bookmarkEnd w:id="100"/>
    <w:p>
      <w:pPr>
        <w:ind w:right="140"/>
        <w:spacing w:after="0" w:line="259" w:lineRule="auto"/>
        <w:rPr>
          <w:sz w:val="20"/>
          <w:szCs w:val="20"/>
          <w:color w:val="auto"/>
        </w:rPr>
      </w:pPr>
      <w:r>
        <w:rPr>
          <w:rFonts w:ascii="Arial" w:cs="Arial" w:eastAsia="Arial" w:hAnsi="Arial"/>
          <w:sz w:val="18"/>
          <w:szCs w:val="18"/>
          <w:color w:val="auto"/>
        </w:rPr>
        <w:t>addition, during the year ended December 31, 2019, we awarded market performance-based awards that cliff vest after three years, subject to the rank of our total shareholder return for the three-year period ending December 31, 2021, relative to the total shareholder returns for a peer group of companies, and we issued operating performance-based awards that cliff vest after three years subject to the achievement of certain thresholds of cumulative adjusted free cash flow for the three-year period ending December 31, 2021.</w:t>
      </w:r>
    </w:p>
    <w:p>
      <w:pPr>
        <w:spacing w:after="0" w:line="79"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On January 1, 2019, we initiated the LivaNova Global Employee Share Purchase Plan (“ESPP”). Compensation expense related to the ESPP for the year ended December 31, 2019 was $1.3 million.</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stock-based compensation tables below include expense and share activity related to discontinued operations.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Stock-Based Compensation</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Amounts of stock-based compensation recognized on our consolidated statements of income (loss), by expense category,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91"/>
              </w:rPr>
              <w:t>Year Ended December 31,</w:t>
            </w:r>
          </w:p>
        </w:tc>
        <w:tc>
          <w:tcPr>
            <w:tcW w:w="13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5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25,588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19,393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16,118</w:t>
            </w:r>
          </w:p>
        </w:tc>
      </w:tr>
      <w:tr>
        <w:trPr>
          <w:trHeight w:val="27"/>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Stock-based compensation from continuing operations</w:t>
            </w:r>
          </w:p>
        </w:tc>
        <w:tc>
          <w:tcPr>
            <w:tcW w:w="10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32,553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24,963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17,687</w:t>
            </w:r>
          </w:p>
        </w:tc>
      </w:tr>
      <w:tr>
        <w:trPr>
          <w:trHeight w:val="27"/>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from discontinued operations</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0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32,553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26,923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19,062</w:t>
            </w:r>
          </w:p>
        </w:tc>
      </w:tr>
      <w:tr>
        <w:trPr>
          <w:trHeight w:val="27"/>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4,236</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Total expense, net of income tax benefit</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25,963</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20,480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14,826</w:t>
            </w: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color w:val="auto"/>
        </w:rPr>
        <w:t>Amounts of stock-based compensation expense recognized on our consolidated statements of income (loss), by type of arrangement,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91"/>
              </w:rPr>
              <w:t>Year Ended December 31,</w:t>
            </w:r>
          </w:p>
        </w:tc>
        <w:tc>
          <w:tcPr>
            <w:tcW w:w="13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appreciation rights</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10,349</w:t>
            </w:r>
          </w:p>
        </w:tc>
        <w:tc>
          <w:tcPr>
            <w:tcW w:w="5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Service-based restricted stock units</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14,113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10,622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8,223</w:t>
            </w:r>
          </w:p>
        </w:tc>
      </w:tr>
      <w:tr>
        <w:trPr>
          <w:trHeight w:val="27"/>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performance-based restricted stock units</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performance-based restricted stock units</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1,816</w:t>
            </w:r>
          </w:p>
        </w:tc>
      </w:tr>
      <w:tr>
        <w:trPr>
          <w:trHeight w:val="27"/>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Total stock-based compensation expense from continuing operations</w:t>
            </w: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32,553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24,963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17,687</w:t>
            </w:r>
          </w:p>
        </w:tc>
      </w:tr>
      <w:tr>
        <w:trPr>
          <w:trHeight w:val="27"/>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Unrecognized Stock-Based Compensation</w:t>
      </w:r>
    </w:p>
    <w:p>
      <w:pPr>
        <w:spacing w:after="0" w:line="11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Amounts of stock-based compensation cost not yet recognized related to non-vested awards, including awards assumed or issued, as of December 31, 2019,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4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ind w:right="330"/>
              <w:spacing w:after="0"/>
              <w:rPr>
                <w:sz w:val="20"/>
                <w:szCs w:val="20"/>
                <w:color w:val="auto"/>
              </w:rPr>
            </w:pPr>
            <w:r>
              <w:rPr>
                <w:rFonts w:ascii="Arial" w:cs="Arial" w:eastAsia="Arial" w:hAnsi="Arial"/>
                <w:sz w:val="18"/>
                <w:szCs w:val="18"/>
                <w:b w:val="1"/>
                <w:bCs w:val="1"/>
                <w:color w:val="auto"/>
              </w:rPr>
              <w:t>Unrecognized</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 Vesting Period</w:t>
            </w:r>
          </w:p>
        </w:tc>
      </w:tr>
      <w:tr>
        <w:trPr>
          <w:trHeight w:val="234"/>
        </w:trPr>
        <w:tc>
          <w:tcPr>
            <w:tcW w:w="4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Compensation Cost</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r>
      <w:tr>
        <w:trPr>
          <w:trHeight w:val="27"/>
        </w:trPr>
        <w:tc>
          <w:tcPr>
            <w:tcW w:w="46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appreciation rights</w:t>
            </w:r>
          </w:p>
        </w:tc>
        <w:tc>
          <w:tcPr>
            <w:tcW w:w="2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25,508</w:t>
            </w:r>
          </w:p>
        </w:tc>
        <w:tc>
          <w:tcPr>
            <w:tcW w:w="24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2.67</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Service-based restricted stock unit awards</w:t>
            </w:r>
          </w:p>
        </w:tc>
        <w:tc>
          <w:tcPr>
            <w:tcW w:w="2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33,456</w:t>
            </w:r>
          </w:p>
        </w:tc>
        <w:tc>
          <w:tcPr>
            <w:tcW w:w="24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2.73</w:t>
            </w:r>
          </w:p>
        </w:tc>
      </w:tr>
      <w:tr>
        <w:trPr>
          <w:trHeight w:val="27"/>
        </w:trPr>
        <w:tc>
          <w:tcPr>
            <w:tcW w:w="46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restricted stock unit awards</w:t>
            </w:r>
          </w:p>
        </w:tc>
        <w:tc>
          <w:tcPr>
            <w:tcW w:w="2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10,587</w:t>
            </w:r>
          </w:p>
        </w:tc>
        <w:tc>
          <w:tcPr>
            <w:tcW w:w="24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1.65</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Total stock-based compensation cost unrecognized</w:t>
            </w:r>
          </w:p>
        </w:tc>
        <w:tc>
          <w:tcPr>
            <w:tcW w:w="24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69,551</w:t>
            </w:r>
          </w:p>
        </w:tc>
        <w:tc>
          <w:tcPr>
            <w:tcW w:w="24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2.35</w:t>
            </w:r>
          </w:p>
        </w:tc>
      </w:tr>
      <w:tr>
        <w:trPr>
          <w:trHeight w:val="20"/>
        </w:trPr>
        <w:tc>
          <w:tcPr>
            <w:tcW w:w="4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851"/>
        </w:trPr>
        <w:tc>
          <w:tcPr>
            <w:tcW w:w="4660" w:type="dxa"/>
            <w:vAlign w:val="bottom"/>
          </w:tcPr>
          <w:p>
            <w:pPr>
              <w:spacing w:after="0"/>
              <w:rPr>
                <w:sz w:val="24"/>
                <w:szCs w:val="24"/>
                <w:color w:val="auto"/>
              </w:rPr>
            </w:pPr>
          </w:p>
        </w:tc>
        <w:tc>
          <w:tcPr>
            <w:tcW w:w="2600" w:type="dxa"/>
            <w:vAlign w:val="bottom"/>
            <w:gridSpan w:val="2"/>
          </w:tcPr>
          <w:p>
            <w:pPr>
              <w:jc w:val="right"/>
              <w:ind w:right="1210"/>
              <w:spacing w:after="0"/>
              <w:rPr>
                <w:sz w:val="20"/>
                <w:szCs w:val="20"/>
                <w:color w:val="auto"/>
              </w:rPr>
            </w:pPr>
            <w:r>
              <w:rPr>
                <w:rFonts w:ascii="Arial" w:cs="Arial" w:eastAsia="Arial" w:hAnsi="Arial"/>
                <w:sz w:val="18"/>
                <w:szCs w:val="18"/>
                <w:color w:val="auto"/>
              </w:rPr>
              <w:t>F-41</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Stock Appreciation Rights and Stock Options</w:t>
      </w:r>
    </w:p>
    <w:p>
      <w:pPr>
        <w:spacing w:after="0" w:line="110"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We use the Black-Scholes option pricing methodology to calculate the grant date fair market value of SARs. The following table lists the assumptions we utilized as inputs to the Black-Scholes model:</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80" w:type="dxa"/>
            <w:vAlign w:val="bottom"/>
            <w:gridSpan w:val="6"/>
          </w:tcPr>
          <w:p>
            <w:pPr>
              <w:ind w:left="140"/>
              <w:spacing w:after="0"/>
              <w:rPr>
                <w:sz w:val="20"/>
                <w:szCs w:val="20"/>
                <w:color w:val="auto"/>
              </w:rPr>
            </w:pPr>
            <w:r>
              <w:rPr>
                <w:rFonts w:ascii="Arial" w:cs="Arial" w:eastAsia="Arial" w:hAnsi="Arial"/>
                <w:sz w:val="18"/>
                <w:szCs w:val="18"/>
                <w:b w:val="1"/>
                <w:bCs w:val="1"/>
                <w:color w:val="auto"/>
                <w:w w:val="95"/>
              </w:rPr>
              <w:t>Year Ended December 31,</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250"/>
        </w:trPr>
        <w:tc>
          <w:tcPr>
            <w:tcW w:w="6080" w:type="dxa"/>
            <w:vAlign w:val="bottom"/>
          </w:tcPr>
          <w:p>
            <w:pPr>
              <w:spacing w:after="0"/>
              <w:rPr>
                <w:sz w:val="21"/>
                <w:szCs w:val="21"/>
                <w:color w:val="auto"/>
              </w:rPr>
            </w:pPr>
          </w:p>
        </w:tc>
        <w:tc>
          <w:tcPr>
            <w:tcW w:w="15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264"/>
        </w:trPr>
        <w:tc>
          <w:tcPr>
            <w:tcW w:w="60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5"/>
                <w:szCs w:val="25"/>
                <w:color w:val="auto"/>
                <w:vertAlign w:val="superscript"/>
              </w:rPr>
              <w:t>(1)</w:t>
            </w:r>
          </w:p>
        </w:tc>
        <w:tc>
          <w:tcPr>
            <w:tcW w:w="15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80" w:type="dxa"/>
            <w:vAlign w:val="bottom"/>
            <w:gridSpan w:val="4"/>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720" w:type="dxa"/>
            <w:vAlign w:val="bottom"/>
          </w:tcPr>
          <w:p>
            <w:pPr>
              <w:ind w:left="20"/>
              <w:spacing w:after="0"/>
              <w:rPr>
                <w:sz w:val="20"/>
                <w:szCs w:val="20"/>
                <w:color w:val="auto"/>
              </w:rPr>
            </w:pPr>
            <w:r>
              <w:rPr>
                <w:rFonts w:ascii="Arial" w:cs="Arial" w:eastAsia="Arial" w:hAnsi="Arial"/>
                <w:sz w:val="18"/>
                <w:szCs w:val="18"/>
                <w:color w:val="auto"/>
              </w:rPr>
              <w:t>- 2.2%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920" w:type="dxa"/>
            <w:vAlign w:val="bottom"/>
          </w:tcPr>
          <w:p>
            <w:pPr>
              <w:ind w:left="20"/>
              <w:spacing w:after="0"/>
              <w:rPr>
                <w:sz w:val="20"/>
                <w:szCs w:val="20"/>
                <w:color w:val="auto"/>
              </w:rPr>
            </w:pPr>
            <w:r>
              <w:rPr>
                <w:rFonts w:ascii="Arial" w:cs="Arial" w:eastAsia="Arial" w:hAnsi="Arial"/>
                <w:sz w:val="18"/>
                <w:szCs w:val="18"/>
                <w:color w:val="auto"/>
              </w:rPr>
              <w:t>- 2.9%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900" w:type="dxa"/>
            <w:vAlign w:val="bottom"/>
          </w:tcPr>
          <w:p>
            <w:pPr>
              <w:ind w:left="20"/>
              <w:spacing w:after="0"/>
              <w:rPr>
                <w:sz w:val="20"/>
                <w:szCs w:val="20"/>
                <w:color w:val="auto"/>
              </w:rPr>
            </w:pPr>
            <w:r>
              <w:rPr>
                <w:rFonts w:ascii="Arial" w:cs="Arial" w:eastAsia="Arial" w:hAnsi="Arial"/>
                <w:sz w:val="18"/>
                <w:szCs w:val="18"/>
                <w:color w:val="auto"/>
              </w:rPr>
              <w:t>- 2.2%</w:t>
            </w:r>
          </w:p>
        </w:tc>
      </w:tr>
      <w:tr>
        <w:trPr>
          <w:trHeight w:val="270"/>
        </w:trPr>
        <w:tc>
          <w:tcPr>
            <w:tcW w:w="6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Expected option term - in years </w:t>
            </w:r>
            <w:r>
              <w:rPr>
                <w:rFonts w:ascii="Arial" w:cs="Arial" w:eastAsia="Arial" w:hAnsi="Arial"/>
                <w:sz w:val="25"/>
                <w:szCs w:val="25"/>
                <w:color w:val="auto"/>
                <w:vertAlign w:val="superscript"/>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- 5.2</w:t>
            </w:r>
          </w:p>
        </w:tc>
      </w:tr>
      <w:tr>
        <w:trPr>
          <w:trHeight w:val="328"/>
        </w:trPr>
        <w:tc>
          <w:tcPr>
            <w:tcW w:w="6080" w:type="dxa"/>
            <w:vAlign w:val="bottom"/>
          </w:tcPr>
          <w:p>
            <w:pPr>
              <w:ind w:left="40"/>
              <w:spacing w:after="0"/>
              <w:rPr>
                <w:sz w:val="20"/>
                <w:szCs w:val="20"/>
                <w:color w:val="auto"/>
              </w:rPr>
            </w:pPr>
            <w:r>
              <w:rPr>
                <w:rFonts w:ascii="Arial" w:cs="Arial" w:eastAsia="Arial" w:hAnsi="Arial"/>
                <w:sz w:val="18"/>
                <w:szCs w:val="18"/>
                <w:color w:val="auto"/>
              </w:rPr>
              <w:t xml:space="preserve">Expected volatility at grant date </w:t>
            </w:r>
            <w:r>
              <w:rPr>
                <w:rFonts w:ascii="Arial" w:cs="Arial" w:eastAsia="Arial" w:hAnsi="Arial"/>
                <w:sz w:val="25"/>
                <w:szCs w:val="25"/>
                <w:color w:val="auto"/>
                <w:vertAlign w:val="superscript"/>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32.2%</w:t>
            </w:r>
          </w:p>
        </w:tc>
        <w:tc>
          <w:tcPr>
            <w:tcW w:w="720" w:type="dxa"/>
            <w:vAlign w:val="bottom"/>
          </w:tcPr>
          <w:p>
            <w:pPr>
              <w:ind w:left="20"/>
              <w:spacing w:after="0"/>
              <w:rPr>
                <w:sz w:val="20"/>
                <w:szCs w:val="20"/>
                <w:color w:val="auto"/>
              </w:rPr>
            </w:pPr>
            <w:r>
              <w:rPr>
                <w:rFonts w:ascii="Arial" w:cs="Arial" w:eastAsia="Arial" w:hAnsi="Arial"/>
                <w:sz w:val="18"/>
                <w:szCs w:val="18"/>
                <w:color w:val="auto"/>
              </w:rPr>
              <w:t>- 35.7%</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29.2%</w:t>
            </w:r>
          </w:p>
        </w:tc>
        <w:tc>
          <w:tcPr>
            <w:tcW w:w="920" w:type="dxa"/>
            <w:vAlign w:val="bottom"/>
          </w:tcPr>
          <w:p>
            <w:pPr>
              <w:ind w:left="20"/>
              <w:spacing w:after="0"/>
              <w:rPr>
                <w:sz w:val="20"/>
                <w:szCs w:val="20"/>
                <w:color w:val="auto"/>
              </w:rPr>
            </w:pPr>
            <w:r>
              <w:rPr>
                <w:rFonts w:ascii="Arial" w:cs="Arial" w:eastAsia="Arial" w:hAnsi="Arial"/>
                <w:sz w:val="18"/>
                <w:szCs w:val="18"/>
                <w:color w:val="auto"/>
              </w:rPr>
              <w:t>- 29.9%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w:t>
            </w:r>
          </w:p>
        </w:tc>
        <w:tc>
          <w:tcPr>
            <w:tcW w:w="900" w:type="dxa"/>
            <w:vAlign w:val="bottom"/>
          </w:tcPr>
          <w:p>
            <w:pPr>
              <w:ind w:left="20"/>
              <w:spacing w:after="0"/>
              <w:rPr>
                <w:sz w:val="20"/>
                <w:szCs w:val="20"/>
                <w:color w:val="auto"/>
              </w:rPr>
            </w:pPr>
            <w:r>
              <w:rPr>
                <w:rFonts w:ascii="Arial" w:cs="Arial" w:eastAsia="Arial" w:hAnsi="Arial"/>
                <w:sz w:val="18"/>
                <w:szCs w:val="18"/>
                <w:color w:val="auto"/>
              </w:rPr>
              <w:t>- 30.4%</w:t>
            </w:r>
          </w:p>
        </w:tc>
      </w:tr>
    </w:tbl>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6"/>
          <w:szCs w:val="16"/>
          <w:color w:val="auto"/>
        </w:rPr>
        <w:t>We have not paid dividends and no future dividends have been approved.</w:t>
      </w:r>
    </w:p>
    <w:p>
      <w:pPr>
        <w:spacing w:after="0" w:line="8" w:lineRule="exact"/>
        <w:rPr>
          <w:rFonts w:ascii="Arial" w:cs="Arial" w:eastAsia="Arial" w:hAnsi="Arial"/>
          <w:sz w:val="14"/>
          <w:szCs w:val="14"/>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5"/>
          <w:szCs w:val="15"/>
          <w:color w:val="auto"/>
        </w:rPr>
        <w:t>We use yield rates on U.S. Treasury securities for a period that approximates the expected term of the awards granted to estimate the risk-free interest rate.</w:t>
      </w:r>
    </w:p>
    <w:p>
      <w:pPr>
        <w:spacing w:after="0" w:line="30" w:lineRule="exact"/>
        <w:rPr>
          <w:rFonts w:ascii="Arial" w:cs="Arial" w:eastAsia="Arial" w:hAnsi="Arial"/>
          <w:sz w:val="14"/>
          <w:szCs w:val="14"/>
          <w:color w:val="auto"/>
        </w:rPr>
      </w:pPr>
    </w:p>
    <w:p>
      <w:pPr>
        <w:ind w:left="660" w:right="120" w:hanging="328"/>
        <w:spacing w:after="0" w:line="264"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6"/>
          <w:szCs w:val="16"/>
          <w:color w:val="auto"/>
        </w:rPr>
        <w:t>We estimated the expected term of the awards granted using historic data of actual time elapsed between the date of grant and the exercise or forfeiture of options or SARs for employees.</w:t>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6"/>
          <w:szCs w:val="16"/>
          <w:color w:val="auto"/>
        </w:rPr>
        <w:t>We determine the expected volatility of the awards based on historical volatility.</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detail the activity for service-based SARs and stock option awards: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Wtd. Avg.</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Wtd. Avg.</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Aggregate Intrinsic</w:t>
            </w:r>
          </w:p>
        </w:tc>
      </w:tr>
      <w:tr>
        <w:trPr>
          <w:trHeight w:val="216"/>
        </w:trPr>
        <w:tc>
          <w:tcPr>
            <w:tcW w:w="51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Term</w:t>
            </w:r>
          </w:p>
        </w:tc>
        <w:tc>
          <w:tcPr>
            <w:tcW w:w="240" w:type="dxa"/>
            <w:vAlign w:val="bottom"/>
          </w:tcPr>
          <w:p>
            <w:pPr>
              <w:spacing w:after="0"/>
              <w:rPr>
                <w:sz w:val="18"/>
                <w:szCs w:val="18"/>
                <w:color w:val="auto"/>
              </w:rPr>
            </w:pPr>
          </w:p>
        </w:tc>
        <w:tc>
          <w:tcPr>
            <w:tcW w:w="1360" w:type="dxa"/>
            <w:vAlign w:val="bottom"/>
          </w:tcPr>
          <w:p>
            <w:pPr>
              <w:jc w:val="center"/>
              <w:ind w:right="154"/>
              <w:spacing w:after="0"/>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14"/>
                <w:szCs w:val="14"/>
                <w:b w:val="1"/>
                <w:bCs w:val="1"/>
                <w:color w:val="auto"/>
                <w:w w:val="91"/>
              </w:rPr>
              <w:t>(in</w:t>
            </w:r>
          </w:p>
        </w:tc>
      </w:tr>
      <w:tr>
        <w:trPr>
          <w:trHeight w:val="26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SARs and Stock Options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Optioned Shares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per Share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34"/>
              <w:spacing w:after="0" w:line="262" w:lineRule="exact"/>
              <w:rPr>
                <w:sz w:val="20"/>
                <w:szCs w:val="20"/>
                <w:color w:val="auto"/>
              </w:rPr>
            </w:pPr>
            <w:r>
              <w:rPr>
                <w:rFonts w:ascii="Arial" w:cs="Arial" w:eastAsia="Arial" w:hAnsi="Arial"/>
                <w:sz w:val="14"/>
                <w:szCs w:val="14"/>
                <w:b w:val="1"/>
                <w:bCs w:val="1"/>
                <w:color w:val="auto"/>
                <w:w w:val="86"/>
              </w:rPr>
              <w:t xml:space="preserve">thousands) </w:t>
            </w:r>
            <w:r>
              <w:rPr>
                <w:rFonts w:ascii="Arial" w:cs="Arial" w:eastAsia="Arial" w:hAnsi="Arial"/>
                <w:sz w:val="25"/>
                <w:szCs w:val="25"/>
                <w:b w:val="1"/>
                <w:bCs w:val="1"/>
                <w:color w:val="auto"/>
                <w:w w:val="86"/>
                <w:vertAlign w:val="superscript"/>
              </w:rPr>
              <w:t>(1)</w:t>
            </w:r>
          </w:p>
        </w:tc>
      </w:tr>
      <w:tr>
        <w:trPr>
          <w:trHeight w:val="27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at December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1,941,587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591,845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96.60</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(121,534)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(171,282)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83.44</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 at December 31, 2019</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2,215,056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74.41</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7.0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22,195</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Fully vested and exercisable — end of year</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951,797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15,495</w:t>
            </w:r>
          </w:p>
        </w:tc>
      </w:tr>
      <w:tr>
        <w:trPr>
          <w:trHeight w:val="328"/>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Fully vested and expected to vest — end of year </w:t>
            </w:r>
            <w:r>
              <w:rPr>
                <w:rFonts w:ascii="Arial" w:cs="Arial" w:eastAsia="Arial" w:hAnsi="Arial"/>
                <w:sz w:val="25"/>
                <w:szCs w:val="25"/>
                <w:color w:val="auto"/>
                <w:vertAlign w:val="superscript"/>
              </w:rPr>
              <w:t>(2)</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2,173,525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74.08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7.0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22,117</w:t>
            </w:r>
          </w:p>
        </w:tc>
      </w:tr>
    </w:tbl>
    <w:p>
      <w:pPr>
        <w:ind w:left="660" w:right="160" w:hanging="328"/>
        <w:spacing w:after="0" w:line="257"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6"/>
          <w:szCs w:val="16"/>
          <w:color w:val="auto"/>
        </w:rPr>
        <w:t>The aggregate intrinsic value of SARs and options is based on the difference between the fair market value of the underlying stock at December 31, 2019, using the market closing stock price, and exercise price for in-the-money awards.</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6"/>
          <w:szCs w:val="16"/>
          <w:color w:val="auto"/>
        </w:rPr>
        <w:t>Includes the impact of expected future forfeitures.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91"/>
              </w:rPr>
              <w:t>Year Ended December 31,</w:t>
            </w:r>
          </w:p>
        </w:tc>
        <w:tc>
          <w:tcPr>
            <w:tcW w:w="13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Weighted average grant date fair value of SARs granted during the year (per</w:t>
            </w: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w:t>
            </w:r>
          </w:p>
        </w:tc>
      </w:tr>
      <w:tr>
        <w:trPr>
          <w:trHeight w:val="229"/>
        </w:trPr>
        <w:tc>
          <w:tcPr>
            <w:tcW w:w="6080" w:type="dxa"/>
            <w:vAlign w:val="bottom"/>
          </w:tcPr>
          <w:p>
            <w:pPr>
              <w:ind w:left="40"/>
              <w:spacing w:after="0"/>
              <w:rPr>
                <w:sz w:val="20"/>
                <w:szCs w:val="20"/>
                <w:color w:val="auto"/>
              </w:rPr>
            </w:pPr>
            <w:r>
              <w:rPr>
                <w:rFonts w:ascii="Arial" w:cs="Arial" w:eastAsia="Arial" w:hAnsi="Arial"/>
                <w:sz w:val="18"/>
                <w:szCs w:val="18"/>
                <w:color w:val="auto"/>
                <w:w w:val="93"/>
              </w:rPr>
              <w:t>Aggregate intrinsic value of SARs and stock options exercised during the year (in</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thousands)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2,064</w:t>
            </w: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27,281</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5,462</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Restricted Stock Units Awards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The following tables detail the activity for service-based RSU awards: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60"/>
        </w:trPr>
        <w:tc>
          <w:tcPr>
            <w:tcW w:w="7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Wtd. Avg. Grant</w:t>
            </w:r>
          </w:p>
        </w:tc>
      </w:tr>
      <w:tr>
        <w:trPr>
          <w:trHeight w:val="234"/>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RSUs</w:t>
            </w: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Number of 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Date Fair Value</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2018</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450,297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294,460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92.54</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(147,969)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74.53</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(72,955)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92.62</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2019</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523,833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84.98</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3" w:right="239" w:bottom="1440" w:gutter="0" w:footer="0" w:header="0"/>
        </w:sectPr>
      </w:pP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420"/>
          </w:cols>
          <w:pgMar w:left="240" w:top="663" w:right="2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91"/>
              </w:rPr>
              <w:t>Year Ended December 31,</w:t>
            </w:r>
          </w:p>
        </w:tc>
        <w:tc>
          <w:tcPr>
            <w:tcW w:w="13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Weighted average grant date fair value of service-based RSUs issued during the</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(per share)</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Aggregate fair value of RSUs that vested during the year (in thousands)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12,710</w:t>
            </w: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11,505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9,966</w:t>
            </w: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detail the activity for performance-based and market-based RSU awards: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Wtd. Avg. Grant Date Fair</w:t>
            </w:r>
          </w:p>
        </w:tc>
      </w:tr>
      <w:tr>
        <w:trPr>
          <w:trHeight w:val="234"/>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Performance-based and market-based RSUs</w:t>
            </w:r>
          </w:p>
        </w:tc>
        <w:tc>
          <w:tcPr>
            <w:tcW w:w="206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jc w:val="right"/>
              <w:ind w:right="770"/>
              <w:spacing w:after="0"/>
              <w:rPr>
                <w:sz w:val="20"/>
                <w:szCs w:val="20"/>
                <w:color w:val="auto"/>
              </w:rPr>
            </w:pPr>
            <w:r>
              <w:rPr>
                <w:rFonts w:ascii="Arial" w:cs="Arial" w:eastAsia="Arial" w:hAnsi="Arial"/>
                <w:sz w:val="18"/>
                <w:szCs w:val="18"/>
                <w:b w:val="1"/>
                <w:bCs w:val="1"/>
                <w:color w:val="auto"/>
              </w:rPr>
              <w:t>Value</w:t>
            </w:r>
          </w:p>
        </w:tc>
      </w:tr>
      <w:tr>
        <w:trPr>
          <w:trHeight w:val="27"/>
        </w:trPr>
        <w:tc>
          <w:tcPr>
            <w:tcW w:w="7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2018</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295,364</w:t>
            </w:r>
          </w:p>
        </w:tc>
        <w:tc>
          <w:tcPr>
            <w:tcW w:w="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56.48</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88,453</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98.50</w:t>
            </w:r>
          </w:p>
        </w:tc>
      </w:tr>
      <w:tr>
        <w:trPr>
          <w:trHeight w:val="27"/>
        </w:trPr>
        <w:tc>
          <w:tcPr>
            <w:tcW w:w="7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(69,646)</w:t>
            </w:r>
          </w:p>
        </w:tc>
        <w:tc>
          <w:tcPr>
            <w:tcW w:w="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41.52</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060" w:type="dxa"/>
            <w:vAlign w:val="bottom"/>
          </w:tcPr>
          <w:p>
            <w:pPr>
              <w:jc w:val="right"/>
              <w:spacing w:after="0"/>
              <w:rPr>
                <w:sz w:val="20"/>
                <w:szCs w:val="20"/>
                <w:color w:val="auto"/>
              </w:rPr>
            </w:pPr>
            <w:r>
              <w:rPr>
                <w:rFonts w:ascii="Arial" w:cs="Arial" w:eastAsia="Arial" w:hAnsi="Arial"/>
                <w:sz w:val="18"/>
                <w:szCs w:val="18"/>
                <w:color w:val="auto"/>
              </w:rPr>
              <w:t>(28,502)</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75.97</w:t>
            </w:r>
          </w:p>
        </w:tc>
      </w:tr>
      <w:tr>
        <w:trPr>
          <w:trHeight w:val="27"/>
        </w:trPr>
        <w:tc>
          <w:tcPr>
            <w:tcW w:w="7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2019</w:t>
            </w:r>
          </w:p>
        </w:tc>
        <w:tc>
          <w:tcPr>
            <w:tcW w:w="2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285,669</w:t>
            </w:r>
          </w:p>
        </w:tc>
        <w:tc>
          <w:tcPr>
            <w:tcW w:w="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71.02</w:t>
            </w:r>
          </w:p>
        </w:tc>
      </w:tr>
      <w:tr>
        <w:trPr>
          <w:trHeight w:val="20"/>
        </w:trPr>
        <w:tc>
          <w:tcPr>
            <w:tcW w:w="7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91"/>
              </w:rPr>
              <w:t>Year Ended December 31,</w:t>
            </w:r>
          </w:p>
        </w:tc>
        <w:tc>
          <w:tcPr>
            <w:tcW w:w="13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 performance and market-based</w:t>
            </w: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 units granted during the year (per share)</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42.11</w:t>
            </w:r>
          </w:p>
        </w:tc>
      </w:tr>
      <w:tr>
        <w:trPr>
          <w:trHeight w:val="229"/>
        </w:trPr>
        <w:tc>
          <w:tcPr>
            <w:tcW w:w="6080" w:type="dxa"/>
            <w:vAlign w:val="bottom"/>
          </w:tcPr>
          <w:p>
            <w:pPr>
              <w:ind w:left="40"/>
              <w:spacing w:after="0"/>
              <w:rPr>
                <w:sz w:val="20"/>
                <w:szCs w:val="20"/>
                <w:color w:val="auto"/>
              </w:rPr>
            </w:pPr>
            <w:r>
              <w:rPr>
                <w:rFonts w:ascii="Arial" w:cs="Arial" w:eastAsia="Arial" w:hAnsi="Arial"/>
                <w:sz w:val="18"/>
                <w:szCs w:val="18"/>
                <w:color w:val="auto"/>
                <w:w w:val="93"/>
              </w:rPr>
              <w:t>Aggregate fair value of performance and market-based restricted share units that</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vested during the year (in thousands)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6,697</w:t>
            </w: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9,409</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Employee Retirement Plans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Defined Benefit Plans</w:t>
      </w:r>
    </w:p>
    <w:p>
      <w:pPr>
        <w:spacing w:after="0" w:line="110" w:lineRule="exact"/>
        <w:rPr>
          <w:sz w:val="20"/>
          <w:szCs w:val="20"/>
          <w:color w:val="auto"/>
        </w:rPr>
      </w:pPr>
    </w:p>
    <w:p>
      <w:pPr>
        <w:ind w:right="260" w:firstLine="162"/>
        <w:spacing w:after="0" w:line="276" w:lineRule="auto"/>
        <w:rPr>
          <w:sz w:val="20"/>
          <w:szCs w:val="20"/>
          <w:color w:val="auto"/>
        </w:rPr>
      </w:pPr>
      <w:r>
        <w:rPr>
          <w:rFonts w:ascii="Arial" w:cs="Arial" w:eastAsia="Arial" w:hAnsi="Arial"/>
          <w:sz w:val="17"/>
          <w:szCs w:val="17"/>
          <w:color w:val="auto"/>
        </w:rPr>
        <w:t>We sponsor several defined benefit pension plans, which include plans in the U.S., Italy, Germany, Japan and France. We maintain a frozen cash balance retirement plan in the U.S. that is a contributory, defined benefit plan designed to provide the benefit in terms of a stated account balance dependent on the employer's promised interest-crediting rate. In Italy and France, we maintain a severance pay defined benefit plan that obligates the employer to pay a severance payment in case of resignation, dismissal or retirement. In other jurisdictions, we sponsor non-contributory, defined benefit plans designated to provide a guaranteed minimum retirement benefits to eligible employees.</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823" w:right="239" w:bottom="1440" w:gutter="0" w:footer="0" w:header="0"/>
        </w:sectPr>
      </w:pPr>
    </w:p>
    <w:bookmarkStart w:id="103" w:name="page104"/>
    <w:bookmarkEnd w:id="103"/>
    <w:p>
      <w:pPr>
        <w:ind w:left="180"/>
        <w:spacing w:after="0"/>
        <w:rPr>
          <w:sz w:val="20"/>
          <w:szCs w:val="20"/>
          <w:color w:val="auto"/>
        </w:rPr>
      </w:pPr>
      <w:r>
        <w:rPr>
          <w:rFonts w:ascii="Arial" w:cs="Arial" w:eastAsia="Arial" w:hAnsi="Arial"/>
          <w:sz w:val="18"/>
          <w:szCs w:val="18"/>
          <w:color w:val="auto"/>
        </w:rPr>
        <w:t>The change in benefit obligations and funded status of our U.S. pension benefits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2"/>
          </w:tcPr>
          <w:p>
            <w:pPr>
              <w:ind w:left="60"/>
              <w:spacing w:after="0"/>
              <w:rPr>
                <w:sz w:val="20"/>
                <w:szCs w:val="20"/>
                <w:color w:val="auto"/>
              </w:rPr>
            </w:pPr>
            <w:r>
              <w:rPr>
                <w:rFonts w:ascii="Arial" w:cs="Arial" w:eastAsia="Arial" w:hAnsi="Arial"/>
                <w:sz w:val="18"/>
                <w:szCs w:val="18"/>
                <w:b w:val="1"/>
                <w:bCs w:val="1"/>
                <w:color w:val="auto"/>
              </w:rPr>
              <w:t>U.S. Pension Benefits</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Year Ended December 31,</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obligations at year end</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10,591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11,191</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Change in projected benefit obligation:</w:t>
            </w: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settlement</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134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11,232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10,591</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11,001</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1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6,767</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6,879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Employer contributions</w:t>
            </w: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settlement</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Funded status at end of year:</w:t>
            </w: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Projected Benefit obligations</w:t>
            </w: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10,591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11,001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Underfunded status of the plans</w:t>
            </w:r>
          </w:p>
        </w:tc>
        <w:tc>
          <w:tcPr>
            <w:tcW w:w="1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Recognized liability</w:t>
            </w:r>
          </w:p>
        </w:tc>
        <w:tc>
          <w:tcPr>
            <w:tcW w:w="134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3,658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Amounts recognized on the consolidated balance sheets consist of:</w:t>
            </w:r>
          </w:p>
        </w:tc>
        <w:tc>
          <w:tcPr>
            <w:tcW w:w="1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3,824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liability</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040" w:type="dxa"/>
            <w:vAlign w:val="bottom"/>
          </w:tcPr>
          <w:p>
            <w:pPr>
              <w:spacing w:after="0"/>
              <w:rPr>
                <w:sz w:val="24"/>
                <w:szCs w:val="24"/>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F-44</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04" w:name="page105"/>
    <w:bookmarkEnd w:id="104"/>
    <w:p>
      <w:pPr>
        <w:ind w:left="180"/>
        <w:spacing w:after="0"/>
        <w:rPr>
          <w:sz w:val="20"/>
          <w:szCs w:val="20"/>
          <w:color w:val="auto"/>
        </w:rPr>
      </w:pPr>
      <w:r>
        <w:rPr>
          <w:rFonts w:ascii="Arial" w:cs="Arial" w:eastAsia="Arial" w:hAnsi="Arial"/>
          <w:sz w:val="18"/>
          <w:szCs w:val="18"/>
          <w:color w:val="auto"/>
        </w:rPr>
        <w:t>The change in benefit obligations and funded status of our non-U.S. pension benefits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Non-U.S. Pension Benefits</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Year Ended December 31,</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obligations at year end</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18,676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23,785</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Change in projected benefit obligation:</w:t>
            </w: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20,402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Actuarial loss (gain)</w:t>
            </w: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Foreign currency exchange rate changes and other</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18,087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18,975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21,548</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Change in plan assets:</w:t>
            </w: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changes</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134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 at end of year:</w:t>
            </w:r>
          </w:p>
        </w:tc>
        <w:tc>
          <w:tcPr>
            <w:tcW w:w="1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obligations</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21,548</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 xml:space="preserve">Underfunded status of the plans </w:t>
            </w:r>
            <w:r>
              <w:rPr>
                <w:rFonts w:ascii="Arial" w:cs="Arial" w:eastAsia="Arial" w:hAnsi="Arial"/>
                <w:sz w:val="25"/>
                <w:szCs w:val="25"/>
                <w:color w:val="auto"/>
                <w:vertAlign w:val="superscript"/>
              </w:rPr>
              <w:t>(1)</w:t>
            </w:r>
          </w:p>
        </w:tc>
        <w:tc>
          <w:tcPr>
            <w:tcW w:w="13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14,664</w:t>
            </w:r>
          </w:p>
        </w:tc>
        <w:tc>
          <w:tcPr>
            <w:tcW w:w="10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15,634</w:t>
            </w:r>
          </w:p>
        </w:tc>
        <w:tc>
          <w:tcPr>
            <w:tcW w:w="10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18,473</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liability</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14,664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15,634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18,473</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w w:val="92"/>
              </w:rPr>
              <w:t>Amounts recognized on the consolidated balance sheets consist of:</w:t>
            </w: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18,473</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Recognized liability</w:t>
            </w:r>
          </w:p>
        </w:tc>
        <w:tc>
          <w:tcPr>
            <w:tcW w:w="134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14,664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15,634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18,473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6"/>
          <w:szCs w:val="16"/>
          <w:color w:val="auto"/>
        </w:rPr>
        <w:t>In certain non-U.S. countries, fully funding pension plans is not a common practice. Consequently, certain pension plans have been partially funded.</w:t>
      </w:r>
    </w:p>
    <w:p>
      <w:pPr>
        <w:spacing w:after="0" w:line="68" w:lineRule="exact"/>
        <w:rPr>
          <w:rFonts w:ascii="Arial" w:cs="Arial" w:eastAsia="Arial" w:hAnsi="Arial"/>
          <w:sz w:val="14"/>
          <w:szCs w:val="14"/>
          <w:color w:val="auto"/>
        </w:rPr>
      </w:pPr>
    </w:p>
    <w:p>
      <w:pPr>
        <w:ind w:left="180"/>
        <w:spacing w:after="0"/>
        <w:rPr>
          <w:rFonts w:ascii="Arial" w:cs="Arial" w:eastAsia="Arial" w:hAnsi="Arial"/>
          <w:sz w:val="14"/>
          <w:szCs w:val="14"/>
          <w:color w:val="auto"/>
        </w:rPr>
      </w:pPr>
      <w:r>
        <w:rPr>
          <w:rFonts w:ascii="Arial" w:cs="Arial" w:eastAsia="Arial" w:hAnsi="Arial"/>
          <w:sz w:val="18"/>
          <w:szCs w:val="18"/>
          <w:color w:val="auto"/>
        </w:rPr>
        <w:t>The tables below present net periodic benefit cost of the defined benefit pension plans by component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U.S. Pension Benefits</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500" w:type="dxa"/>
            <w:vAlign w:val="bottom"/>
            <w:tcBorders>
              <w:bottom w:val="single" w:sz="8" w:color="CCEEFF"/>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5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4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and curtailment loss</w:t>
            </w: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15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527</w:t>
            </w:r>
          </w:p>
        </w:tc>
      </w:tr>
      <w:tr>
        <w:trPr>
          <w:trHeight w:val="27"/>
        </w:trPr>
        <w:tc>
          <w:tcPr>
            <w:tcW w:w="47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r>
      <w:tr>
        <w:trPr>
          <w:trHeight w:val="20"/>
        </w:trPr>
        <w:tc>
          <w:tcPr>
            <w:tcW w:w="4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743"/>
        </w:trPr>
        <w:tc>
          <w:tcPr>
            <w:tcW w:w="470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F-45</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Non-U.S. Pension Benefits</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4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291</w:t>
            </w:r>
          </w:p>
        </w:tc>
      </w:tr>
      <w:tr>
        <w:trPr>
          <w:trHeight w:val="27"/>
        </w:trPr>
        <w:tc>
          <w:tcPr>
            <w:tcW w:w="4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net actuarial loss (gain)</w:t>
            </w:r>
          </w:p>
        </w:tc>
        <w:tc>
          <w:tcPr>
            <w:tcW w:w="14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1480" w:type="dxa"/>
            <w:vAlign w:val="bottom"/>
            <w:tcBorders>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r>
      <w:tr>
        <w:trPr>
          <w:trHeight w:val="20"/>
        </w:trPr>
        <w:tc>
          <w:tcPr>
            <w:tcW w:w="4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To determine the discount rate for our U.S. benefit plan, we used the FTSE Above Median Pension Discount Curve. For the discount rate used for the other non-U.S. benefit plans we consider local market expectations of long-term returns, primarily utilizing the Iboxx Corporate Index Bond rating AA, duration higher than 10 years. The resulting discount rates are consistent with the duration of plan liabilities.</w:t>
      </w:r>
    </w:p>
    <w:p>
      <w:pPr>
        <w:spacing w:after="0" w:line="73"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The expected long-term rate of return on plan assets assumption for our U.S. benefit plan was derived from a study conducted by our investment managers. The study includes a review of anticipated future long-term performance of individual asset classes and consideration of the appropriate asset allocation strategy given the anticipated requirements of the plan to determine the average rate of earnings expected on the funds invested to provide for the pension plan benefits.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Major actuarial assumptions used in determining the benefit obligations and net periodic benefit cost for our significant U.S. benefit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are presented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ind w:left="240"/>
              <w:spacing w:after="0"/>
              <w:rPr>
                <w:sz w:val="20"/>
                <w:szCs w:val="20"/>
                <w:color w:val="auto"/>
              </w:rPr>
            </w:pPr>
            <w:r>
              <w:rPr>
                <w:rFonts w:ascii="Arial" w:cs="Arial" w:eastAsia="Arial" w:hAnsi="Arial"/>
                <w:sz w:val="18"/>
                <w:szCs w:val="18"/>
                <w:b w:val="1"/>
                <w:bCs w:val="1"/>
                <w:color w:val="auto"/>
              </w:rPr>
              <w:t>U.S. Pension Benefits</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Weighted-average assumptions used to determine benefit</w:t>
            </w: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obligation:</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3.28%</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2"/>
              </w:rPr>
              <w:t>Weighted-average assumptions used to determine net periodic</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benefit cost:</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5.00%</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Major actuarial assumptions used in determining the benefit obligations and net periodic benefit cost for our significant non-U.S. benefit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are presented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Non-U.S. Pension Benefits</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Weighted-average assumptions used to determine benefit</w:t>
            </w: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obligation:</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0.20% - 0.71%</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0.20% - 1.55%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0.27% - 2.73%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2.50% - 3.00%</w:t>
            </w: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2.50% - 3.00%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2.50% - 3.00%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Weighted-average assumptions used to determine net periodic</w:t>
            </w:r>
          </w:p>
        </w:tc>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cost:</w:t>
            </w:r>
          </w:p>
        </w:tc>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0.20% - 0.71%</w:t>
            </w: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0.27% - 1.55%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0.27% - 2.73%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2.50% - 3.00%</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2.50% - 3.00%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2.50% - 3.00%</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 Plan Investment Strategy</w:t>
      </w:r>
    </w:p>
    <w:p>
      <w:pPr>
        <w:spacing w:after="0" w:line="117" w:lineRule="exact"/>
        <w:rPr>
          <w:sz w:val="20"/>
          <w:szCs w:val="20"/>
          <w:color w:val="auto"/>
        </w:rPr>
      </w:pPr>
    </w:p>
    <w:p>
      <w:pPr>
        <w:ind w:right="20" w:firstLine="162"/>
        <w:spacing w:after="0" w:line="297" w:lineRule="auto"/>
        <w:rPr>
          <w:sz w:val="20"/>
          <w:szCs w:val="20"/>
          <w:color w:val="auto"/>
        </w:rPr>
      </w:pPr>
      <w:r>
        <w:rPr>
          <w:rFonts w:ascii="Arial" w:cs="Arial" w:eastAsia="Arial" w:hAnsi="Arial"/>
          <w:sz w:val="16"/>
          <w:szCs w:val="16"/>
          <w:color w:val="auto"/>
        </w:rPr>
        <w:t>In the U.S., we have an account that holds the defined benefit frozen balance pension plan assets. The Qualified Plan Committee (the “Plan Committee”) sets investment guidelines for U.S. pension plans. The plan assets in the U.S. are invested in accordance with sound investment practices that emphasize long-term fundamentals. The investment objectives for the plan assets in the U.S. are to achieve a positive rate of return that would be expected to close the current funding deficit and so enable us to terminate the frozen pension plan at a reasonable cost. The Plan Committee also oversees the investment allocation process, selects the investment managers, and monitors asset performance. The investment portfolio contains a diversified</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823" w:right="239" w:bottom="1440" w:gutter="0" w:footer="0" w:header="0"/>
        </w:sectPr>
      </w:pPr>
    </w:p>
    <w:bookmarkStart w:id="106" w:name="page107"/>
    <w:bookmarkEnd w:id="106"/>
    <w:p>
      <w:pPr>
        <w:ind w:right="620"/>
        <w:spacing w:after="0" w:line="277" w:lineRule="auto"/>
        <w:rPr>
          <w:sz w:val="20"/>
          <w:szCs w:val="20"/>
          <w:color w:val="auto"/>
        </w:rPr>
      </w:pPr>
      <w:r>
        <w:rPr>
          <w:rFonts w:ascii="Arial" w:cs="Arial" w:eastAsia="Arial" w:hAnsi="Arial"/>
          <w:sz w:val="18"/>
          <w:szCs w:val="18"/>
          <w:color w:val="auto"/>
        </w:rPr>
        <w:t>portfolio of fixed income and equity index funds. Securities are also diversified in terms of domestic and international securities, short- and long-term securities, growth and value styles, large cap and small cap stocks.</w:t>
      </w:r>
    </w:p>
    <w:p>
      <w:pPr>
        <w:spacing w:after="0" w:line="62"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Outside the U.S., pension plan assets are typically managed by decentralized fiduciary committees. There is a significant variation in policy asset allocation from country to country. Local regulations, local funding rules, and local financial and tax considerations are part of the funding and investment allocation process in each country.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presents our U.S. pension plan target allocations by asset category as of December 31,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5780" w:type="dxa"/>
            <w:vAlign w:val="bottom"/>
            <w:shd w:val="clear" w:color="auto" w:fill="CCEEFF"/>
          </w:tcPr>
          <w:p>
            <w:pPr>
              <w:jc w:val="center"/>
              <w:ind w:left="3290"/>
              <w:spacing w:after="0"/>
              <w:rPr>
                <w:sz w:val="20"/>
                <w:szCs w:val="20"/>
                <w:color w:val="auto"/>
              </w:rPr>
            </w:pPr>
            <w:r>
              <w:rPr>
                <w:rFonts w:ascii="Arial" w:cs="Arial" w:eastAsia="Arial" w:hAnsi="Arial"/>
                <w:sz w:val="18"/>
                <w:szCs w:val="18"/>
                <w:color w:val="auto"/>
                <w:w w:val="88"/>
              </w:rPr>
              <w:t>30%</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5780" w:type="dxa"/>
            <w:vAlign w:val="bottom"/>
          </w:tcPr>
          <w:p>
            <w:pPr>
              <w:jc w:val="center"/>
              <w:ind w:left="3290"/>
              <w:spacing w:after="0"/>
              <w:rPr>
                <w:sz w:val="20"/>
                <w:szCs w:val="20"/>
                <w:color w:val="auto"/>
              </w:rPr>
            </w:pPr>
            <w:r>
              <w:rPr>
                <w:rFonts w:ascii="Arial" w:cs="Arial" w:eastAsia="Arial" w:hAnsi="Arial"/>
                <w:sz w:val="18"/>
                <w:szCs w:val="18"/>
                <w:color w:val="auto"/>
                <w:w w:val="88"/>
              </w:rPr>
              <w:t>69%</w:t>
            </w:r>
          </w:p>
        </w:tc>
      </w:tr>
      <w:tr>
        <w:trPr>
          <w:trHeight w:val="27"/>
        </w:trPr>
        <w:tc>
          <w:tcPr>
            <w:tcW w:w="564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43"/>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780" w:type="dxa"/>
            <w:vAlign w:val="bottom"/>
            <w:shd w:val="clear" w:color="auto" w:fill="CCEEFF"/>
          </w:tcPr>
          <w:p>
            <w:pPr>
              <w:jc w:val="center"/>
              <w:ind w:left="3290"/>
              <w:spacing w:after="0"/>
              <w:rPr>
                <w:sz w:val="20"/>
                <w:szCs w:val="20"/>
                <w:color w:val="auto"/>
              </w:rPr>
            </w:pPr>
            <w:r>
              <w:rPr>
                <w:rFonts w:ascii="Arial" w:cs="Arial" w:eastAsia="Arial" w:hAnsi="Arial"/>
                <w:sz w:val="18"/>
                <w:szCs w:val="18"/>
                <w:color w:val="auto"/>
                <w:w w:val="92"/>
              </w:rPr>
              <w:t>1%</w:t>
            </w:r>
          </w:p>
        </w:tc>
      </w:tr>
      <w:tr>
        <w:trPr>
          <w:trHeight w:val="27"/>
        </w:trPr>
        <w:tc>
          <w:tcPr>
            <w:tcW w:w="5640" w:type="dxa"/>
            <w:vAlign w:val="bottom"/>
            <w:shd w:val="clear" w:color="auto" w:fill="CCEEFF"/>
          </w:tcPr>
          <w:p>
            <w:pPr>
              <w:spacing w:after="0"/>
              <w:rPr>
                <w:sz w:val="2"/>
                <w:szCs w:val="2"/>
                <w:color w:val="auto"/>
              </w:rPr>
            </w:pPr>
          </w:p>
        </w:tc>
        <w:tc>
          <w:tcPr>
            <w:tcW w:w="57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 Fair Values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is a description of the valuation methodologies used for retirement benefit plan assets measured at fair value:</w:t>
      </w:r>
    </w:p>
    <w:p>
      <w:pPr>
        <w:spacing w:after="0" w:line="117"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i w:val="1"/>
          <w:iCs w:val="1"/>
          <w:color w:val="auto"/>
        </w:rPr>
        <w:t xml:space="preserve">Equity Mutual Funds: </w:t>
      </w:r>
      <w:r>
        <w:rPr>
          <w:rFonts w:ascii="Arial" w:cs="Arial" w:eastAsia="Arial" w:hAnsi="Arial"/>
          <w:sz w:val="18"/>
          <w:szCs w:val="18"/>
          <w:color w:val="auto"/>
        </w:rPr>
        <w:t>Valued based on the year-end net asset values of the investment vehicles. The net asset values of the investment vehicles are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the underlying investments of the partnerships valued at the closing price reported in the active markets in which the individual security is traded. Equity mutual funds have a daily reported net asset value.</w:t>
      </w:r>
    </w:p>
    <w:p>
      <w:pPr>
        <w:spacing w:after="0" w:line="73" w:lineRule="exact"/>
        <w:rPr>
          <w:sz w:val="20"/>
          <w:szCs w:val="20"/>
          <w:color w:val="auto"/>
        </w:rPr>
      </w:pPr>
    </w:p>
    <w:p>
      <w:pPr>
        <w:ind w:right="160" w:firstLine="162"/>
        <w:spacing w:after="0" w:line="342" w:lineRule="auto"/>
        <w:rPr>
          <w:sz w:val="20"/>
          <w:szCs w:val="20"/>
          <w:color w:val="auto"/>
        </w:rPr>
      </w:pPr>
      <w:r>
        <w:rPr>
          <w:rFonts w:ascii="Arial" w:cs="Arial" w:eastAsia="Arial" w:hAnsi="Arial"/>
          <w:sz w:val="16"/>
          <w:szCs w:val="16"/>
          <w:i w:val="1"/>
          <w:iCs w:val="1"/>
          <w:color w:val="auto"/>
        </w:rPr>
        <w:t xml:space="preserve">Fixed Income Mutual Funds: </w:t>
      </w:r>
      <w:r>
        <w:rPr>
          <w:rFonts w:ascii="Arial" w:cs="Arial" w:eastAsia="Arial" w:hAnsi="Arial"/>
          <w:sz w:val="16"/>
          <w:szCs w:val="16"/>
          <w:color w:val="auto"/>
        </w:rPr>
        <w:t>Valued based on the year-end net asset values of the investment vehicles. The net asset values of the investment vehicles are</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fair values of the underlying investments of the partnerships valued based on inputs other than quoted prices that are observable.</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Money Markets: </w:t>
      </w:r>
      <w:r>
        <w:rPr>
          <w:rFonts w:ascii="Arial" w:cs="Arial" w:eastAsia="Arial" w:hAnsi="Arial"/>
          <w:sz w:val="18"/>
          <w:szCs w:val="18"/>
          <w:color w:val="auto"/>
        </w:rPr>
        <w:t>Valued based on quoted prices in active markets for identical assets.</w:t>
      </w:r>
    </w:p>
    <w:p>
      <w:pPr>
        <w:spacing w:after="0" w:line="117"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The following tables provide information by level for the retirement benefit plan assets that are measured at fair value, as defined by U.S. GAAP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5"/>
              </w:rPr>
              <w:t>Fair Value as of December</w:t>
            </w:r>
          </w:p>
        </w:tc>
        <w:tc>
          <w:tcPr>
            <w:tcW w:w="340" w:type="dxa"/>
            <w:vAlign w:val="bottom"/>
          </w:tcPr>
          <w:p>
            <w:pPr>
              <w:spacing w:after="0"/>
              <w:rPr>
                <w:sz w:val="20"/>
                <w:szCs w:val="20"/>
                <w:color w:val="auto"/>
              </w:rPr>
            </w:pPr>
          </w:p>
        </w:tc>
        <w:tc>
          <w:tcPr>
            <w:tcW w:w="498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0"/>
              </w:rPr>
              <w:t>Fair Value Measurement Using Inputs Considered as:</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0" w:type="dxa"/>
            <w:vAlign w:val="bottom"/>
            <w:gridSpan w:val="3"/>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Pr>
          <w:p>
            <w:pPr>
              <w:jc w:val="right"/>
              <w:ind w:right="650"/>
              <w:spacing w:after="0"/>
              <w:rPr>
                <w:sz w:val="20"/>
                <w:szCs w:val="20"/>
                <w:color w:val="auto"/>
              </w:rPr>
            </w:pPr>
            <w:r>
              <w:rPr>
                <w:rFonts w:ascii="Arial" w:cs="Arial" w:eastAsia="Arial" w:hAnsi="Arial"/>
                <w:sz w:val="18"/>
                <w:szCs w:val="18"/>
                <w:b w:val="1"/>
                <w:bCs w:val="1"/>
                <w:color w:val="auto"/>
              </w:rPr>
              <w:t>31, 2019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Level 2</w:t>
            </w:r>
          </w:p>
        </w:tc>
        <w:tc>
          <w:tcPr>
            <w:tcW w:w="3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mutual funds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Fixed income mutual funds</w:t>
            </w:r>
          </w:p>
        </w:tc>
        <w:tc>
          <w:tcPr>
            <w:tcW w:w="42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4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7,561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5"/>
              </w:rPr>
              <w:t>Fair Value as of December</w:t>
            </w:r>
          </w:p>
        </w:tc>
        <w:tc>
          <w:tcPr>
            <w:tcW w:w="340" w:type="dxa"/>
            <w:vAlign w:val="bottom"/>
          </w:tcPr>
          <w:p>
            <w:pPr>
              <w:spacing w:after="0"/>
              <w:rPr>
                <w:sz w:val="20"/>
                <w:szCs w:val="20"/>
                <w:color w:val="auto"/>
              </w:rPr>
            </w:pPr>
          </w:p>
        </w:tc>
        <w:tc>
          <w:tcPr>
            <w:tcW w:w="498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0"/>
              </w:rPr>
              <w:t>Fair Value Measurement Using Inputs Considered as:</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0" w:type="dxa"/>
            <w:vAlign w:val="bottom"/>
            <w:gridSpan w:val="3"/>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Pr>
          <w:p>
            <w:pPr>
              <w:jc w:val="right"/>
              <w:ind w:right="650"/>
              <w:spacing w:after="0"/>
              <w:rPr>
                <w:sz w:val="20"/>
                <w:szCs w:val="20"/>
                <w:color w:val="auto"/>
              </w:rPr>
            </w:pPr>
            <w:r>
              <w:rPr>
                <w:rFonts w:ascii="Arial" w:cs="Arial" w:eastAsia="Arial" w:hAnsi="Arial"/>
                <w:sz w:val="18"/>
                <w:szCs w:val="18"/>
                <w:b w:val="1"/>
                <w:bCs w:val="1"/>
                <w:color w:val="auto"/>
              </w:rPr>
              <w:t>31, 2018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Level 2</w:t>
            </w:r>
          </w:p>
        </w:tc>
        <w:tc>
          <w:tcPr>
            <w:tcW w:w="3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mutual funds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Fixed income mutual funds</w:t>
            </w:r>
          </w:p>
        </w:tc>
        <w:tc>
          <w:tcPr>
            <w:tcW w:w="42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4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6,767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Refer to “Note 2. Basis of Presentation, Use of Accounting Estimates and Significant Accounting Policies” for discussion of the fair value measurement terms of Levels 1, 2, and 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Retirement Funding</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make the minimum required contribution to fund the U.S. pension plan as determined by MAP - 21 and the Highway and Transportation Funding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2014 (“HAFTA”). We contributed $0.9 million, $1.4 million and $1.2 million to the pension plans (U.S. and non-U.S.) during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2018 and 2017, respectively. We anticipate that we will make contributions to the U.S. pension plan of approximately $1.4 million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2020.</w:t>
      </w: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665" w:right="239" w:bottom="1440" w:gutter="0" w:footer="0" w:header="0"/>
        </w:sectPr>
      </w:pPr>
    </w:p>
    <w:bookmarkStart w:id="107" w:name="page108"/>
    <w:bookmarkEnd w:id="107"/>
    <w:p>
      <w:pPr>
        <w:ind w:right="60" w:firstLine="162"/>
        <w:spacing w:after="0" w:line="277" w:lineRule="auto"/>
        <w:rPr>
          <w:sz w:val="20"/>
          <w:szCs w:val="20"/>
          <w:color w:val="auto"/>
        </w:rPr>
      </w:pPr>
      <w:r>
        <w:rPr>
          <w:rFonts w:ascii="Arial" w:cs="Arial" w:eastAsia="Arial" w:hAnsi="Arial"/>
          <w:sz w:val="18"/>
          <w:szCs w:val="18"/>
          <w:color w:val="auto"/>
        </w:rPr>
        <w:t>Benefit payments, including amounts to be paid from our assets, and reflecting expected future service as of December 31, 2019, are expected to be paid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720" w:type="dxa"/>
            <w:vAlign w:val="bottom"/>
            <w:gridSpan w:val="2"/>
          </w:tcPr>
          <w:p>
            <w:pPr>
              <w:ind w:left="420"/>
              <w:spacing w:after="0"/>
              <w:rPr>
                <w:sz w:val="20"/>
                <w:szCs w:val="20"/>
                <w:color w:val="auto"/>
              </w:rPr>
            </w:pPr>
            <w:r>
              <w:rPr>
                <w:rFonts w:ascii="Arial" w:cs="Arial" w:eastAsia="Arial" w:hAnsi="Arial"/>
                <w:sz w:val="18"/>
                <w:szCs w:val="18"/>
                <w:b w:val="1"/>
                <w:bCs w:val="1"/>
                <w:color w:val="auto"/>
              </w:rPr>
              <w:t>U.S. Plans</w:t>
            </w: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rPr>
              <w:t>Non-U.S. Plans</w:t>
            </w:r>
          </w:p>
        </w:tc>
      </w:tr>
      <w:tr>
        <w:trPr>
          <w:trHeight w:val="27"/>
        </w:trPr>
        <w:tc>
          <w:tcPr>
            <w:tcW w:w="8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2021</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723</w:t>
            </w:r>
          </w:p>
        </w:tc>
      </w:tr>
      <w:tr>
        <w:trPr>
          <w:trHeight w:val="27"/>
        </w:trPr>
        <w:tc>
          <w:tcPr>
            <w:tcW w:w="8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2023</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1,066</w:t>
            </w:r>
          </w:p>
        </w:tc>
      </w:tr>
      <w:tr>
        <w:trPr>
          <w:trHeight w:val="27"/>
        </w:trPr>
        <w:tc>
          <w:tcPr>
            <w:tcW w:w="8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2025 - 2029</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5,327</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Indemnity</w:t>
      </w:r>
    </w:p>
    <w:p>
      <w:pPr>
        <w:spacing w:after="0" w:line="117" w:lineRule="exact"/>
        <w:rPr>
          <w:sz w:val="20"/>
          <w:szCs w:val="20"/>
          <w:color w:val="auto"/>
        </w:rPr>
      </w:pPr>
    </w:p>
    <w:p>
      <w:pPr>
        <w:ind w:right="40" w:firstLine="162"/>
        <w:spacing w:after="0" w:line="297" w:lineRule="auto"/>
        <w:rPr>
          <w:sz w:val="20"/>
          <w:szCs w:val="20"/>
          <w:color w:val="auto"/>
        </w:rPr>
      </w:pPr>
      <w:r>
        <w:rPr>
          <w:rFonts w:ascii="Arial" w:cs="Arial" w:eastAsia="Arial" w:hAnsi="Arial"/>
          <w:sz w:val="16"/>
          <w:szCs w:val="16"/>
          <w:color w:val="auto"/>
        </w:rPr>
        <w:t>In Italy, upon termination of employment for any reason, employers are required to pay a termination indemnity (</w:t>
      </w:r>
      <w:r>
        <w:rPr>
          <w:rFonts w:ascii="Arial" w:cs="Arial" w:eastAsia="Arial" w:hAnsi="Arial"/>
          <w:sz w:val="16"/>
          <w:szCs w:val="16"/>
          <w:i w:val="1"/>
          <w:iCs w:val="1"/>
          <w:color w:val="auto"/>
        </w:rPr>
        <w:t>Trattamento di fine Rapporto</w:t>
      </w:r>
      <w:r>
        <w:rPr>
          <w:rFonts w:ascii="Arial" w:cs="Arial" w:eastAsia="Arial" w:hAnsi="Arial"/>
          <w:sz w:val="16"/>
          <w:szCs w:val="16"/>
          <w:color w:val="auto"/>
        </w:rPr>
        <w:t xml:space="preserve"> or “TFR”) to all employees as required by Italian Civil Code. The TFR serves as a backup in the event of redundancy or as an additional pension benefit after retirement. The TFR is considered a defined contribution plan with respect to amounts vesting as of January 1, 2007 for employees who have opted for supplementary pensions, or who have chosen to maintain the TFR at the company, for companies with more than 50 employees. We have incurred expenses related to the Italian TFR of approximately $1.0 million, $(0.2) million and $0.4 million for the years ended December 31, 2019, 2018 and 2017,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color w:val="auto"/>
        </w:rPr>
        <w:t>Defined Contribution Plans</w:t>
      </w:r>
    </w:p>
    <w:p>
      <w:pPr>
        <w:spacing w:after="0" w:line="110"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We sponsor defined contribution plans in the U.S. including the Cyberonics, Inc. Employee Retirement Savings Plan, which qualifies under Section 401(k) of the IRC covering U.S. employees and the Cyberonics, Inc. Non-Qualified Deferred Compensation Plan (the “Deferred Compensation”), covering certain U.S. middle and senior management. In addition, we sponsor the Belgium Defined Contribution Pension Plan for Cyberonics’ Belgium employees. We incurred expenses for our defined contribution plans of $12.4 million, $12.0 million and $13.9 million for the years ended December 31, 2019, 2018 and 2017,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Income Taxes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Earnings Before Income Taxes and Components of Income Tax Provision</w:t>
      </w:r>
    </w:p>
    <w:p>
      <w:pPr>
        <w:spacing w:after="0" w:line="11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The U.S. and non-U.S. components of income (loss) from continuing operations before income taxes and our income tax expense (benefit) from continuing operations (in thousands):</w:t>
      </w:r>
    </w:p>
    <w:p>
      <w:pPr>
        <w:spacing w:after="0" w:line="112"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3395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080" w:type="dxa"/>
            <w:vAlign w:val="bottom"/>
            <w:vMerge w:val="restart"/>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UK and Non-U.S.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71,980</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U.S.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(214,482)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(306,975)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49,158</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121,138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6"/>
              </w:rPr>
              <w:t>Total income tax expense (benefit) from continuing operations consisted of the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following:</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UK and Non-U.S.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9,645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12,771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26,743</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10,936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39,514</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UK and Non-U.S.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14,580</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(26,277)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(80,565)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10,440</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(benefit) expense from continuing operations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49,954</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5620"/>
              <w:spacing w:after="0"/>
              <w:rPr>
                <w:sz w:val="20"/>
                <w:szCs w:val="20"/>
                <w:color w:val="auto"/>
              </w:rPr>
            </w:pPr>
            <w:r>
              <w:rPr>
                <w:rFonts w:ascii="Arial" w:cs="Arial" w:eastAsia="Arial" w:hAnsi="Arial"/>
                <w:sz w:val="18"/>
                <w:szCs w:val="18"/>
                <w:color w:val="auto"/>
              </w:rPr>
              <w:t>F-48</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60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Effective Income Tax Rate Reconciliation</w:t>
      </w:r>
    </w:p>
    <w:p>
      <w:pPr>
        <w:spacing w:after="0" w:line="11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and the changes in tax laws, our consolidated effective income tax rate may vary from one reporting period to another.</w:t>
      </w:r>
    </w:p>
    <w:p>
      <w:pPr>
        <w:spacing w:after="0" w:line="79"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The following table is a reconciliation of the statutory income tax rate to our effective income tax rate expressed as a percentage of income from continuing operations before income taxes:</w:t>
      </w:r>
    </w:p>
    <w:p>
      <w:pPr>
        <w:spacing w:after="0" w:line="112"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ind w:left="6560"/>
              <w:spacing w:after="0"/>
              <w:rPr>
                <w:sz w:val="20"/>
                <w:szCs w:val="20"/>
                <w:color w:val="auto"/>
              </w:rPr>
            </w:pPr>
            <w:r>
              <w:rPr>
                <w:rFonts w:ascii="Arial" w:cs="Arial" w:eastAsia="Arial" w:hAnsi="Arial"/>
                <w:sz w:val="18"/>
                <w:szCs w:val="18"/>
                <w:b w:val="1"/>
                <w:bCs w:val="1"/>
                <w:color w:val="auto"/>
                <w:w w:val="99"/>
              </w:rPr>
              <w:t>2019</w:t>
            </w:r>
          </w:p>
        </w:tc>
        <w:tc>
          <w:tcPr>
            <w:tcW w:w="19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7"/>
        </w:trPr>
        <w:tc>
          <w:tcPr>
            <w:tcW w:w="5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Statutory tax rate at UK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Deferred tax valuation allowance</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(17.6)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10.6</w:t>
            </w:r>
          </w:p>
        </w:tc>
      </w:tr>
      <w:tr>
        <w:trPr>
          <w:trHeight w:val="27"/>
        </w:trPr>
        <w:tc>
          <w:tcPr>
            <w:tcW w:w="5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tax rate differential</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U.S. state and local tax expense, net of federal benefit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7"/>
        </w:trPr>
        <w:tc>
          <w:tcPr>
            <w:tcW w:w="5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changes in tax rate</w:t>
            </w: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(19.9)</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Write-off/impairment of investments</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(14.8)</w:t>
            </w:r>
          </w:p>
        </w:tc>
      </w:tr>
      <w:tr>
        <w:trPr>
          <w:trHeight w:val="27"/>
        </w:trPr>
        <w:tc>
          <w:tcPr>
            <w:tcW w:w="5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tax credits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7"/>
        </w:trPr>
        <w:tc>
          <w:tcPr>
            <w:tcW w:w="5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UK CFC tax</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U.S. tax on non-U.S. operations</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1.5</w:t>
            </w:r>
          </w:p>
        </w:tc>
      </w:tr>
      <w:tr>
        <w:trPr>
          <w:trHeight w:val="27"/>
        </w:trPr>
        <w:tc>
          <w:tcPr>
            <w:tcW w:w="5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Base erosion anti-abuse tax</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Exempt income</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(13.5)</w:t>
            </w:r>
          </w:p>
        </w:tc>
      </w:tr>
      <w:tr>
        <w:trPr>
          <w:trHeight w:val="27"/>
        </w:trPr>
        <w:tc>
          <w:tcPr>
            <w:tcW w:w="5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Transaction costs</w:t>
            </w:r>
          </w:p>
        </w:tc>
        <w:tc>
          <w:tcPr>
            <w:tcW w:w="1920" w:type="dxa"/>
            <w:vAlign w:val="bottom"/>
            <w:tcBorders>
              <w:bottom w:val="single" w:sz="8" w:color="CCEEFF"/>
            </w:tcBorders>
            <w:gridSpan w:val="3"/>
            <w:shd w:val="clear" w:color="auto" w:fill="CCEEFF"/>
          </w:tcPr>
          <w:p>
            <w:pPr>
              <w:jc w:val="right"/>
              <w:ind w:right="15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Sale of intellectual property</w:t>
            </w:r>
          </w:p>
        </w:tc>
        <w:tc>
          <w:tcPr>
            <w:tcW w:w="1920" w:type="dxa"/>
            <w:vAlign w:val="bottom"/>
            <w:gridSpan w:val="3"/>
          </w:tcPr>
          <w:p>
            <w:pPr>
              <w:jc w:val="right"/>
              <w:ind w:right="1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44.3</w:t>
            </w:r>
          </w:p>
        </w:tc>
      </w:tr>
      <w:tr>
        <w:trPr>
          <w:trHeight w:val="27"/>
        </w:trPr>
        <w:tc>
          <w:tcPr>
            <w:tcW w:w="5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manufacturing deduction</w:t>
            </w:r>
          </w:p>
        </w:tc>
        <w:tc>
          <w:tcPr>
            <w:tcW w:w="1920" w:type="dxa"/>
            <w:vAlign w:val="bottom"/>
            <w:tcBorders>
              <w:bottom w:val="single" w:sz="8" w:color="CCEEFF"/>
            </w:tcBorders>
            <w:gridSpan w:val="3"/>
            <w:shd w:val="clear" w:color="auto" w:fill="CCEEFF"/>
          </w:tcPr>
          <w:p>
            <w:pPr>
              <w:jc w:val="right"/>
              <w:ind w:right="15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1920" w:type="dxa"/>
            <w:vAlign w:val="bottom"/>
            <w:gridSpan w:val="3"/>
          </w:tcPr>
          <w:p>
            <w:pPr>
              <w:jc w:val="right"/>
              <w:ind w:right="15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27"/>
        </w:trPr>
        <w:tc>
          <w:tcPr>
            <w:tcW w:w="5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6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U.S. Tax Reform</w:t>
      </w:r>
    </w:p>
    <w:p>
      <w:pPr>
        <w:spacing w:after="0" w:line="110" w:lineRule="exact"/>
        <w:rPr>
          <w:sz w:val="20"/>
          <w:szCs w:val="20"/>
          <w:color w:val="auto"/>
        </w:rPr>
      </w:pPr>
    </w:p>
    <w:p>
      <w:pPr>
        <w:ind w:right="80" w:firstLine="162"/>
        <w:spacing w:after="0" w:line="272" w:lineRule="auto"/>
        <w:rPr>
          <w:sz w:val="20"/>
          <w:szCs w:val="20"/>
          <w:color w:val="auto"/>
        </w:rPr>
      </w:pPr>
      <w:r>
        <w:rPr>
          <w:rFonts w:ascii="Arial" w:cs="Arial" w:eastAsia="Arial" w:hAnsi="Arial"/>
          <w:sz w:val="17"/>
          <w:szCs w:val="17"/>
          <w:color w:val="auto"/>
        </w:rPr>
        <w:t>On December 22, 2017, the U.S. enacted the Tax Act, which significantly changed U.S. corporate income tax laws by, among other things, reducing the U.S. corporate income tax rate to 21%, which commenced in 2018. In addition, the Tax Act created a mandatory deemed repatriation tax (“transition tax”) on previously deferred foreign earnings of non-U.S. subsidiaries controlled by a U.S. corporation, or, in our case, a non-U.S. subsidiary controlled by one of our U.S. subsidiaries. We recorded no transition tax for the year ended December 31, 2017 as we had no previously deferred foreign earnings of U.S. controlled foreign subsidiaries as of the measurement dates. During the fourth quarter of 2018, we finalized our accounting under Staff Accounting Bulletin No. 118 for the remeasurement of the deferred tax assets and liabilities and impairment of foreign tax credits related to the Tax Act. Our accounting for the remeasurement is complete with a final non-cash net charge of $21.0 million.</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730" w:right="23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color w:val="auto"/>
        </w:rPr>
        <w:t>Deferred Income Tax Assets and Liabilities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significant components of our deferred tax assets and liabilities as of December 31, 2019 and 2018,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125,883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87,406</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28,272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26,152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Accruals and reserves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96,483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9,692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12,135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deferred tax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254,980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225,797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(76,317)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(40,255)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178,663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185,542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equipment &amp;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(122,035)</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Gain on sale of intellectual property</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(53,091)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(59,249)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deferred tax liabilities: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(185,585)</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deferred tax assets (liabilities)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36,457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1"/>
              </w:rPr>
              <w:t>Reported on the consolidated balance sheet as (after valuation allowance and jurisdictional netting):</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Net deferred tax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68,676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68,146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(68,189)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deferred tax assets (liabilities)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36,457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Tax Attributes</w:t>
      </w:r>
    </w:p>
    <w:p>
      <w:pPr>
        <w:spacing w:after="0" w:line="110"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Net operating loss (“NOL”) and tax credit carryforwards as of December 31, 2019, which can be used to reduce our income tax payable in future years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with No</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Amount with</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7"/>
              </w:rPr>
              <w:t>Carryforward</w:t>
            </w:r>
          </w:p>
        </w:tc>
      </w:tr>
      <w:tr>
        <w:trPr>
          <w:trHeight w:val="234"/>
        </w:trPr>
        <w:tc>
          <w:tcPr>
            <w:tcW w:w="4240" w:type="dxa"/>
            <w:vAlign w:val="bottom"/>
            <w:gridSpan w:val="2"/>
          </w:tcPr>
          <w:p>
            <w:pPr>
              <w:ind w:left="1800"/>
              <w:spacing w:after="0"/>
              <w:rPr>
                <w:sz w:val="20"/>
                <w:szCs w:val="20"/>
                <w:color w:val="auto"/>
              </w:rPr>
            </w:pPr>
            <w:r>
              <w:rPr>
                <w:rFonts w:ascii="Arial" w:cs="Arial" w:eastAsia="Arial" w:hAnsi="Arial"/>
                <w:sz w:val="18"/>
                <w:szCs w:val="18"/>
                <w:b w:val="1"/>
                <w:bCs w:val="1"/>
                <w:color w:val="auto"/>
              </w:rPr>
              <w:t>Region</w:t>
            </w:r>
          </w:p>
        </w:tc>
        <w:tc>
          <w:tcPr>
            <w:tcW w:w="1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Tax Benefit</w:t>
            </w: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Expiration</w:t>
            </w:r>
          </w:p>
        </w:tc>
        <w:tc>
          <w:tcPr>
            <w:tcW w:w="1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Expiration</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 NOL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3,376</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2022 - 2026</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U.S. Federal NOL</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252,283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52,979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17,872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35,107</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2021 - 2036</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State NOL</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307,525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9,180</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2020 - 2038</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South America NOL</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17,263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5,859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2028 - 2030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Far East NOL</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U.S. foreign tax credits</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14,832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14,832</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2025 - 2029</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research &amp; development tax credits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6,552</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2020 - 2039</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U.S. State research &amp; development tax credits</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5,126</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2022 - 2039</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non-U.S. tax credits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1,259</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2020 - 2032</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Other U.S. tax credits</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832,026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154,155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75,796</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color w:val="auto"/>
        </w:rPr>
        <w:t>As of December 31, 2019 and 2018, we had a valuation allowance of $76.3 million and $40.3 million, respectively. These valuation allowances were primarily related to continuing operations.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676" w:right="239" w:bottom="1440" w:gutter="0" w:footer="0" w:header="0"/>
        </w:sectPr>
      </w:pPr>
    </w:p>
    <w:bookmarkStart w:id="110" w:name="page111"/>
    <w:bookmarkEnd w:id="110"/>
    <w:p>
      <w:pPr>
        <w:ind w:right="540" w:firstLine="162"/>
        <w:spacing w:after="0" w:line="277" w:lineRule="auto"/>
        <w:rPr>
          <w:sz w:val="20"/>
          <w:szCs w:val="20"/>
          <w:color w:val="auto"/>
        </w:rPr>
      </w:pPr>
      <w:r>
        <w:rPr>
          <w:rFonts w:ascii="Arial" w:cs="Arial" w:eastAsia="Arial" w:hAnsi="Arial"/>
          <w:sz w:val="18"/>
          <w:szCs w:val="18"/>
          <w:color w:val="auto"/>
        </w:rPr>
        <w:t>As of December 31, 2017, we had a valuation allowance of $93.3 million, which includes $48.7 million related to discontinued operations and $44.6 million related to continuing operations.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a result of the business combination during the transitional period to December 31, 2015, the historic NOL’s of Sorin U.S. are limited by IRC section</w:t>
      </w:r>
    </w:p>
    <w:p>
      <w:pPr>
        <w:spacing w:after="0" w:line="46" w:lineRule="exact"/>
        <w:rPr>
          <w:sz w:val="20"/>
          <w:szCs w:val="20"/>
          <w:color w:val="auto"/>
        </w:rPr>
      </w:pPr>
    </w:p>
    <w:p>
      <w:pPr>
        <w:ind w:right="40" w:firstLine="8"/>
        <w:spacing w:after="0" w:line="277" w:lineRule="auto"/>
        <w:tabs>
          <w:tab w:leader="none" w:pos="357"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annual limitation is approximately $18.3 million, which is sufficient to absorb the U.S. net operating losses prior to their expiration. As a result of the April 2018 acquisition of TandemLife, there is an IRC section 382 annual limitation of approximately $17.2 million, which is sufficient to absorb the U.S. net operating losses prior to their expiration.</w:t>
      </w:r>
    </w:p>
    <w:p>
      <w:pPr>
        <w:spacing w:after="0" w:line="65"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 xml:space="preserve">In 2016, we consolidated certain of our intangible assets into an entity organized under the laws of England and Wales. Because the intangible assets were sold and purchased inter-company, the tax expense on the inter-company gain was deferred and amortized to current income tax expense on our consolidated statements of income (loss). With our adoption of Accounting Standards Update 2016-16, </w:t>
      </w:r>
      <w:r>
        <w:rPr>
          <w:rFonts w:ascii="Arial" w:cs="Arial" w:eastAsia="Arial" w:hAnsi="Arial"/>
          <w:sz w:val="17"/>
          <w:szCs w:val="17"/>
          <w:i w:val="1"/>
          <w:iCs w:val="1"/>
          <w:color w:val="auto"/>
        </w:rPr>
        <w:t>Intra-Entity Transfers of Assets Other Than Inventory</w:t>
      </w:r>
      <w:r>
        <w:rPr>
          <w:rFonts w:ascii="Arial" w:cs="Arial" w:eastAsia="Arial" w:hAnsi="Arial"/>
          <w:sz w:val="17"/>
          <w:szCs w:val="17"/>
          <w:color w:val="auto"/>
        </w:rPr>
        <w:t xml:space="preserve"> on January 1, 2018, we no longer record the income tax on the deferred inter-company gain in prepaid expense and other assets on the consolidated balance sheets; rather, the income tax expense on the gain of the asset sale is recognized in the corresponding jurisdictions for the seller and buyer, refer to “Note 23. New Accounting Pronouncements” for further information.</w:t>
      </w:r>
    </w:p>
    <w:p>
      <w:pPr>
        <w:spacing w:after="0" w:line="70"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A significant portion of the net deferred tax liability worldwide included above relates to the tax effect of the step-up in value of the assets acquired in the combination with Sorin.</w:t>
      </w:r>
    </w:p>
    <w:p>
      <w:pPr>
        <w:spacing w:after="0" w:line="62"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No provision has been made for income taxes on undistributed earnings of foreign subsidiaries as of December 31, 2019 because it is our intention to indefinitely reinvest undistributed earnings of our foreign subsidiaries. In the event of the distribution of those earnings in the form of dividends, a sale of the subsidiaries, or certain other transactions, we may be liable for income taxes and withholding taxes. As of December 31, 2019, it was not practicable to determine the amount of the deferred tax liability related to those investments.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Uncertain Income Tax Positions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is a roll-forward of our total gross unrecognized tax benefit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6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22,883</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22,374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Increases:</w:t>
            </w: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positions related to current year</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Tax positions related to prior year</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1,153</w:t>
            </w:r>
          </w:p>
        </w:tc>
      </w:tr>
      <w:tr>
        <w:trPr>
          <w:trHeight w:val="27"/>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Tax positions related to prior years for settlement with tax authorities</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positions related to prior years for lapses of statute of limitations</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Impact of foreign currency exchange rates</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2,286</w:t>
            </w:r>
          </w:p>
        </w:tc>
      </w:tr>
      <w:tr>
        <w:trPr>
          <w:trHeight w:val="27"/>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15,995</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22,883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26,137</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Unrecognized tax benefits of $11.4 million, $11.6 million and $12.2 million at December 31, 2019, 2018 and 2017, respectively, included in the table above are presented in the balance sheet as a reduction to the related deferred tax assets for net operating loss carryforwards.</w:t>
      </w:r>
    </w:p>
    <w:p>
      <w:pPr>
        <w:spacing w:after="0" w:line="62"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Accrued interest and penalties totaled $5.7 million, $6.3 million and $8.0 million as of December 31, 2019, 2018 and 2017, respectively, and were included in other long-term liabilities on our consolidated balance sheets.</w:t>
      </w:r>
    </w:p>
    <w:p>
      <w:pPr>
        <w:spacing w:after="0" w:line="62" w:lineRule="exact"/>
        <w:rPr>
          <w:sz w:val="20"/>
          <w:szCs w:val="20"/>
          <w:color w:val="auto"/>
        </w:rPr>
      </w:pPr>
    </w:p>
    <w:p>
      <w:pPr>
        <w:ind w:right="140" w:firstLine="162"/>
        <w:spacing w:after="0" w:line="272" w:lineRule="auto"/>
        <w:rPr>
          <w:sz w:val="20"/>
          <w:szCs w:val="20"/>
          <w:color w:val="auto"/>
        </w:rPr>
      </w:pPr>
      <w:r>
        <w:rPr>
          <w:rFonts w:ascii="Arial" w:cs="Arial" w:eastAsia="Arial" w:hAnsi="Arial"/>
          <w:sz w:val="17"/>
          <w:szCs w:val="17"/>
          <w:color w:val="auto"/>
        </w:rPr>
        <w:t>Tax authorities may disagree with certain positions we have taken and assess additional taxes. We regularly assess the likely outcomes of our tax positions in order to determine the appropriateness of our reserves for uncertain tax positions. However, there can be no assurance that we will accurately predict the outcome of these audits and the actual outcome of an audit could have a material impact on our consolidated results of income, financial position or cash flows. If all of our unrecognized tax benefits as of December 31, 2019 were recognized, $12.9 million would impact our effective tax rate. We believe it is reasonably possible that the amount of gross unrecognized tax benefits could be reduced by up to $12.0 million in the next 12 months as a result of the resolution of tax matters in various global jurisdictions and the lapses of statutes of limitations. Refer to “Note 14. Commitments and Contingencies” for additional information regarding the status of current tax litigation.</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665" w:right="239" w:bottom="1440" w:gutter="0" w:footer="0" w:header="0"/>
        </w:sectPr>
      </w:pPr>
    </w:p>
    <w:bookmarkStart w:id="111" w:name="page112"/>
    <w:bookmarkEnd w:id="111"/>
    <w:p>
      <w:pPr>
        <w:ind w:right="20" w:firstLine="162"/>
        <w:spacing w:after="0" w:line="277" w:lineRule="auto"/>
        <w:rPr>
          <w:sz w:val="20"/>
          <w:szCs w:val="20"/>
          <w:color w:val="auto"/>
        </w:rPr>
      </w:pPr>
      <w:r>
        <w:rPr>
          <w:rFonts w:ascii="Arial" w:cs="Arial" w:eastAsia="Arial" w:hAnsi="Arial"/>
          <w:sz w:val="18"/>
          <w:szCs w:val="18"/>
          <w:color w:val="auto"/>
        </w:rPr>
        <w:t>We record accrued interest and penalties related to unrecognized tax benefits in interest expense and foreign exchange and other (losses) gains, respectively, on our consolidated statements of income (loss).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The major jurisdictions where we are subject to income tax examinations are as follows:</w:t>
            </w:r>
          </w:p>
        </w:tc>
        <w:tc>
          <w:tcPr>
            <w:tcW w:w="3760" w:type="dxa"/>
            <w:vAlign w:val="bottom"/>
          </w:tcPr>
          <w:p>
            <w:pPr>
              <w:spacing w:after="0"/>
              <w:rPr>
                <w:sz w:val="20"/>
                <w:szCs w:val="20"/>
                <w:color w:val="auto"/>
              </w:rPr>
            </w:pPr>
          </w:p>
        </w:tc>
      </w:tr>
      <w:tr>
        <w:trPr>
          <w:trHeight w:val="378"/>
        </w:trPr>
        <w:tc>
          <w:tcPr>
            <w:tcW w:w="7660" w:type="dxa"/>
            <w:vAlign w:val="bottom"/>
            <w:gridSpan w:val="2"/>
          </w:tcPr>
          <w:p>
            <w:pPr>
              <w:ind w:left="40"/>
              <w:spacing w:after="0"/>
              <w:rPr>
                <w:sz w:val="20"/>
                <w:szCs w:val="20"/>
                <w:color w:val="auto"/>
              </w:rPr>
            </w:pPr>
            <w:r>
              <w:rPr>
                <w:rFonts w:ascii="Arial" w:cs="Arial" w:eastAsia="Arial" w:hAnsi="Arial"/>
                <w:sz w:val="18"/>
                <w:szCs w:val="18"/>
                <w:b w:val="1"/>
                <w:bCs w:val="1"/>
                <w:color w:val="auto"/>
              </w:rPr>
              <w:t>Jurisdiction</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2"/>
              </w:rPr>
              <w:t>Earliest Year Open</w:t>
            </w:r>
          </w:p>
        </w:tc>
      </w:tr>
      <w:tr>
        <w:trPr>
          <w:trHeight w:val="27"/>
        </w:trPr>
        <w:tc>
          <w:tcPr>
            <w:tcW w:w="7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 federal and state</w:t>
            </w: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Italy</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England and Wales</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43"/>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r>
      <w:tr>
        <w:trPr>
          <w:trHeight w:val="27"/>
        </w:trPr>
        <w:tc>
          <w:tcPr>
            <w:tcW w:w="7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Brexit</w:t>
      </w:r>
    </w:p>
    <w:p>
      <w:pPr>
        <w:spacing w:after="0" w:line="117" w:lineRule="exact"/>
        <w:rPr>
          <w:sz w:val="20"/>
          <w:szCs w:val="20"/>
          <w:color w:val="auto"/>
        </w:rPr>
      </w:pPr>
    </w:p>
    <w:p>
      <w:pPr>
        <w:ind w:right="200" w:firstLine="162"/>
        <w:spacing w:after="0" w:line="255" w:lineRule="auto"/>
        <w:rPr>
          <w:sz w:val="20"/>
          <w:szCs w:val="20"/>
          <w:color w:val="auto"/>
        </w:rPr>
      </w:pPr>
      <w:r>
        <w:rPr>
          <w:rFonts w:ascii="Arial" w:cs="Arial" w:eastAsia="Arial" w:hAnsi="Arial"/>
          <w:sz w:val="18"/>
          <w:szCs w:val="18"/>
          <w:color w:val="auto"/>
        </w:rPr>
        <w:t>On January 31, 2020, the UK departed from the EU (in a move commonly referred to as “Brexit”), and the UK will now enter a transition period that is scheduled to end on December 31, 2020, unless requested to be extended before July 1, 2020. During the transition period, the UK will cease to be an EU member, but the trading relationship will remain the same under the EU's rules. Although the long-term effects of Brexit will depend on any agreements the UK makes to retain access to the EU markets during the transition period, Brexit has created additional uncertainties that may ultimately result in new regulatory costs and challenges for medical device companies and increased restrictions on imports and exports throughout Europe. This could adversely affect our ability to conduct and expand our operations in Europe and may have an adverse effect on our business, financial condition and results of operations.</w:t>
      </w:r>
    </w:p>
    <w:p>
      <w:pPr>
        <w:spacing w:after="0" w:line="81" w:lineRule="exact"/>
        <w:rPr>
          <w:sz w:val="20"/>
          <w:szCs w:val="20"/>
          <w:color w:val="auto"/>
        </w:rPr>
      </w:pPr>
    </w:p>
    <w:p>
      <w:pPr>
        <w:ind w:right="60" w:firstLine="162"/>
        <w:spacing w:after="0" w:line="297" w:lineRule="auto"/>
        <w:rPr>
          <w:sz w:val="20"/>
          <w:szCs w:val="20"/>
          <w:color w:val="auto"/>
        </w:rPr>
      </w:pPr>
      <w:r>
        <w:rPr>
          <w:rFonts w:ascii="Arial" w:cs="Arial" w:eastAsia="Arial" w:hAnsi="Arial"/>
          <w:sz w:val="16"/>
          <w:szCs w:val="16"/>
          <w:color w:val="auto"/>
        </w:rPr>
        <w:t>The notification does not change the application of existing tax laws and does not establish a clear framework for what the ultimate outcome of the negotiations and legislative process will be. Various tax reliefs and exemptions that apply to transactions between EU Member States under existing tax laws may cease to apply to transactions between the UK and EU Member States when the transition period concludes. It is unclear at this stage if or when any new tax treaties between the UK and the EU or individual EU Member States will replace those reliefs and exemptions. It is also unclear at this stage what financial, trade and legal implications will ensue from Brexit and how Brexit may affect us, our customers, suppliers, vendors, or our industry.</w:t>
      </w:r>
    </w:p>
    <w:p>
      <w:pPr>
        <w:spacing w:after="0" w:line="50"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We and several of our wholly owned subsidiaries that are domiciled either in the UK, various EU Member States, or in the U.S., are party to intercompany transactions and agreements under which we receive various tax reliefs and exemptions in accordance with applicable international tax laws, treaties and regulations. If certain treaties applicable to our transactions and agreements are not renegotiated or replaced with new treaties containing terms, conditions and attributes similar to those of the existing treaties, Brexit may have a material adverse impact on our future financial results and results of operations. We continue to monitor and assess the potential impact of this event and explore possible tax-planning strategies that may mitigate or eliminate any such potential adverse impact.</w:t>
      </w:r>
    </w:p>
    <w:p>
      <w:pPr>
        <w:spacing w:after="0" w:line="85"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We will not account for the impact of Brexit in our income tax provisions until there are material changes in tax laws or treaties between the UK and other countries.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European Union State Aid Challenge</w:t>
      </w:r>
    </w:p>
    <w:p>
      <w:pPr>
        <w:spacing w:after="0" w:line="117" w:lineRule="exact"/>
        <w:rPr>
          <w:sz w:val="20"/>
          <w:szCs w:val="20"/>
          <w:color w:val="auto"/>
        </w:rPr>
      </w:pPr>
    </w:p>
    <w:p>
      <w:pPr>
        <w:ind w:right="100" w:firstLine="162"/>
        <w:spacing w:after="0" w:line="268" w:lineRule="auto"/>
        <w:rPr>
          <w:sz w:val="20"/>
          <w:szCs w:val="20"/>
          <w:color w:val="auto"/>
        </w:rPr>
      </w:pPr>
      <w:r>
        <w:rPr>
          <w:rFonts w:ascii="Arial" w:cs="Arial" w:eastAsia="Arial" w:hAnsi="Arial"/>
          <w:sz w:val="17"/>
          <w:szCs w:val="17"/>
          <w:color w:val="auto"/>
        </w:rPr>
        <w:t>On October 26, 2017, the European Commission (“EC”) announced that an investigation would be opened with respect to the UK’s controlled foreign company (“CFC”) rules for the period January 1, 2013 through December 31, 2018. Under the CFC rules, financing profits of entities controlled by UK parent companies are taxed when the funding originates in the UK, or Significant People Functions relating to the financing are located in the UK. The provisions under investigation provide group finance exemptions related to the profits of entities involved in financing of the non-UK group activities. On April 2, 2019, the EC concluded that “when financing income from a foreign group company, channeled through an offshore subsidiary, is financed with UK connected capital and there are no UK activities involved in generating the finance profits, the group finance exemption is justified and does not constitute State aid under EU rules.” However, in relation to Significant People Functions, “when financing income from a foreign group company, channeled through an offshore subsidiary, derives from UK activities, the group finance exemption is not justified and constitutes State aid under EU rules.” Her Majesty’s Revenue and Customs (“HMRC”) has stated that they do not consider the timing and form of the UK’s exit from the EU will have a practical impact on the requirement to recover the alleged aid. On June 14, 2019, the UK filed an appeal to the Commission’s decision. On July 5, 2019, HMRC began the first step in the recovery process to identify beneficiaries and sent letters asking for information. Based upon our assessment of the technical arguments as to whether the exemption is State aid, together with no UK activities involved in our financing, no uncertain tax position reserve has been recognized related to this matter. Furthermore, in</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665" w:right="239" w:bottom="1440" w:gutter="0" w:footer="0" w:header="0"/>
        </w:sectPr>
      </w:pPr>
    </w:p>
    <w:bookmarkStart w:id="112" w:name="page113"/>
    <w:bookmarkEnd w:id="112"/>
    <w:p>
      <w:pPr>
        <w:ind w:right="620"/>
        <w:spacing w:after="0" w:line="342" w:lineRule="auto"/>
        <w:rPr>
          <w:sz w:val="20"/>
          <w:szCs w:val="20"/>
          <w:color w:val="auto"/>
        </w:rPr>
      </w:pPr>
      <w:r>
        <w:rPr>
          <w:rFonts w:ascii="Arial" w:cs="Arial" w:eastAsia="Arial" w:hAnsi="Arial"/>
          <w:sz w:val="16"/>
          <w:szCs w:val="16"/>
          <w:color w:val="auto"/>
        </w:rPr>
        <w:t>December 2019, we amended our 2017 tax return filing to avail ourselves of different rules to determine UK taxation, which are not subject to the EU decision. We filed our 2018 tax return similarly, and therefore, we do not believe that the EU state aid decision will result in a material liability.</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 Net Income Per Share</w:t>
      </w:r>
    </w:p>
    <w:p>
      <w:pPr>
        <w:spacing w:after="0" w:line="116"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The following table sets forth the basic and diluted weighted-average shares outstanding used in the computation of basic and diluted net income per share (in thousands of shares):</w:t>
      </w:r>
    </w:p>
    <w:p>
      <w:pPr>
        <w:spacing w:after="0" w:line="112"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3395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48,349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48,497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48,157</w:t>
            </w:r>
          </w:p>
        </w:tc>
      </w:tr>
      <w:tr>
        <w:trPr>
          <w:trHeight w:val="270"/>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Add effects of stock-based compensation instruments </w:t>
            </w:r>
            <w:r>
              <w:rPr>
                <w:rFonts w:ascii="Arial" w:cs="Arial" w:eastAsia="Arial" w:hAnsi="Arial"/>
                <w:sz w:val="21"/>
                <w:szCs w:val="21"/>
                <w:color w:val="auto"/>
                <w:vertAlign w:val="superscript"/>
              </w:rPr>
              <w:t>(1)</w:t>
            </w:r>
          </w:p>
        </w:tc>
        <w:tc>
          <w:tcPr>
            <w:tcW w:w="10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w:t>
            </w:r>
          </w:p>
        </w:tc>
      </w:tr>
      <w:tr>
        <w:trPr>
          <w:trHeight w:val="257"/>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48,349</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48,497</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48,501</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right="240" w:hanging="328"/>
        <w:spacing w:after="0" w:line="293"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6"/>
          <w:szCs w:val="16"/>
          <w:color w:val="auto"/>
        </w:rPr>
        <w:t>Excluded from the computation of diluted earnings per share for the years ended December 31, 2019, 2018 and 2017 were stock options, SARs and RSUs totaling 2.9 million, 2.7 million and 1.2 million because to include them would have been anti-dilutive under the treasury stock method.</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20. Geographic and Segment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Segment Information</w:t>
      </w:r>
    </w:p>
    <w:p>
      <w:pPr>
        <w:spacing w:after="0" w:line="110" w:lineRule="exact"/>
        <w:rPr>
          <w:sz w:val="20"/>
          <w:szCs w:val="20"/>
          <w:color w:val="auto"/>
        </w:rPr>
      </w:pPr>
    </w:p>
    <w:p>
      <w:pPr>
        <w:ind w:right="320" w:firstLine="162"/>
        <w:spacing w:after="0" w:line="342" w:lineRule="auto"/>
        <w:rPr>
          <w:sz w:val="20"/>
          <w:szCs w:val="20"/>
          <w:color w:val="auto"/>
        </w:rPr>
      </w:pPr>
      <w:r>
        <w:rPr>
          <w:rFonts w:ascii="Arial" w:cs="Arial" w:eastAsia="Arial" w:hAnsi="Arial"/>
          <w:sz w:val="16"/>
          <w:szCs w:val="16"/>
          <w:color w:val="auto"/>
        </w:rPr>
        <w:t>We identify operating segments based on the way we manage, evaluate and internally report our business activities for purposes of allocating resources, developing and executing our strategy, and assessing performance. We have two reportable segments: Cardiovascular and Neuromodulation.</w:t>
      </w:r>
    </w:p>
    <w:p>
      <w:pPr>
        <w:spacing w:after="0" w:line="16" w:lineRule="exact"/>
        <w:rPr>
          <w:sz w:val="20"/>
          <w:szCs w:val="20"/>
          <w:color w:val="auto"/>
        </w:rPr>
      </w:pPr>
    </w:p>
    <w:p>
      <w:pPr>
        <w:ind w:right="180" w:firstLine="162"/>
        <w:spacing w:after="0" w:line="273" w:lineRule="auto"/>
        <w:rPr>
          <w:sz w:val="20"/>
          <w:szCs w:val="20"/>
          <w:color w:val="auto"/>
        </w:rPr>
      </w:pPr>
      <w:r>
        <w:rPr>
          <w:rFonts w:ascii="Arial" w:cs="Arial" w:eastAsia="Arial" w:hAnsi="Arial"/>
          <w:sz w:val="17"/>
          <w:szCs w:val="17"/>
          <w:color w:val="auto"/>
        </w:rPr>
        <w:t>The Cardiovascular segment generates its revenue from the development, production and sale of cardiopulmonary products, heart valves and related products and advanced circulatory support. Cardiopulmonary products include oxygenators, heart-lung machines, autotransfusion systems, perfusion tubing systems, cannulae and other related accessories. Heart valves include mechanical heart valves, tissue heart valves, related repair products and minimally invasive surgical instruments. Advanced circulatory support includes temporary life support product kits that can include a combination of pumps, oxygenators, and cannulae. On June 12, 2019, we acquired the minimally invasive cardiac surgery instruments business from Miami Instruments, which are integrated into our Cardiovascular business franchise as part of our Heart Valves portfolio.</w:t>
      </w:r>
    </w:p>
    <w:p>
      <w:pPr>
        <w:spacing w:after="0" w:line="70"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Our Neuromodulation segment generates its revenue from the design, development and marketing of neuromodulation therapy systems for the treatment of drug-resistant epilepsy, DTD and obstructive sleep apnea. Neuromodulation products include the VNS Therapy System, which consists of an implantable pulse generator, a lead that connects the generator to the vagus nerve, and other accessories.</w:t>
      </w:r>
    </w:p>
    <w:p>
      <w:pPr>
        <w:spacing w:after="0" w:line="73"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“Other” includes corporate shared service expenses for finance, legal, human resources and information technology and corporate business development and New Ventures.</w:t>
      </w:r>
    </w:p>
    <w:p>
      <w:pPr>
        <w:spacing w:after="0" w:line="62"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Net sales of our reportable segments include revenues from the sale of products they each develop and manufacture or distribute. We define segment income as operating income before merger and integration, restructuring and amortization and intangibles.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665" w:right="239" w:bottom="1440" w:gutter="0" w:footer="0" w:header="0"/>
        </w:sectPr>
      </w:pPr>
    </w:p>
    <w:bookmarkStart w:id="113" w:name="page114"/>
    <w:bookmarkEnd w:id="113"/>
    <w:p>
      <w:pPr>
        <w:ind w:right="440" w:firstLine="162"/>
        <w:spacing w:after="0" w:line="277" w:lineRule="auto"/>
        <w:rPr>
          <w:sz w:val="20"/>
          <w:szCs w:val="20"/>
          <w:color w:val="auto"/>
        </w:rPr>
      </w:pPr>
      <w:r>
        <w:rPr>
          <w:rFonts w:ascii="Arial" w:cs="Arial" w:eastAsia="Arial" w:hAnsi="Arial"/>
          <w:sz w:val="18"/>
          <w:szCs w:val="18"/>
          <w:color w:val="auto"/>
        </w:rPr>
        <w:t>We operate under three geographic regions: U.S., Europe, and Rest of World. The table below presents net sales by operating segment and geographic region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91"/>
              </w:rPr>
              <w:t>Year Ended December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0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Cardiopulmonary</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161,471</w:t>
            </w: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161,134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152,828</w:t>
            </w: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135,632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141,720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133,585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 of World</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207,613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233,554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210,911</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504,716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536,408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497,324</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Heart Valves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24,709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24,977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42,120</w:t>
            </w: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Rest of World</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60,559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56,989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71,096</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125,956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138,193</w:t>
            </w:r>
          </w:p>
        </w:tc>
        <w:tc>
          <w:tcPr>
            <w:tcW w:w="0" w:type="dxa"/>
            <w:vAlign w:val="bottom"/>
          </w:tcPr>
          <w:p>
            <w:pPr>
              <w:spacing w:after="0"/>
              <w:rPr>
                <w:sz w:val="1"/>
                <w:szCs w:val="1"/>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b w:val="1"/>
                <w:bCs w:val="1"/>
                <w:color w:val="auto"/>
              </w:rPr>
              <w:t>Advanced Circulatory Support</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30,781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 of World</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31,923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19,461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Cardiovascular</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211,152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204,431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177,805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176,921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186,558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175,705</w:t>
            </w: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268,573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290,836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282,007</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656,646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681,825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635,517</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Neuromodulation</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335,332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348,980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316,916</w:t>
            </w: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46,262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42,443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34,765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23,295</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424,547</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422,990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374,976</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8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546,484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553,411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494,721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223,183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229,001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210,470</w:t>
            </w: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314,503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324,549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307,086</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shd w:val="clear" w:color="auto" w:fill="CCEEFF"/>
          </w:tcPr>
          <w:p>
            <w:pPr>
              <w:ind w:left="500"/>
              <w:spacing w:after="0" w:line="264" w:lineRule="exact"/>
              <w:rPr>
                <w:sz w:val="20"/>
                <w:szCs w:val="20"/>
                <w:color w:val="auto"/>
              </w:rPr>
            </w:pPr>
            <w:r>
              <w:rPr>
                <w:rFonts w:ascii="Arial" w:cs="Arial" w:eastAsia="Arial" w:hAnsi="Arial"/>
                <w:sz w:val="30"/>
                <w:szCs w:val="30"/>
                <w:color w:val="auto"/>
                <w:vertAlign w:val="subscript"/>
              </w:rPr>
              <w:t>Total</w:t>
            </w:r>
            <w:r>
              <w:rPr>
                <w:rFonts w:ascii="Arial" w:cs="Arial" w:eastAsia="Arial" w:hAnsi="Arial"/>
                <w:sz w:val="12"/>
                <w:szCs w:val="12"/>
                <w:color w:val="auto"/>
              </w:rPr>
              <w:t xml:space="preserve"> (2) (3)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1,084,170</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1,106,961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1,012,277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80" w:hanging="328"/>
        <w:spacing w:after="0" w:line="266"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1" w:lineRule="exact"/>
        <w:rPr>
          <w:rFonts w:ascii="Arial" w:cs="Arial" w:eastAsia="Arial" w:hAnsi="Arial"/>
          <w:sz w:val="14"/>
          <w:szCs w:val="14"/>
          <w:color w:val="auto"/>
        </w:rPr>
      </w:pPr>
    </w:p>
    <w:p>
      <w:pPr>
        <w:ind w:left="660" w:right="640" w:hanging="328"/>
        <w:spacing w:after="0" w:line="264"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6"/>
          <w:szCs w:val="16"/>
          <w:color w:val="auto"/>
        </w:rPr>
        <w:t>Net sales to external customers includes $37.7 million, $34.8 million and $30.8 million in the United Kingdom, our country of domicile, for the years ended December 31, 2019, 2018 and 2017, respectively.</w:t>
      </w: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5"/>
          <w:szCs w:val="15"/>
          <w:color w:val="auto"/>
        </w:rPr>
        <w:t>No single customer represented over 10% of our consolidated net sales. No country’s net sales exceeded 10% of our consolidated sales except for the U.S.</w:t>
      </w: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665" w:right="239" w:bottom="1440" w:gutter="0" w:footer="0" w:header="0"/>
        </w:sectPr>
      </w:pPr>
    </w:p>
    <w:bookmarkStart w:id="114" w:name="page115"/>
    <w:bookmarkEnd w:id="114"/>
    <w:p>
      <w:pPr>
        <w:ind w:right="40" w:firstLine="162"/>
        <w:spacing w:after="0" w:line="275" w:lineRule="auto"/>
        <w:rPr>
          <w:sz w:val="20"/>
          <w:szCs w:val="20"/>
          <w:color w:val="auto"/>
        </w:rPr>
      </w:pPr>
      <w:r>
        <w:rPr>
          <w:rFonts w:ascii="Arial" w:cs="Arial" w:eastAsia="Arial" w:hAnsi="Arial"/>
          <w:sz w:val="20"/>
          <w:szCs w:val="20"/>
          <w:color w:val="auto"/>
        </w:rPr>
        <w:t>The table below presents a reconciliation of segment (loss) income from continuing operations to consolidated (loss) income from continuing operations before tax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6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Cardiovascular </w:t>
            </w:r>
            <w:r>
              <w:rPr>
                <w:rFonts w:ascii="Arial" w:cs="Arial" w:eastAsia="Arial" w:hAnsi="Arial"/>
                <w:sz w:val="25"/>
                <w:szCs w:val="25"/>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28,460</w:t>
            </w:r>
          </w:p>
        </w:tc>
        <w:tc>
          <w:tcPr>
            <w:tcW w:w="5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(258,493)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81,412</w:t>
            </w: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Neuromodulation </w:t>
            </w:r>
            <w:r>
              <w:rPr>
                <w:rFonts w:ascii="Arial" w:cs="Arial" w:eastAsia="Arial" w:hAnsi="Arial"/>
                <w:sz w:val="25"/>
                <w:szCs w:val="25"/>
                <w:color w:val="auto"/>
                <w:vertAlign w:val="superscript"/>
              </w:rPr>
              <w:t>(2)</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83,483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184,674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183,228</w:t>
            </w:r>
          </w:p>
        </w:tc>
      </w:tr>
      <w:tr>
        <w:trPr>
          <w:trHeight w:val="270"/>
        </w:trPr>
        <w:tc>
          <w:tcPr>
            <w:tcW w:w="6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(3)</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(204,727)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(96,724)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(102,425)</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Total reportable segment (loss) income from continuing operations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(92,784)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(170,543)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162,215</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15,915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17,056</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33,144</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Operating (loss) income from continuing operations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(168,870)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(248,072)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96,487</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(15,091)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(7,797)</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39,428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Impairment of investments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(8,565)</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(Loss) income from continuing operations before tax</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(185,694)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(247,447)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121,138</w:t>
            </w:r>
          </w:p>
        </w:tc>
      </w:tr>
      <w:tr>
        <w:trPr>
          <w:trHeight w:val="20"/>
        </w:trPr>
        <w:tc>
          <w:tcPr>
            <w:tcW w:w="6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400" w:hanging="328"/>
        <w:spacing w:after="0" w:line="293"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6"/>
          <w:szCs w:val="16"/>
          <w:color w:val="auto"/>
        </w:rPr>
        <w:t>Results for the years ended December 31, 2019 and 2018 include Litigation provision, net of $(0.6) million and $294.0 million, respectively. Refer to “Note 14. Commitments and Contingencies” for additional information.</w:t>
      </w:r>
    </w:p>
    <w:p>
      <w:pPr>
        <w:spacing w:after="0" w:line="9" w:lineRule="exact"/>
        <w:rPr>
          <w:rFonts w:ascii="Arial" w:cs="Arial" w:eastAsia="Arial" w:hAnsi="Arial"/>
          <w:sz w:val="14"/>
          <w:szCs w:val="14"/>
          <w:color w:val="auto"/>
        </w:rPr>
      </w:pPr>
    </w:p>
    <w:p>
      <w:pPr>
        <w:ind w:left="660" w:right="400" w:hanging="328"/>
        <w:spacing w:after="0" w:line="293"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6"/>
          <w:szCs w:val="16"/>
          <w:color w:val="auto"/>
        </w:rPr>
        <w:t>Results for the year ended December 31, 2019 include the ImThera impairment of the IPR&amp;D asset of $50.3 million. Refer to “Note 8. Goodwill and Intangible Assets” for additional information.</w:t>
      </w:r>
    </w:p>
    <w:p>
      <w:pPr>
        <w:spacing w:after="0" w:line="9" w:lineRule="exact"/>
        <w:rPr>
          <w:rFonts w:ascii="Arial" w:cs="Arial" w:eastAsia="Arial" w:hAnsi="Arial"/>
          <w:sz w:val="14"/>
          <w:szCs w:val="14"/>
          <w:color w:val="auto"/>
        </w:rPr>
      </w:pPr>
    </w:p>
    <w:p>
      <w:pPr>
        <w:ind w:left="660" w:right="220" w:hanging="328"/>
        <w:spacing w:after="0" w:line="293"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6"/>
          <w:szCs w:val="16"/>
          <w:color w:val="auto"/>
        </w:rPr>
        <w:t>Results for the year ended December 31, 2019 include the Caisson impairments of goodwill and the IPR&amp;D asset of $42.4 million and $89.0 million, respectively. Refer to “Note 8. Goodwill and Intangible Assets” for additional information.</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Assets by reportable segment as of December 31, 2019 and 2018, was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1,546,520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1,532,825</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749,069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731,840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285,036</w:t>
            </w:r>
          </w:p>
        </w:tc>
        <w:tc>
          <w:tcPr>
            <w:tcW w:w="0" w:type="dxa"/>
            <w:vAlign w:val="bottom"/>
          </w:tcPr>
          <w:p>
            <w:pPr>
              <w:spacing w:after="0"/>
              <w:rPr>
                <w:sz w:val="1"/>
                <w:szCs w:val="1"/>
                <w:color w:val="auto"/>
              </w:rPr>
            </w:pP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gridSpan w:val="2"/>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2,411,797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2,549,701</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180"/>
              <w:spacing w:after="0"/>
              <w:rPr>
                <w:sz w:val="20"/>
                <w:szCs w:val="20"/>
                <w:color w:val="auto"/>
              </w:rPr>
            </w:pPr>
            <w:r>
              <w:rPr>
                <w:rFonts w:ascii="Arial" w:cs="Arial" w:eastAsia="Arial" w:hAnsi="Arial"/>
                <w:sz w:val="18"/>
                <w:szCs w:val="18"/>
                <w:color w:val="auto"/>
                <w:w w:val="97"/>
              </w:rPr>
              <w:t>Capital expenditures by segment were as follows (in thousands):</w:t>
            </w: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0" w:type="dxa"/>
            <w:vAlign w:val="bottom"/>
            <w:gridSpan w:val="7"/>
          </w:tcPr>
          <w:p>
            <w:pPr>
              <w:jc w:val="right"/>
              <w:ind w:right="270"/>
              <w:spacing w:after="0"/>
              <w:rPr>
                <w:sz w:val="20"/>
                <w:szCs w:val="20"/>
                <w:color w:val="auto"/>
              </w:rPr>
            </w:pPr>
            <w:r>
              <w:rPr>
                <w:rFonts w:ascii="Arial" w:cs="Arial" w:eastAsia="Arial" w:hAnsi="Arial"/>
                <w:sz w:val="18"/>
                <w:szCs w:val="18"/>
                <w:b w:val="1"/>
                <w:bCs w:val="1"/>
                <w:color w:val="auto"/>
                <w:w w:val="91"/>
              </w:rPr>
              <w:t>Year Ended December 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20,779</w:t>
            </w:r>
          </w:p>
        </w:tc>
        <w:tc>
          <w:tcPr>
            <w:tcW w:w="58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18,985</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27,977</w:t>
            </w:r>
          </w:p>
        </w:tc>
        <w:tc>
          <w:tcPr>
            <w:tcW w:w="5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37,997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34,107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220" w:type="dxa"/>
            <w:vAlign w:val="bottom"/>
          </w:tcPr>
          <w:p>
            <w:pPr>
              <w:spacing w:after="0"/>
              <w:rPr>
                <w:sz w:val="24"/>
                <w:szCs w:val="2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F-55</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6" w:right="239" w:bottom="1440" w:gutter="0" w:footer="0" w:header="0"/>
        </w:sectPr>
      </w:pPr>
    </w:p>
    <w:bookmarkStart w:id="115" w:name="page116"/>
    <w:bookmarkEnd w:id="115"/>
    <w:p>
      <w:pPr>
        <w:spacing w:after="0"/>
        <w:rPr>
          <w:sz w:val="20"/>
          <w:szCs w:val="20"/>
          <w:color w:val="auto"/>
        </w:rPr>
      </w:pPr>
      <w:r>
        <w:rPr>
          <w:rFonts w:ascii="Arial" w:cs="Arial" w:eastAsia="Arial" w:hAnsi="Arial"/>
          <w:sz w:val="20"/>
          <w:szCs w:val="20"/>
          <w:color w:val="auto"/>
        </w:rPr>
        <w:t>Geographic Information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gridSpan w:val="4"/>
          </w:tcPr>
          <w:p>
            <w:pPr>
              <w:ind w:left="180"/>
              <w:spacing w:after="0"/>
              <w:rPr>
                <w:sz w:val="20"/>
                <w:szCs w:val="20"/>
                <w:color w:val="auto"/>
              </w:rPr>
            </w:pPr>
            <w:r>
              <w:rPr>
                <w:rFonts w:ascii="Arial" w:cs="Arial" w:eastAsia="Arial" w:hAnsi="Arial"/>
                <w:sz w:val="18"/>
                <w:szCs w:val="18"/>
                <w:color w:val="auto"/>
                <w:w w:val="96"/>
              </w:rPr>
              <w:t>Property, plant, and equipment, net by geographic region as of December 31, 2019 and 2018, was as follows (in thousands):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PP&amp;E</w:t>
            </w:r>
          </w:p>
        </w:tc>
        <w:tc>
          <w:tcPr>
            <w:tcW w:w="40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68,862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110,270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112,376</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10,162</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181,354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191,400</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21. Supplemental Financial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Inventories, net as of December 31, 2019 and 2018, consisted of the following (in thousands):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40,387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14,581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15,999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104,348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97,149</w:t>
            </w:r>
          </w:p>
        </w:tc>
      </w:tr>
      <w:tr>
        <w:trPr>
          <w:trHeight w:val="237"/>
        </w:trPr>
        <w:tc>
          <w:tcPr>
            <w:tcW w:w="79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164,154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153,535</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100" w:firstLine="162"/>
        <w:spacing w:after="0" w:line="277" w:lineRule="auto"/>
        <w:rPr>
          <w:sz w:val="20"/>
          <w:szCs w:val="20"/>
          <w:color w:val="auto"/>
        </w:rPr>
      </w:pPr>
      <w:r>
        <w:rPr>
          <w:rFonts w:ascii="Arial" w:cs="Arial" w:eastAsia="Arial" w:hAnsi="Arial"/>
          <w:sz w:val="18"/>
          <w:szCs w:val="18"/>
          <w:color w:val="auto"/>
        </w:rPr>
        <w:t>Inventories are reported net of the provision for obsolescence. The provision, which reflects normal obsolescence and includes components that are phased out or expired, totaled $12.7 million and $11.6 million at December 31, 2019 and December 31, 2018,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PP&amp;E as of December 31, 2019 and 2018,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Lives in Years</w:t>
            </w:r>
          </w:p>
        </w:tc>
        <w:tc>
          <w:tcPr>
            <w:tcW w:w="0" w:type="dxa"/>
            <w:vAlign w:val="bottom"/>
          </w:tcPr>
          <w:p>
            <w:pPr>
              <w:spacing w:after="0"/>
              <w:rPr>
                <w:sz w:val="1"/>
                <w:szCs w:val="1"/>
                <w:color w:val="auto"/>
              </w:rPr>
            </w:pPr>
          </w:p>
        </w:tc>
      </w:tr>
      <w:tr>
        <w:trPr>
          <w:trHeight w:val="108"/>
        </w:trPr>
        <w:tc>
          <w:tcPr>
            <w:tcW w:w="43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15,165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15,866</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3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86,814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82,035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3 to 39</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Equipment, software, furniture and fixtures</w:t>
            </w:r>
          </w:p>
        </w:tc>
        <w:tc>
          <w:tcPr>
            <w:tcW w:w="17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205,711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195,008</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 to 16</w:t>
            </w:r>
          </w:p>
        </w:tc>
        <w:tc>
          <w:tcPr>
            <w:tcW w:w="0" w:type="dxa"/>
            <w:vAlign w:val="bottom"/>
          </w:tcPr>
          <w:p>
            <w:pPr>
              <w:spacing w:after="0"/>
              <w:rPr>
                <w:sz w:val="1"/>
                <w:szCs w:val="1"/>
                <w:color w:val="auto"/>
              </w:rPr>
            </w:pPr>
          </w:p>
        </w:tc>
      </w:tr>
      <w:tr>
        <w:trPr>
          <w:trHeight w:val="135"/>
        </w:trPr>
        <w:tc>
          <w:tcPr>
            <w:tcW w:w="43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8,298</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 to 10</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investment in process</w:t>
            </w:r>
          </w:p>
        </w:tc>
        <w:tc>
          <w:tcPr>
            <w:tcW w:w="17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20,228</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380" w:type="dxa"/>
            <w:vAlign w:val="bottom"/>
          </w:tcPr>
          <w:p>
            <w:pPr>
              <w:ind w:left="180"/>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335,341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321,435</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7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(153,987)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(130,035)</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3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380" w:type="dxa"/>
            <w:vAlign w:val="bottom"/>
          </w:tcPr>
          <w:p>
            <w:pPr>
              <w:ind w:left="180"/>
              <w:spacing w:after="0"/>
              <w:rPr>
                <w:sz w:val="20"/>
                <w:szCs w:val="20"/>
                <w:color w:val="auto"/>
              </w:rPr>
            </w:pPr>
            <w:r>
              <w:rPr>
                <w:rFonts w:ascii="Arial" w:cs="Arial" w:eastAsia="Arial" w:hAnsi="Arial"/>
                <w:sz w:val="18"/>
                <w:szCs w:val="18"/>
                <w:color w:val="auto"/>
              </w:rPr>
              <w:t>Net</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181,354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191,400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380" w:type="dxa"/>
            <w:vAlign w:val="bottom"/>
          </w:tcPr>
          <w:p>
            <w:pPr>
              <w:spacing w:after="0"/>
              <w:rPr>
                <w:sz w:val="24"/>
                <w:szCs w:val="24"/>
                <w:color w:val="auto"/>
              </w:rPr>
            </w:pPr>
          </w:p>
        </w:tc>
        <w:tc>
          <w:tcPr>
            <w:tcW w:w="2100" w:type="dxa"/>
            <w:vAlign w:val="bottom"/>
            <w:gridSpan w:val="2"/>
          </w:tcPr>
          <w:p>
            <w:pPr>
              <w:jc w:val="right"/>
              <w:ind w:right="520"/>
              <w:spacing w:after="0"/>
              <w:rPr>
                <w:sz w:val="20"/>
                <w:szCs w:val="20"/>
                <w:color w:val="auto"/>
              </w:rPr>
            </w:pPr>
            <w:r>
              <w:rPr>
                <w:rFonts w:ascii="Arial" w:cs="Arial" w:eastAsia="Arial" w:hAnsi="Arial"/>
                <w:sz w:val="18"/>
                <w:szCs w:val="18"/>
                <w:color w:val="auto"/>
              </w:rPr>
              <w:t>F-56</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6" w:right="2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Accrued liabilities as of December 31, 2019 and 2018, consisted of the following (in thousands):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22,953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CRM purchase price adjustments payable to MicroPort Scientific Corporation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14,891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14,891</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25"/>
                <w:szCs w:val="25"/>
                <w:color w:val="auto"/>
                <w:vertAlign w:val="superscript"/>
              </w:rPr>
              <w:t>(2)</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11,110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Legal and other administrative costs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11,066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9,189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Research and development costs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1,841</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related liabilities </w:t>
            </w:r>
            <w:r>
              <w:rPr>
                <w:rFonts w:ascii="Arial" w:cs="Arial" w:eastAsia="Arial" w:hAnsi="Arial"/>
                <w:sz w:val="25"/>
                <w:szCs w:val="25"/>
                <w:color w:val="auto"/>
                <w:vertAlign w:val="superscript"/>
              </w:rPr>
              <w:t>(3)</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4,315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9,393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Provisions for agents, returns and other</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4,934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Product remediation </w:t>
            </w:r>
            <w:r>
              <w:rPr>
                <w:rFonts w:ascii="Arial" w:cs="Arial" w:eastAsia="Arial" w:hAnsi="Arial"/>
                <w:sz w:val="25"/>
                <w:szCs w:val="25"/>
                <w:color w:val="auto"/>
                <w:vertAlign w:val="superscript"/>
              </w:rPr>
              <w:t>(4)</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13,945</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Derivative contract liabilities </w:t>
            </w:r>
            <w:r>
              <w:rPr>
                <w:rFonts w:ascii="Arial" w:cs="Arial" w:eastAsia="Arial" w:hAnsi="Arial"/>
                <w:sz w:val="25"/>
                <w:szCs w:val="25"/>
                <w:color w:val="auto"/>
                <w:vertAlign w:val="superscript"/>
              </w:rPr>
              <w:t>(5)</w:t>
            </w:r>
          </w:p>
        </w:tc>
        <w:tc>
          <w:tcPr>
            <w:tcW w:w="40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5,063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amounts payable to MicroPort Scientific Corporation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32,191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33,876</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120,100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124,285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6"/>
          <w:szCs w:val="16"/>
          <w:color w:val="auto"/>
        </w:rPr>
        <w:t>Refer to “Note 10. Fair Value Measurements.”</w:t>
      </w:r>
    </w:p>
    <w:p>
      <w:pPr>
        <w:spacing w:after="0" w:line="22" w:lineRule="exact"/>
        <w:rPr>
          <w:rFonts w:ascii="Arial" w:cs="Arial" w:eastAsia="Arial" w:hAnsi="Arial"/>
          <w:sz w:val="14"/>
          <w:szCs w:val="14"/>
          <w:color w:val="auto"/>
        </w:rPr>
      </w:pP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6"/>
          <w:szCs w:val="16"/>
          <w:color w:val="auto"/>
        </w:rPr>
        <w:t>Refer to “Note 13. Leases.”</w:t>
      </w:r>
    </w:p>
    <w:p>
      <w:pPr>
        <w:spacing w:after="0" w:line="18" w:lineRule="exact"/>
        <w:rPr>
          <w:rFonts w:ascii="Arial" w:cs="Arial" w:eastAsia="Arial" w:hAnsi="Arial"/>
          <w:sz w:val="14"/>
          <w:szCs w:val="14"/>
          <w:color w:val="auto"/>
        </w:rPr>
      </w:pP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6"/>
          <w:szCs w:val="16"/>
          <w:color w:val="auto"/>
        </w:rPr>
        <w:t>Refer to “Note 6. Restructuring.”</w:t>
      </w:r>
    </w:p>
    <w:p>
      <w:pPr>
        <w:spacing w:after="0" w:line="18" w:lineRule="exact"/>
        <w:rPr>
          <w:rFonts w:ascii="Arial" w:cs="Arial" w:eastAsia="Arial" w:hAnsi="Arial"/>
          <w:sz w:val="14"/>
          <w:szCs w:val="14"/>
          <w:color w:val="auto"/>
        </w:rPr>
      </w:pP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6"/>
          <w:szCs w:val="16"/>
          <w:color w:val="auto"/>
        </w:rPr>
        <w:t>Refer to “Note 7. Product Remediation Liability.”</w:t>
      </w:r>
    </w:p>
    <w:p>
      <w:pPr>
        <w:spacing w:after="0" w:line="18" w:lineRule="exact"/>
        <w:rPr>
          <w:rFonts w:ascii="Arial" w:cs="Arial" w:eastAsia="Arial" w:hAnsi="Arial"/>
          <w:sz w:val="14"/>
          <w:szCs w:val="14"/>
          <w:color w:val="auto"/>
        </w:rPr>
      </w:pP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6"/>
          <w:szCs w:val="16"/>
          <w:color w:val="auto"/>
        </w:rPr>
        <w:t>Refer to “Note 12. Derivatives and Risk Management.”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22. Quarterly Financial Information (unaudited)</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tables below present the quarterly results for the years ended December 31, 2019 and 2018 (in thousands except for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vMerge w:val="restart"/>
          </w:tcPr>
          <w:p>
            <w:pPr>
              <w:ind w:left="40"/>
              <w:spacing w:after="0"/>
              <w:rPr>
                <w:sz w:val="20"/>
                <w:szCs w:val="20"/>
                <w:color w:val="auto"/>
              </w:rPr>
            </w:pPr>
            <w:r>
              <w:rPr>
                <w:rFonts w:ascii="Arial" w:cs="Arial" w:eastAsia="Arial" w:hAnsi="Arial"/>
                <w:sz w:val="22"/>
                <w:szCs w:val="22"/>
                <w:b w:val="1"/>
                <w:bCs w:val="1"/>
                <w:color w:val="auto"/>
              </w:rPr>
              <w:t>Year Ended December 31, 2019</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First</w:t>
            </w: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Second</w:t>
            </w:r>
          </w:p>
        </w:tc>
        <w:tc>
          <w:tcPr>
            <w:tcW w:w="2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Fourth</w:t>
            </w:r>
          </w:p>
        </w:tc>
        <w:tc>
          <w:tcPr>
            <w:tcW w:w="0" w:type="dxa"/>
            <w:vAlign w:val="bottom"/>
          </w:tcPr>
          <w:p>
            <w:pPr>
              <w:spacing w:after="0"/>
              <w:rPr>
                <w:sz w:val="1"/>
                <w:szCs w:val="1"/>
                <w:color w:val="auto"/>
              </w:rPr>
            </w:pPr>
          </w:p>
        </w:tc>
      </w:tr>
      <w:tr>
        <w:trPr>
          <w:trHeight w:val="255"/>
        </w:trPr>
        <w:tc>
          <w:tcPr>
            <w:tcW w:w="4800" w:type="dxa"/>
            <w:vAlign w:val="bottom"/>
            <w:tcBorders>
              <w:bottom w:val="single" w:sz="8" w:color="CCEEFF"/>
            </w:tcBorders>
            <w:vMerge w:val="continue"/>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Quarter</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287,590</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Gross profit </w:t>
            </w:r>
            <w:r>
              <w:rPr>
                <w:rFonts w:ascii="Arial" w:cs="Arial" w:eastAsia="Arial" w:hAnsi="Arial"/>
                <w:sz w:val="25"/>
                <w:szCs w:val="25"/>
                <w:color w:val="auto"/>
                <w:vertAlign w:val="superscript"/>
              </w:rPr>
              <w:t>(1)</w:t>
            </w: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163,600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197,114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179,406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204,638</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income (loss) from continuing operations </w:t>
            </w:r>
            <w:r>
              <w:rPr>
                <w:rFonts w:ascii="Arial" w:cs="Arial" w:eastAsia="Arial" w:hAnsi="Arial"/>
                <w:sz w:val="25"/>
                <w:szCs w:val="25"/>
                <w:color w:val="auto"/>
                <w:vertAlign w:val="superscript"/>
              </w:rPr>
              <w:t>(2)</w:t>
            </w:r>
          </w:p>
        </w:tc>
        <w:tc>
          <w:tcPr>
            <w:tcW w:w="1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(143,976)</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(loss) income from continuing operations </w:t>
            </w:r>
            <w:r>
              <w:rPr>
                <w:rFonts w:ascii="Arial" w:cs="Arial" w:eastAsia="Arial" w:hAnsi="Arial"/>
                <w:sz w:val="25"/>
                <w:szCs w:val="25"/>
                <w:color w:val="auto"/>
                <w:vertAlign w:val="superscript"/>
              </w:rPr>
              <w:t>(2)</w:t>
            </w: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(14,849)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32,118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(143,417)</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net of tax</w:t>
            </w:r>
          </w:p>
        </w:tc>
        <w:tc>
          <w:tcPr>
            <w:tcW w:w="1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304"/>
        </w:trPr>
        <w:tc>
          <w:tcPr>
            <w:tcW w:w="4800" w:type="dxa"/>
            <w:vAlign w:val="bottom"/>
            <w:tcBorders>
              <w:bottom w:val="single" w:sz="8" w:color="CCEEFF"/>
            </w:tcBorders>
          </w:tcPr>
          <w:p>
            <w:pPr>
              <w:ind w:left="280"/>
              <w:spacing w:after="0" w:line="264" w:lineRule="exact"/>
              <w:rPr>
                <w:sz w:val="20"/>
                <w:szCs w:val="20"/>
                <w:color w:val="auto"/>
              </w:rPr>
            </w:pPr>
            <w:r>
              <w:rPr>
                <w:rFonts w:ascii="Arial" w:cs="Arial" w:eastAsia="Arial" w:hAnsi="Arial"/>
                <w:sz w:val="18"/>
                <w:szCs w:val="18"/>
                <w:color w:val="auto"/>
              </w:rPr>
              <w:t xml:space="preserve">Net (loss) income </w:t>
            </w:r>
            <w:r>
              <w:rPr>
                <w:rFonts w:ascii="Arial" w:cs="Arial" w:eastAsia="Arial" w:hAnsi="Arial"/>
                <w:sz w:val="25"/>
                <w:szCs w:val="25"/>
                <w:color w:val="auto"/>
                <w:vertAlign w:val="superscript"/>
              </w:rPr>
              <w:t>(2)</w:t>
            </w:r>
          </w:p>
        </w:tc>
        <w:tc>
          <w:tcPr>
            <w:tcW w:w="12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32,118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(143,230)</w:t>
            </w:r>
          </w:p>
        </w:tc>
        <w:tc>
          <w:tcPr>
            <w:tcW w:w="0" w:type="dxa"/>
            <w:vAlign w:val="bottom"/>
          </w:tcPr>
          <w:p>
            <w:pPr>
              <w:spacing w:after="0"/>
              <w:rPr>
                <w:sz w:val="1"/>
                <w:szCs w:val="1"/>
                <w:color w:val="auto"/>
              </w:rPr>
            </w:pPr>
          </w:p>
        </w:tc>
      </w:tr>
      <w:tr>
        <w:trPr>
          <w:trHeight w:val="231"/>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(loss) earnings per share:</w:t>
            </w: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00" w:type="dxa"/>
            <w:vAlign w:val="bottom"/>
          </w:tcPr>
          <w:p>
            <w:pPr>
              <w:spacing w:after="0"/>
              <w:rPr>
                <w:sz w:val="24"/>
                <w:szCs w:val="24"/>
                <w:color w:val="auto"/>
              </w:rPr>
            </w:pP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F-57</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vMerge w:val="restart"/>
          </w:tcPr>
          <w:p>
            <w:pPr>
              <w:ind w:left="40"/>
              <w:spacing w:after="0"/>
              <w:rPr>
                <w:sz w:val="20"/>
                <w:szCs w:val="20"/>
                <w:color w:val="auto"/>
              </w:rPr>
            </w:pPr>
            <w:r>
              <w:rPr>
                <w:rFonts w:ascii="Arial" w:cs="Arial" w:eastAsia="Arial" w:hAnsi="Arial"/>
                <w:sz w:val="22"/>
                <w:szCs w:val="22"/>
                <w:b w:val="1"/>
                <w:bCs w:val="1"/>
                <w:color w:val="auto"/>
              </w:rPr>
              <w:t>Year Ended December 31, 2018</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First</w:t>
            </w: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Second</w:t>
            </w:r>
          </w:p>
        </w:tc>
        <w:tc>
          <w:tcPr>
            <w:tcW w:w="2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Fourth</w:t>
            </w:r>
          </w:p>
        </w:tc>
        <w:tc>
          <w:tcPr>
            <w:tcW w:w="0" w:type="dxa"/>
            <w:vAlign w:val="bottom"/>
          </w:tcPr>
          <w:p>
            <w:pPr>
              <w:spacing w:after="0"/>
              <w:rPr>
                <w:sz w:val="1"/>
                <w:szCs w:val="1"/>
                <w:color w:val="auto"/>
              </w:rPr>
            </w:pPr>
          </w:p>
        </w:tc>
      </w:tr>
      <w:tr>
        <w:trPr>
          <w:trHeight w:val="255"/>
        </w:trPr>
        <w:tc>
          <w:tcPr>
            <w:tcW w:w="608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22"/>
                <w:szCs w:val="22"/>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22"/>
                <w:szCs w:val="2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2"/>
                <w:szCs w:val="22"/>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287,498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296,983</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Gross profit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162,085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193,963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174,348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204,073</w:t>
            </w: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income (loss) from continuing operations </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12,530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(276,452)</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income (loss) from continuing operations </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19,528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(209,539)</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discontinued operations,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304"/>
        </w:trPr>
        <w:tc>
          <w:tcPr>
            <w:tcW w:w="6080" w:type="dxa"/>
            <w:vAlign w:val="bottom"/>
            <w:tcBorders>
              <w:bottom w:val="single" w:sz="8" w:color="CCEEFF"/>
            </w:tcBorders>
          </w:tcPr>
          <w:p>
            <w:pPr>
              <w:ind w:left="280"/>
              <w:spacing w:after="0" w:line="264"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5"/>
                <w:szCs w:val="25"/>
                <w:color w:val="auto"/>
                <w:vertAlign w:val="superscript"/>
              </w:rPr>
              <w:t>(3)</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13,273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15,066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(210,561)</w:t>
            </w: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260" w:hanging="328"/>
        <w:spacing w:after="0" w:line="266"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6"/>
          <w:szCs w:val="16"/>
          <w:color w:val="auto"/>
        </w:rPr>
        <w:t>Gross profit excludes amortization of developed technology intangible assets of approximately $3.7 million, $5.5 million and $3.6 million for the first and second quarters in 2019, the third and fourth quarters in 2019 and for each quarter in 2018, respectively.</w:t>
      </w:r>
    </w:p>
    <w:p>
      <w:pPr>
        <w:spacing w:after="0" w:line="1" w:lineRule="exact"/>
        <w:rPr>
          <w:rFonts w:ascii="Arial" w:cs="Arial" w:eastAsia="Arial" w:hAnsi="Arial"/>
          <w:sz w:val="14"/>
          <w:szCs w:val="14"/>
          <w:color w:val="auto"/>
        </w:rPr>
      </w:pPr>
    </w:p>
    <w:p>
      <w:pPr>
        <w:ind w:left="660" w:right="280" w:hanging="328"/>
        <w:spacing w:after="0" w:line="264"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second quarter of 2019 includes a $50.3 million impairment of the ImThera IPR&amp;D asset arising from the ImThera acquisition. The fourth quarter of 2019 includes a $42.4 million impairment of Caisson’s goodwill arising from the Caisson acquisition and a $89.0 million impairment of Caisson’s IPR&amp;D asset arising from the Caisson acquisition. For further information, please refer to “Note 8. Goodwill and Intangible Assets.”</w:t>
      </w:r>
    </w:p>
    <w:p>
      <w:pPr>
        <w:ind w:left="660" w:right="760" w:hanging="328"/>
        <w:spacing w:after="0" w:line="288"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fourth quarter of 2018 includes a $294.1 million litigation provision associated with our 3T devices. For further information, please refer to “Note 14. Commitments and Contingencies.”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23. 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New Accounting Pronouncements</w:t>
      </w:r>
    </w:p>
    <w:p>
      <w:pPr>
        <w:spacing w:after="0" w:line="116"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The following table provides a description of our adoption of new Accounting Standards Updates (“ASUs”) issued by the FASB and the impact of the adoption on our condensed financial statements:</w:t>
      </w:r>
    </w:p>
    <w:p>
      <w:pPr>
        <w:spacing w:after="0" w:line="112" w:lineRule="exact"/>
        <w:rPr>
          <w:sz w:val="20"/>
          <w:szCs w:val="20"/>
          <w:color w:val="auto"/>
        </w:rPr>
      </w:pPr>
    </w:p>
    <w:p>
      <w:pPr>
        <w:ind w:left="6420"/>
        <w:spacing w:after="0"/>
        <w:tabs>
          <w:tab w:leader="none" w:pos="7380" w:val="left"/>
        </w:tabs>
        <w:rPr>
          <w:sz w:val="20"/>
          <w:szCs w:val="20"/>
          <w:color w:val="auto"/>
        </w:rPr>
      </w:pPr>
      <w:r>
        <w:rPr>
          <w:rFonts w:ascii="Arial" w:cs="Arial" w:eastAsia="Arial" w:hAnsi="Arial"/>
          <w:sz w:val="18"/>
          <w:szCs w:val="18"/>
          <w:b w:val="1"/>
          <w:bCs w:val="1"/>
          <w:color w:val="auto"/>
        </w:rPr>
        <w:t>Date of</w:t>
      </w:r>
      <w:r>
        <w:rPr>
          <w:sz w:val="20"/>
          <w:szCs w:val="20"/>
          <w:color w:val="auto"/>
        </w:rPr>
        <w:tab/>
      </w:r>
      <w:r>
        <w:rPr>
          <w:rFonts w:ascii="Arial" w:cs="Arial" w:eastAsia="Arial" w:hAnsi="Arial"/>
          <w:sz w:val="16"/>
          <w:szCs w:val="16"/>
          <w:b w:val="1"/>
          <w:bCs w:val="1"/>
          <w:color w:val="auto"/>
        </w:rPr>
        <w:t>Effect on Financial Statements or Other Significant</w:t>
      </w:r>
    </w:p>
    <w:p>
      <w:pPr>
        <w:spacing w:after="0" w:line="27" w:lineRule="exact"/>
        <w:rPr>
          <w:sz w:val="20"/>
          <w:szCs w:val="20"/>
          <w:color w:val="auto"/>
        </w:rPr>
      </w:pPr>
    </w:p>
    <w:p>
      <w:pPr>
        <w:ind w:left="100"/>
        <w:spacing w:after="0"/>
        <w:tabs>
          <w:tab w:leader="none" w:pos="3600" w:val="left"/>
          <w:tab w:leader="none" w:pos="6320" w:val="left"/>
          <w:tab w:leader="none" w:pos="9040" w:val="left"/>
        </w:tabs>
        <w:rPr>
          <w:sz w:val="20"/>
          <w:szCs w:val="20"/>
          <w:color w:val="auto"/>
        </w:rPr>
      </w:pPr>
      <w:r>
        <w:rPr>
          <w:rFonts w:ascii="Arial" w:cs="Arial" w:eastAsia="Arial" w:hAnsi="Arial"/>
          <w:sz w:val="18"/>
          <w:szCs w:val="18"/>
          <w:b w:val="1"/>
          <w:bCs w:val="1"/>
          <w:color w:val="auto"/>
        </w:rPr>
        <w:t>Issue Date &amp; Standard</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Adoption</w:t>
      </w:r>
      <w:r>
        <w:rPr>
          <w:sz w:val="20"/>
          <w:szCs w:val="20"/>
          <w:color w:val="auto"/>
        </w:rPr>
        <w:tab/>
      </w:r>
      <w:r>
        <w:rPr>
          <w:rFonts w:ascii="Arial" w:cs="Arial" w:eastAsia="Arial" w:hAnsi="Arial"/>
          <w:sz w:val="17"/>
          <w:szCs w:val="17"/>
          <w:b w:val="1"/>
          <w:bCs w:val="1"/>
          <w:color w:val="auto"/>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2383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23837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May 2014</w:t>
      </w:r>
    </w:p>
    <w:p>
      <w:pPr>
        <w:spacing w:after="0" w:line="23" w:lineRule="exact"/>
        <w:rPr>
          <w:sz w:val="20"/>
          <w:szCs w:val="20"/>
          <w:color w:val="auto"/>
        </w:rPr>
      </w:pPr>
    </w:p>
    <w:p>
      <w:pPr>
        <w:ind w:left="40"/>
        <w:spacing w:after="0" w:line="273" w:lineRule="auto"/>
        <w:rPr>
          <w:sz w:val="20"/>
          <w:szCs w:val="20"/>
          <w:color w:val="auto"/>
        </w:rPr>
      </w:pPr>
      <w:r>
        <w:rPr>
          <w:rFonts w:ascii="Arial" w:cs="Arial" w:eastAsia="Arial" w:hAnsi="Arial"/>
          <w:sz w:val="17"/>
          <w:szCs w:val="17"/>
          <w:color w:val="auto"/>
        </w:rPr>
        <w:t>ASU No. 2014-09, Revenue from Contracts with Customers (Topic 606)</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ind w:left="40"/>
              <w:spacing w:after="0"/>
              <w:rPr>
                <w:sz w:val="20"/>
                <w:szCs w:val="20"/>
                <w:color w:val="auto"/>
              </w:rPr>
            </w:pPr>
            <w:r>
              <w:rPr>
                <w:rFonts w:ascii="Arial" w:cs="Arial" w:eastAsia="Arial" w:hAnsi="Arial"/>
                <w:sz w:val="18"/>
                <w:szCs w:val="18"/>
                <w:color w:val="auto"/>
                <w:w w:val="93"/>
              </w:rPr>
              <w:t>This ASU requires an entity to recognize the amount</w:t>
            </w:r>
          </w:p>
        </w:tc>
        <w:tc>
          <w:tcPr>
            <w:tcW w:w="1060" w:type="dxa"/>
            <w:vAlign w:val="bottom"/>
          </w:tcPr>
          <w:p>
            <w:pPr>
              <w:ind w:left="120"/>
              <w:spacing w:after="0"/>
              <w:rPr>
                <w:sz w:val="20"/>
                <w:szCs w:val="20"/>
                <w:color w:val="auto"/>
              </w:rPr>
            </w:pPr>
            <w:r>
              <w:rPr>
                <w:rFonts w:ascii="Arial" w:cs="Arial" w:eastAsia="Arial" w:hAnsi="Arial"/>
                <w:sz w:val="18"/>
                <w:szCs w:val="18"/>
                <w:color w:val="auto"/>
              </w:rPr>
              <w:t>January 1,</w:t>
            </w:r>
          </w:p>
        </w:tc>
        <w:tc>
          <w:tcPr>
            <w:tcW w:w="4180" w:type="dxa"/>
            <w:vAlign w:val="bottom"/>
          </w:tcPr>
          <w:p>
            <w:pPr>
              <w:ind w:left="200"/>
              <w:spacing w:after="0"/>
              <w:rPr>
                <w:sz w:val="20"/>
                <w:szCs w:val="20"/>
                <w:color w:val="auto"/>
              </w:rPr>
            </w:pPr>
            <w:r>
              <w:rPr>
                <w:rFonts w:ascii="Arial" w:cs="Arial" w:eastAsia="Arial" w:hAnsi="Arial"/>
                <w:sz w:val="18"/>
                <w:szCs w:val="18"/>
                <w:color w:val="auto"/>
                <w:w w:val="97"/>
              </w:rPr>
              <w:t>We elected the cumulative effect transition method;</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8"/>
              </w:rPr>
              <w:t>of revenue to which it expects to be entitled for the</w:t>
            </w:r>
          </w:p>
        </w:tc>
        <w:tc>
          <w:tcPr>
            <w:tcW w:w="1060" w:type="dxa"/>
            <w:vAlign w:val="bottom"/>
          </w:tcPr>
          <w:p>
            <w:pPr>
              <w:ind w:left="120"/>
              <w:spacing w:after="0"/>
              <w:rPr>
                <w:sz w:val="20"/>
                <w:szCs w:val="20"/>
                <w:color w:val="auto"/>
              </w:rPr>
            </w:pPr>
            <w:r>
              <w:rPr>
                <w:rFonts w:ascii="Arial" w:cs="Arial" w:eastAsia="Arial" w:hAnsi="Arial"/>
                <w:sz w:val="18"/>
                <w:szCs w:val="18"/>
                <w:color w:val="auto"/>
              </w:rPr>
              <w:t>2018</w:t>
            </w:r>
          </w:p>
        </w:tc>
        <w:tc>
          <w:tcPr>
            <w:tcW w:w="4180" w:type="dxa"/>
            <w:vAlign w:val="bottom"/>
          </w:tcPr>
          <w:p>
            <w:pPr>
              <w:ind w:left="200"/>
              <w:spacing w:after="0"/>
              <w:rPr>
                <w:sz w:val="20"/>
                <w:szCs w:val="20"/>
                <w:color w:val="auto"/>
              </w:rPr>
            </w:pPr>
            <w:r>
              <w:rPr>
                <w:rFonts w:ascii="Arial" w:cs="Arial" w:eastAsia="Arial" w:hAnsi="Arial"/>
                <w:sz w:val="18"/>
                <w:szCs w:val="18"/>
                <w:color w:val="auto"/>
                <w:w w:val="96"/>
              </w:rPr>
              <w:t>however, we recognized no cumulative effect to the</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5"/>
              </w:rPr>
              <w:t>transfer of promised goods or services to customers</w:t>
            </w:r>
          </w:p>
        </w:tc>
        <w:tc>
          <w:tcPr>
            <w:tcW w:w="10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w w:val="99"/>
              </w:rPr>
              <w:t>opening balance of retained earnings because the</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and replaces most existing revenue recognition</w:t>
            </w:r>
          </w:p>
        </w:tc>
        <w:tc>
          <w:tcPr>
            <w:tcW w:w="10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w w:val="96"/>
              </w:rPr>
              <w:t>impact on the timing of when revenue is recognized</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guidance.</w:t>
            </w:r>
          </w:p>
        </w:tc>
        <w:tc>
          <w:tcPr>
            <w:tcW w:w="10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w w:val="91"/>
              </w:rPr>
              <w:t>within our Cardiovascular segment, specifically related</w:t>
            </w:r>
          </w:p>
        </w:tc>
      </w:tr>
      <w:tr>
        <w:trPr>
          <w:trHeight w:val="216"/>
        </w:trPr>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w w:val="92"/>
              </w:rPr>
              <w:t>to heart-lung machines and preventative maintenance</w:t>
            </w:r>
          </w:p>
        </w:tc>
      </w:tr>
      <w:tr>
        <w:trPr>
          <w:trHeight w:val="216"/>
        </w:trPr>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contracts on cardiopulmonary equipment was</w:t>
            </w:r>
          </w:p>
        </w:tc>
      </w:tr>
      <w:tr>
        <w:trPr>
          <w:trHeight w:val="216"/>
        </w:trPr>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w w:val="99"/>
              </w:rPr>
              <w:t>insignificant. The timing of revenue recognition for</w:t>
            </w:r>
          </w:p>
        </w:tc>
      </w:tr>
      <w:tr>
        <w:trPr>
          <w:trHeight w:val="216"/>
        </w:trPr>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products and related revenue streams within our</w:t>
            </w:r>
          </w:p>
        </w:tc>
      </w:tr>
      <w:tr>
        <w:trPr>
          <w:trHeight w:val="216"/>
        </w:trPr>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w w:val="89"/>
              </w:rPr>
              <w:t>Neuromodulation segment and discontinued operations</w:t>
            </w:r>
          </w:p>
        </w:tc>
      </w:tr>
      <w:tr>
        <w:trPr>
          <w:trHeight w:val="216"/>
        </w:trPr>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w w:val="89"/>
              </w:rPr>
              <w:t>did not change. Upon adoption of the new standard, we</w:t>
            </w:r>
          </w:p>
        </w:tc>
      </w:tr>
      <w:tr>
        <w:trPr>
          <w:trHeight w:val="216"/>
        </w:trPr>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implemented new internal controls related to our</w:t>
            </w:r>
          </w:p>
        </w:tc>
      </w:tr>
      <w:tr>
        <w:trPr>
          <w:trHeight w:val="216"/>
        </w:trPr>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w w:val="94"/>
              </w:rPr>
              <w:t>accounting policies and procedures, including review</w:t>
            </w:r>
          </w:p>
        </w:tc>
      </w:tr>
      <w:tr>
        <w:trPr>
          <w:trHeight w:val="216"/>
        </w:trPr>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w w:val="89"/>
              </w:rPr>
              <w:t>controls to ensure contractual terms and conditions that</w:t>
            </w:r>
          </w:p>
        </w:tc>
      </w:tr>
      <w:tr>
        <w:trPr>
          <w:trHeight w:val="216"/>
        </w:trPr>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may require consideration under the standard are</w:t>
            </w:r>
          </w:p>
        </w:tc>
      </w:tr>
      <w:tr>
        <w:trPr>
          <w:trHeight w:val="230"/>
        </w:trPr>
        <w:tc>
          <w:tcPr>
            <w:tcW w:w="3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properly identified and analyzed.</w:t>
            </w:r>
          </w:p>
        </w:tc>
      </w:tr>
    </w:tbl>
    <w:p>
      <w:pPr>
        <w:spacing w:after="0" w:line="200" w:lineRule="exact"/>
        <w:rPr>
          <w:sz w:val="20"/>
          <w:szCs w:val="20"/>
          <w:color w:val="auto"/>
        </w:rPr>
      </w:pPr>
    </w:p>
    <w:p>
      <w:pPr>
        <w:sectPr>
          <w:pgSz w:w="11900" w:h="16838" w:orient="portrait"/>
          <w:cols w:equalWidth="0" w:num="2">
            <w:col w:w="1800" w:space="300"/>
            <w:col w:w="9320"/>
          </w:cols>
          <w:pgMar w:left="240" w:top="823" w:right="239" w:bottom="1440" w:gutter="0" w:footer="0" w:header="0"/>
          <w:type w:val="continuous"/>
        </w:sectPr>
      </w:pP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F-58</w:t>
      </w:r>
    </w:p>
    <w:p>
      <w:pPr>
        <w:sectPr>
          <w:pgSz w:w="11900" w:h="16838" w:orient="portrait"/>
          <w:cols w:equalWidth="0" w:num="1">
            <w:col w:w="11420"/>
          </w:cols>
          <w:pgMar w:left="240" w:top="823" w:right="239" w:bottom="1440" w:gutter="0" w:footer="0" w:header="0"/>
          <w:type w:val="continuous"/>
        </w:sectPr>
      </w:pPr>
    </w:p>
    <w:bookmarkStart w:id="118" w:name="page119"/>
    <w:bookmarkEnd w:id="118"/>
    <w:tbl>
      <w:tblPr>
        <w:tblLayout w:type="fixed"/>
        <w:tblInd w:w="10" w:type="dxa"/>
        <w:tblCellMar>
          <w:top w:w="0" w:type="dxa"/>
          <w:left w:w="0" w:type="dxa"/>
          <w:bottom w:w="0" w:type="dxa"/>
          <w:right w:w="0" w:type="dxa"/>
        </w:tblCellMar>
      </w:tblPr>
      <w:tr>
        <w:trPr>
          <w:trHeight w:val="207"/>
        </w:trPr>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6"/>
              </w:rPr>
              <w:t>January 2016</w:t>
            </w:r>
          </w:p>
        </w:tc>
        <w:tc>
          <w:tcPr>
            <w:tcW w:w="940" w:type="dxa"/>
            <w:vAlign w:val="bottom"/>
            <w:gridSpan w:val="2"/>
          </w:tcPr>
          <w:p>
            <w:pPr>
              <w:spacing w:after="0"/>
              <w:rPr>
                <w:sz w:val="17"/>
                <w:szCs w:val="17"/>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w w:val="97"/>
              </w:rPr>
              <w:t>This update requires equity investments that do not</w:t>
            </w:r>
          </w:p>
        </w:tc>
        <w:tc>
          <w:tcPr>
            <w:tcW w:w="1020" w:type="dxa"/>
            <w:vAlign w:val="bottom"/>
          </w:tcPr>
          <w:p>
            <w:pPr>
              <w:ind w:left="80"/>
              <w:spacing w:after="0"/>
              <w:rPr>
                <w:sz w:val="20"/>
                <w:szCs w:val="20"/>
                <w:color w:val="auto"/>
              </w:rPr>
            </w:pPr>
            <w:r>
              <w:rPr>
                <w:rFonts w:ascii="Arial" w:cs="Arial" w:eastAsia="Arial" w:hAnsi="Arial"/>
                <w:sz w:val="18"/>
                <w:szCs w:val="18"/>
                <w:color w:val="auto"/>
              </w:rPr>
              <w:t>January 1,</w:t>
            </w:r>
          </w:p>
        </w:tc>
        <w:tc>
          <w:tcPr>
            <w:tcW w:w="4280" w:type="dxa"/>
            <w:vAlign w:val="bottom"/>
          </w:tcPr>
          <w:p>
            <w:pPr>
              <w:ind w:left="200"/>
              <w:spacing w:after="0"/>
              <w:rPr>
                <w:sz w:val="20"/>
                <w:szCs w:val="20"/>
                <w:color w:val="auto"/>
              </w:rPr>
            </w:pPr>
            <w:r>
              <w:rPr>
                <w:rFonts w:ascii="Arial" w:cs="Arial" w:eastAsia="Arial" w:hAnsi="Arial"/>
                <w:sz w:val="18"/>
                <w:szCs w:val="18"/>
                <w:color w:val="auto"/>
              </w:rPr>
              <w:t>There was no material impact to our consolidated</w:t>
            </w:r>
          </w:p>
        </w:tc>
      </w:tr>
      <w:tr>
        <w:trPr>
          <w:trHeight w:val="222"/>
        </w:trPr>
        <w:tc>
          <w:tcPr>
            <w:tcW w:w="1940" w:type="dxa"/>
            <w:vAlign w:val="bottom"/>
            <w:gridSpan w:val="3"/>
          </w:tcPr>
          <w:p>
            <w:pPr>
              <w:ind w:left="40"/>
              <w:spacing w:after="0"/>
              <w:rPr>
                <w:sz w:val="20"/>
                <w:szCs w:val="20"/>
                <w:color w:val="auto"/>
              </w:rPr>
            </w:pPr>
            <w:r>
              <w:rPr>
                <w:rFonts w:ascii="Arial" w:cs="Arial" w:eastAsia="Arial" w:hAnsi="Arial"/>
                <w:sz w:val="18"/>
                <w:szCs w:val="18"/>
                <w:color w:val="auto"/>
              </w:rPr>
              <w:t>ASU No. 2016-01,</w:t>
            </w:r>
          </w:p>
        </w:tc>
        <w:tc>
          <w:tcPr>
            <w:tcW w:w="4180" w:type="dxa"/>
            <w:vAlign w:val="bottom"/>
          </w:tcPr>
          <w:p>
            <w:pPr>
              <w:ind w:left="160"/>
              <w:spacing w:after="0"/>
              <w:rPr>
                <w:sz w:val="20"/>
                <w:szCs w:val="20"/>
                <w:color w:val="auto"/>
              </w:rPr>
            </w:pPr>
            <w:r>
              <w:rPr>
                <w:rFonts w:ascii="Arial" w:cs="Arial" w:eastAsia="Arial" w:hAnsi="Arial"/>
                <w:sz w:val="18"/>
                <w:szCs w:val="18"/>
                <w:color w:val="auto"/>
                <w:w w:val="92"/>
              </w:rPr>
              <w:t>result in consolidation and are not accounted for under</w:t>
            </w:r>
          </w:p>
        </w:tc>
        <w:tc>
          <w:tcPr>
            <w:tcW w:w="1020" w:type="dxa"/>
            <w:vAlign w:val="bottom"/>
          </w:tcPr>
          <w:p>
            <w:pPr>
              <w:ind w:left="80"/>
              <w:spacing w:after="0"/>
              <w:rPr>
                <w:sz w:val="20"/>
                <w:szCs w:val="20"/>
                <w:color w:val="auto"/>
              </w:rPr>
            </w:pPr>
            <w:r>
              <w:rPr>
                <w:rFonts w:ascii="Arial" w:cs="Arial" w:eastAsia="Arial" w:hAnsi="Arial"/>
                <w:sz w:val="18"/>
                <w:szCs w:val="18"/>
                <w:color w:val="auto"/>
              </w:rPr>
              <w:t>2018</w:t>
            </w:r>
          </w:p>
        </w:tc>
        <w:tc>
          <w:tcPr>
            <w:tcW w:w="4280" w:type="dxa"/>
            <w:vAlign w:val="bottom"/>
          </w:tcPr>
          <w:p>
            <w:pPr>
              <w:ind w:left="200"/>
              <w:spacing w:after="0"/>
              <w:rPr>
                <w:sz w:val="20"/>
                <w:szCs w:val="20"/>
                <w:color w:val="auto"/>
              </w:rPr>
            </w:pPr>
            <w:r>
              <w:rPr>
                <w:rFonts w:ascii="Arial" w:cs="Arial" w:eastAsia="Arial" w:hAnsi="Arial"/>
                <w:sz w:val="18"/>
                <w:szCs w:val="18"/>
                <w:color w:val="auto"/>
                <w:w w:val="96"/>
              </w:rPr>
              <w:t>financial statements as a result of adopting this ASU.</w:t>
            </w:r>
          </w:p>
        </w:tc>
      </w:tr>
      <w:tr>
        <w:trPr>
          <w:trHeight w:val="216"/>
        </w:trPr>
        <w:tc>
          <w:tcPr>
            <w:tcW w:w="1940" w:type="dxa"/>
            <w:vAlign w:val="bottom"/>
            <w:gridSpan w:val="3"/>
          </w:tcPr>
          <w:p>
            <w:pPr>
              <w:ind w:left="40"/>
              <w:spacing w:after="0"/>
              <w:rPr>
                <w:sz w:val="20"/>
                <w:szCs w:val="20"/>
                <w:color w:val="auto"/>
              </w:rPr>
            </w:pPr>
            <w:r>
              <w:rPr>
                <w:rFonts w:ascii="Arial" w:cs="Arial" w:eastAsia="Arial" w:hAnsi="Arial"/>
                <w:sz w:val="18"/>
                <w:szCs w:val="18"/>
                <w:color w:val="auto"/>
              </w:rPr>
              <w:t>Financial Instruments -</w:t>
            </w:r>
          </w:p>
        </w:tc>
        <w:tc>
          <w:tcPr>
            <w:tcW w:w="4180" w:type="dxa"/>
            <w:vAlign w:val="bottom"/>
          </w:tcPr>
          <w:p>
            <w:pPr>
              <w:ind w:left="160"/>
              <w:spacing w:after="0"/>
              <w:rPr>
                <w:sz w:val="20"/>
                <w:szCs w:val="20"/>
                <w:color w:val="auto"/>
              </w:rPr>
            </w:pPr>
            <w:r>
              <w:rPr>
                <w:rFonts w:ascii="Arial" w:cs="Arial" w:eastAsia="Arial" w:hAnsi="Arial"/>
                <w:sz w:val="18"/>
                <w:szCs w:val="18"/>
                <w:color w:val="auto"/>
                <w:w w:val="97"/>
              </w:rPr>
              <w:t>the equity method to be measured at fair value with</w:t>
            </w:r>
          </w:p>
        </w:tc>
        <w:tc>
          <w:tcPr>
            <w:tcW w:w="102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216"/>
        </w:trPr>
        <w:tc>
          <w:tcPr>
            <w:tcW w:w="1940" w:type="dxa"/>
            <w:vAlign w:val="bottom"/>
            <w:gridSpan w:val="3"/>
          </w:tcPr>
          <w:p>
            <w:pPr>
              <w:ind w:left="40"/>
              <w:spacing w:after="0"/>
              <w:rPr>
                <w:sz w:val="20"/>
                <w:szCs w:val="20"/>
                <w:color w:val="auto"/>
              </w:rPr>
            </w:pPr>
            <w:r>
              <w:rPr>
                <w:rFonts w:ascii="Arial" w:cs="Arial" w:eastAsia="Arial" w:hAnsi="Arial"/>
                <w:sz w:val="18"/>
                <w:szCs w:val="18"/>
                <w:color w:val="auto"/>
              </w:rPr>
              <w:t>Overall (Subtopic 825-</w:t>
            </w:r>
          </w:p>
        </w:tc>
        <w:tc>
          <w:tcPr>
            <w:tcW w:w="4180" w:type="dxa"/>
            <w:vAlign w:val="bottom"/>
          </w:tcPr>
          <w:p>
            <w:pPr>
              <w:ind w:left="160"/>
              <w:spacing w:after="0"/>
              <w:rPr>
                <w:sz w:val="20"/>
                <w:szCs w:val="20"/>
                <w:color w:val="auto"/>
              </w:rPr>
            </w:pPr>
            <w:r>
              <w:rPr>
                <w:rFonts w:ascii="Arial" w:cs="Arial" w:eastAsia="Arial" w:hAnsi="Arial"/>
                <w:sz w:val="18"/>
                <w:szCs w:val="18"/>
                <w:color w:val="auto"/>
                <w:w w:val="92"/>
              </w:rPr>
              <w:t>changes recognized in net income. However, an entity</w:t>
            </w:r>
          </w:p>
        </w:tc>
        <w:tc>
          <w:tcPr>
            <w:tcW w:w="102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216"/>
        </w:trPr>
        <w:tc>
          <w:tcPr>
            <w:tcW w:w="1940" w:type="dxa"/>
            <w:vAlign w:val="bottom"/>
            <w:gridSpan w:val="3"/>
          </w:tcPr>
          <w:p>
            <w:pPr>
              <w:ind w:left="4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i w:val="1"/>
                <w:iCs w:val="1"/>
                <w:color w:val="auto"/>
              </w:rPr>
              <w:t>Recognition and</w:t>
            </w:r>
          </w:p>
        </w:tc>
        <w:tc>
          <w:tcPr>
            <w:tcW w:w="4180" w:type="dxa"/>
            <w:vAlign w:val="bottom"/>
          </w:tcPr>
          <w:p>
            <w:pPr>
              <w:ind w:left="160"/>
              <w:spacing w:after="0"/>
              <w:rPr>
                <w:sz w:val="20"/>
                <w:szCs w:val="20"/>
                <w:color w:val="auto"/>
              </w:rPr>
            </w:pPr>
            <w:r>
              <w:rPr>
                <w:rFonts w:ascii="Arial" w:cs="Arial" w:eastAsia="Arial" w:hAnsi="Arial"/>
                <w:sz w:val="18"/>
                <w:szCs w:val="18"/>
                <w:color w:val="auto"/>
                <w:w w:val="96"/>
              </w:rPr>
              <w:t>may elect to measure equity investments that do not</w:t>
            </w:r>
          </w:p>
        </w:tc>
        <w:tc>
          <w:tcPr>
            <w:tcW w:w="102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216"/>
        </w:trPr>
        <w:tc>
          <w:tcPr>
            <w:tcW w:w="1940" w:type="dxa"/>
            <w:vAlign w:val="bottom"/>
            <w:gridSpan w:val="3"/>
          </w:tcPr>
          <w:p>
            <w:pPr>
              <w:ind w:left="40"/>
              <w:spacing w:after="0"/>
              <w:rPr>
                <w:sz w:val="20"/>
                <w:szCs w:val="20"/>
                <w:color w:val="auto"/>
              </w:rPr>
            </w:pPr>
            <w:r>
              <w:rPr>
                <w:rFonts w:ascii="Arial" w:cs="Arial" w:eastAsia="Arial" w:hAnsi="Arial"/>
                <w:sz w:val="18"/>
                <w:szCs w:val="18"/>
                <w:i w:val="1"/>
                <w:iCs w:val="1"/>
                <w:color w:val="auto"/>
              </w:rPr>
              <w:t>Measurement of</w:t>
            </w:r>
          </w:p>
        </w:tc>
        <w:tc>
          <w:tcPr>
            <w:tcW w:w="4180" w:type="dxa"/>
            <w:vAlign w:val="bottom"/>
          </w:tcPr>
          <w:p>
            <w:pPr>
              <w:ind w:left="160"/>
              <w:spacing w:after="0"/>
              <w:rPr>
                <w:sz w:val="20"/>
                <w:szCs w:val="20"/>
                <w:color w:val="auto"/>
              </w:rPr>
            </w:pPr>
            <w:r>
              <w:rPr>
                <w:rFonts w:ascii="Arial" w:cs="Arial" w:eastAsia="Arial" w:hAnsi="Arial"/>
                <w:sz w:val="18"/>
                <w:szCs w:val="18"/>
                <w:color w:val="auto"/>
                <w:w w:val="98"/>
              </w:rPr>
              <w:t>have readily determinable fair values at cost minus</w:t>
            </w:r>
          </w:p>
        </w:tc>
        <w:tc>
          <w:tcPr>
            <w:tcW w:w="102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216"/>
        </w:trPr>
        <w:tc>
          <w:tcPr>
            <w:tcW w:w="1940" w:type="dxa"/>
            <w:vAlign w:val="bottom"/>
            <w:gridSpan w:val="3"/>
          </w:tcPr>
          <w:p>
            <w:pPr>
              <w:ind w:left="40"/>
              <w:spacing w:after="0"/>
              <w:rPr>
                <w:sz w:val="20"/>
                <w:szCs w:val="20"/>
                <w:color w:val="auto"/>
              </w:rPr>
            </w:pPr>
            <w:r>
              <w:rPr>
                <w:rFonts w:ascii="Arial" w:cs="Arial" w:eastAsia="Arial" w:hAnsi="Arial"/>
                <w:sz w:val="18"/>
                <w:szCs w:val="18"/>
                <w:i w:val="1"/>
                <w:iCs w:val="1"/>
                <w:color w:val="auto"/>
              </w:rPr>
              <w:t>Financial Assets and</w:t>
            </w:r>
          </w:p>
        </w:tc>
        <w:tc>
          <w:tcPr>
            <w:tcW w:w="4180" w:type="dxa"/>
            <w:vAlign w:val="bottom"/>
          </w:tcPr>
          <w:p>
            <w:pPr>
              <w:ind w:left="160"/>
              <w:spacing w:after="0"/>
              <w:rPr>
                <w:sz w:val="20"/>
                <w:szCs w:val="20"/>
                <w:color w:val="auto"/>
              </w:rPr>
            </w:pPr>
            <w:r>
              <w:rPr>
                <w:rFonts w:ascii="Arial" w:cs="Arial" w:eastAsia="Arial" w:hAnsi="Arial"/>
                <w:sz w:val="18"/>
                <w:szCs w:val="18"/>
                <w:color w:val="auto"/>
                <w:w w:val="98"/>
              </w:rPr>
              <w:t>impairment, if any, plus or minus changes resulting</w:t>
            </w:r>
          </w:p>
        </w:tc>
        <w:tc>
          <w:tcPr>
            <w:tcW w:w="102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216"/>
        </w:trPr>
        <w:tc>
          <w:tcPr>
            <w:tcW w:w="1940" w:type="dxa"/>
            <w:vAlign w:val="bottom"/>
            <w:gridSpan w:val="3"/>
          </w:tcPr>
          <w:p>
            <w:pPr>
              <w:ind w:left="40"/>
              <w:spacing w:after="0"/>
              <w:rPr>
                <w:sz w:val="20"/>
                <w:szCs w:val="20"/>
                <w:color w:val="auto"/>
              </w:rPr>
            </w:pPr>
            <w:r>
              <w:rPr>
                <w:rFonts w:ascii="Arial" w:cs="Arial" w:eastAsia="Arial" w:hAnsi="Arial"/>
                <w:sz w:val="18"/>
                <w:szCs w:val="18"/>
                <w:i w:val="1"/>
                <w:iCs w:val="1"/>
                <w:color w:val="auto"/>
              </w:rPr>
              <w:t>Financial Liabilities</w:t>
            </w:r>
          </w:p>
        </w:tc>
        <w:tc>
          <w:tcPr>
            <w:tcW w:w="4180" w:type="dxa"/>
            <w:vAlign w:val="bottom"/>
          </w:tcPr>
          <w:p>
            <w:pPr>
              <w:ind w:left="160"/>
              <w:spacing w:after="0"/>
              <w:rPr>
                <w:sz w:val="20"/>
                <w:szCs w:val="20"/>
                <w:color w:val="auto"/>
              </w:rPr>
            </w:pPr>
            <w:r>
              <w:rPr>
                <w:rFonts w:ascii="Arial" w:cs="Arial" w:eastAsia="Arial" w:hAnsi="Arial"/>
                <w:sz w:val="18"/>
                <w:szCs w:val="18"/>
                <w:color w:val="auto"/>
                <w:w w:val="93"/>
              </w:rPr>
              <w:t>from observable price changes in orderly transactions</w:t>
            </w:r>
          </w:p>
        </w:tc>
        <w:tc>
          <w:tcPr>
            <w:tcW w:w="102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w w:val="99"/>
              </w:rPr>
              <w:t>for an identical or a similar investment of the same</w:t>
            </w:r>
          </w:p>
        </w:tc>
        <w:tc>
          <w:tcPr>
            <w:tcW w:w="102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issuer.</w:t>
            </w:r>
          </w:p>
        </w:tc>
        <w:tc>
          <w:tcPr>
            <w:tcW w:w="102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27"/>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03"/>
        </w:trPr>
        <w:tc>
          <w:tcPr>
            <w:tcW w:w="1940" w:type="dxa"/>
            <w:vAlign w:val="bottom"/>
            <w:tcBorders>
              <w:left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February 2016</w:t>
            </w:r>
          </w:p>
        </w:tc>
        <w:tc>
          <w:tcPr>
            <w:tcW w:w="4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89"/>
              </w:rPr>
              <w:t>The standard requires lessees to recognize most leases</w:t>
            </w:r>
          </w:p>
        </w:tc>
        <w:tc>
          <w:tcPr>
            <w:tcW w:w="10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January 1,</w:t>
            </w:r>
          </w:p>
        </w:tc>
        <w:tc>
          <w:tcPr>
            <w:tcW w:w="4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Adoption of the new standard resulted in the</w:t>
            </w:r>
          </w:p>
        </w:tc>
      </w:tr>
      <w:tr>
        <w:trPr>
          <w:trHeight w:val="20"/>
        </w:trPr>
        <w:tc>
          <w:tcPr>
            <w:tcW w:w="1080" w:type="dxa"/>
            <w:vAlign w:val="bottom"/>
            <w:tcBorders>
              <w:left w:val="single" w:sz="8" w:color="CCEEFF"/>
            </w:tcBorders>
            <w:gridSpan w:val="2"/>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r>
      <w:tr>
        <w:trPr>
          <w:trHeight w:val="222"/>
        </w:trPr>
        <w:tc>
          <w:tcPr>
            <w:tcW w:w="194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ASU No. 2016-02,</w:t>
            </w: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the balance sheet as lease liabilities with</w:t>
            </w:r>
          </w:p>
        </w:tc>
        <w:tc>
          <w:tcPr>
            <w:tcW w:w="1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2019</w:t>
            </w: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recognition of ROU assets and lease liabilities of</w:t>
            </w:r>
          </w:p>
        </w:tc>
      </w:tr>
      <w:tr>
        <w:trPr>
          <w:trHeight w:val="216"/>
        </w:trPr>
        <w:tc>
          <w:tcPr>
            <w:tcW w:w="194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Leases (Topic 842) and</w:t>
            </w: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corresponding right-of-use (“ROU”) assets and to</w:t>
            </w: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approximately $60 million as of January 1, 2019. Refer</w:t>
            </w:r>
          </w:p>
        </w:tc>
      </w:tr>
      <w:tr>
        <w:trPr>
          <w:trHeight w:val="216"/>
        </w:trPr>
        <w:tc>
          <w:tcPr>
            <w:tcW w:w="194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subsequent amendments</w:t>
            </w: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provide enhanced disclosures. Furthermore, from a</w:t>
            </w: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“Note 13. Leases.”</w:t>
            </w:r>
          </w:p>
        </w:tc>
      </w:tr>
      <w:tr>
        <w:trPr>
          <w:trHeight w:val="216"/>
        </w:trPr>
        <w:tc>
          <w:tcPr>
            <w:tcW w:w="10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lessor perspective, certain of our agreements that</w:t>
            </w: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r>
      <w:tr>
        <w:trPr>
          <w:trHeight w:val="216"/>
        </w:trPr>
        <w:tc>
          <w:tcPr>
            <w:tcW w:w="10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allow the customer to use, rather than purchase, our</w:t>
            </w: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r>
      <w:tr>
        <w:trPr>
          <w:trHeight w:val="216"/>
        </w:trPr>
        <w:tc>
          <w:tcPr>
            <w:tcW w:w="10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medical devices met the criteria of being a lease in</w:t>
            </w: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r>
      <w:tr>
        <w:trPr>
          <w:trHeight w:val="230"/>
        </w:trPr>
        <w:tc>
          <w:tcPr>
            <w:tcW w:w="100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accordance with the new standard.</w:t>
            </w:r>
          </w:p>
        </w:tc>
        <w:tc>
          <w:tcPr>
            <w:tcW w:w="102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r>
      <w:tr>
        <w:trPr>
          <w:trHeight w:val="27"/>
        </w:trPr>
        <w:tc>
          <w:tcPr>
            <w:tcW w:w="100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10" w:right="239" w:bottom="1440" w:gutter="0" w:footer="0" w:header="0"/>
        </w:sectPr>
      </w:pPr>
    </w:p>
    <w:p>
      <w:pPr>
        <w:ind w:left="40"/>
        <w:spacing w:after="0"/>
        <w:rPr>
          <w:sz w:val="20"/>
          <w:szCs w:val="20"/>
          <w:color w:val="auto"/>
        </w:rPr>
      </w:pPr>
      <w:r>
        <w:rPr>
          <w:rFonts w:ascii="Arial" w:cs="Arial" w:eastAsia="Arial" w:hAnsi="Arial"/>
          <w:sz w:val="18"/>
          <w:szCs w:val="18"/>
          <w:u w:val="single" w:color="auto"/>
          <w:color w:val="auto"/>
        </w:rPr>
        <w:t>August 2016</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ASU No. 2016-15,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Statement of Cash Flows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(Topic 230):</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Classification of Certain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Cash Receipts and Cash</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Payments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w w:val="91"/>
              </w:rPr>
              <w:t>This update provides guidance on the presentation and</w:t>
            </w:r>
          </w:p>
        </w:tc>
        <w:tc>
          <w:tcPr>
            <w:tcW w:w="1020" w:type="dxa"/>
            <w:vAlign w:val="bottom"/>
          </w:tcPr>
          <w:p>
            <w:pPr>
              <w:ind w:left="80"/>
              <w:spacing w:after="0"/>
              <w:rPr>
                <w:sz w:val="20"/>
                <w:szCs w:val="20"/>
                <w:color w:val="auto"/>
              </w:rPr>
            </w:pPr>
            <w:r>
              <w:rPr>
                <w:rFonts w:ascii="Arial" w:cs="Arial" w:eastAsia="Arial" w:hAnsi="Arial"/>
                <w:sz w:val="18"/>
                <w:szCs w:val="18"/>
                <w:color w:val="auto"/>
              </w:rPr>
              <w:t>January 1,</w:t>
            </w:r>
          </w:p>
        </w:tc>
        <w:tc>
          <w:tcPr>
            <w:tcW w:w="4200" w:type="dxa"/>
            <w:vAlign w:val="bottom"/>
          </w:tcPr>
          <w:p>
            <w:pPr>
              <w:ind w:left="200"/>
              <w:spacing w:after="0"/>
              <w:rPr>
                <w:sz w:val="20"/>
                <w:szCs w:val="20"/>
                <w:color w:val="auto"/>
              </w:rPr>
            </w:pPr>
            <w:r>
              <w:rPr>
                <w:rFonts w:ascii="Arial" w:cs="Arial" w:eastAsia="Arial" w:hAnsi="Arial"/>
                <w:sz w:val="18"/>
                <w:szCs w:val="18"/>
                <w:color w:val="auto"/>
              </w:rPr>
              <w:t>There was no material impact to our consolidated</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classification of certain cash receipts and cash</w:t>
            </w:r>
          </w:p>
        </w:tc>
        <w:tc>
          <w:tcPr>
            <w:tcW w:w="1020" w:type="dxa"/>
            <w:vAlign w:val="bottom"/>
          </w:tcPr>
          <w:p>
            <w:pPr>
              <w:ind w:left="80"/>
              <w:spacing w:after="0"/>
              <w:rPr>
                <w:sz w:val="20"/>
                <w:szCs w:val="20"/>
                <w:color w:val="auto"/>
              </w:rPr>
            </w:pPr>
            <w:r>
              <w:rPr>
                <w:rFonts w:ascii="Arial" w:cs="Arial" w:eastAsia="Arial" w:hAnsi="Arial"/>
                <w:sz w:val="18"/>
                <w:szCs w:val="18"/>
                <w:color w:val="auto"/>
              </w:rPr>
              <w:t>2018</w:t>
            </w:r>
          </w:p>
        </w:tc>
        <w:tc>
          <w:tcPr>
            <w:tcW w:w="4200" w:type="dxa"/>
            <w:vAlign w:val="bottom"/>
          </w:tcPr>
          <w:p>
            <w:pPr>
              <w:ind w:left="200"/>
              <w:spacing w:after="0"/>
              <w:rPr>
                <w:sz w:val="20"/>
                <w:szCs w:val="20"/>
                <w:color w:val="auto"/>
              </w:rPr>
            </w:pPr>
            <w:r>
              <w:rPr>
                <w:rFonts w:ascii="Arial" w:cs="Arial" w:eastAsia="Arial" w:hAnsi="Arial"/>
                <w:sz w:val="18"/>
                <w:szCs w:val="18"/>
                <w:color w:val="auto"/>
                <w:w w:val="90"/>
              </w:rPr>
              <w:t>financial statement of cash flows as a result of adopting</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payments in the statement of cash flows.</w:t>
            </w:r>
          </w:p>
        </w:tc>
        <w:tc>
          <w:tcPr>
            <w:tcW w:w="1020" w:type="dxa"/>
            <w:vAlign w:val="bottom"/>
          </w:tcPr>
          <w:p>
            <w:pPr>
              <w:spacing w:after="0"/>
              <w:rPr>
                <w:sz w:val="20"/>
                <w:szCs w:val="20"/>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this ASU.</w:t>
            </w:r>
          </w:p>
        </w:tc>
      </w:tr>
    </w:tbl>
    <w:p>
      <w:pPr>
        <w:spacing w:after="0" w:line="887" w:lineRule="exact"/>
        <w:rPr>
          <w:sz w:val="20"/>
          <w:szCs w:val="20"/>
          <w:color w:val="auto"/>
        </w:rPr>
      </w:pPr>
    </w:p>
    <w:p>
      <w:pPr>
        <w:sectPr>
          <w:pgSz w:w="11900" w:h="16838" w:orient="portrait"/>
          <w:cols w:equalWidth="0" w:num="2">
            <w:col w:w="1840" w:space="260"/>
            <w:col w:w="9320"/>
          </w:cols>
          <w:pgMar w:left="240" w:top="810" w:right="239" w:bottom="1440" w:gutter="0" w:footer="0" w:header="0"/>
          <w:type w:val="continuous"/>
        </w:sectPr>
      </w:pPr>
    </w:p>
    <w:tbl>
      <w:tblPr>
        <w:tblLayout w:type="fixed"/>
        <w:tblInd w:w="10" w:type="dxa"/>
        <w:tblCellMar>
          <w:top w:w="0" w:type="dxa"/>
          <w:left w:w="0" w:type="dxa"/>
          <w:bottom w:w="0" w:type="dxa"/>
          <w:right w:w="0" w:type="dxa"/>
        </w:tblCellMar>
      </w:tblPr>
      <w:tr>
        <w:trPr>
          <w:trHeight w:val="207"/>
        </w:trPr>
        <w:tc>
          <w:tcPr>
            <w:tcW w:w="1020" w:type="dxa"/>
            <w:vAlign w:val="bottom"/>
            <w:tcBorders>
              <w:left w:val="single" w:sz="8" w:color="CCEEFF"/>
              <w:bottom w:val="single" w:sz="8" w:color="auto"/>
            </w:tcBorders>
            <w:gridSpan w:val="3"/>
            <w:shd w:val="clear" w:color="auto" w:fill="CCEEFF"/>
          </w:tcPr>
          <w:p>
            <w:pPr>
              <w:ind w:left="40"/>
              <w:spacing w:after="0"/>
              <w:rPr>
                <w:sz w:val="20"/>
                <w:szCs w:val="20"/>
                <w:color w:val="auto"/>
              </w:rPr>
            </w:pPr>
            <w:r>
              <w:rPr>
                <w:rFonts w:ascii="Arial" w:cs="Arial" w:eastAsia="Arial" w:hAnsi="Arial"/>
                <w:sz w:val="18"/>
                <w:szCs w:val="18"/>
                <w:color w:val="auto"/>
                <w:w w:val="87"/>
              </w:rPr>
              <w:t>October 2016</w:t>
            </w:r>
          </w:p>
        </w:tc>
        <w:tc>
          <w:tcPr>
            <w:tcW w:w="960" w:type="dxa"/>
            <w:vAlign w:val="bottom"/>
            <w:tcBorders>
              <w:bottom w:val="single" w:sz="8" w:color="CCEEFF"/>
            </w:tcBorders>
            <w:shd w:val="clear" w:color="auto" w:fill="CCEEFF"/>
          </w:tcPr>
          <w:p>
            <w:pPr>
              <w:spacing w:after="0"/>
              <w:rPr>
                <w:sz w:val="17"/>
                <w:szCs w:val="17"/>
                <w:color w:val="auto"/>
              </w:rPr>
            </w:pPr>
          </w:p>
        </w:tc>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6"/>
              </w:rPr>
              <w:t>This update simplifies the accounting for the income</w:t>
            </w:r>
          </w:p>
        </w:tc>
        <w:tc>
          <w:tcPr>
            <w:tcW w:w="1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January 1,</w:t>
            </w:r>
          </w:p>
        </w:tc>
        <w:tc>
          <w:tcPr>
            <w:tcW w:w="4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 recognized the following cumulative-effect</w:t>
            </w:r>
          </w:p>
        </w:tc>
      </w:tr>
      <w:tr>
        <w:trPr>
          <w:trHeight w:val="222"/>
        </w:trPr>
        <w:tc>
          <w:tcPr>
            <w:tcW w:w="198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ASU No. 2016-16,</w:t>
            </w: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tax consequences of transfers of assets from one unit</w:t>
            </w:r>
          </w:p>
        </w:tc>
        <w:tc>
          <w:tcPr>
            <w:tcW w:w="1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2018</w:t>
            </w: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including to retained earnings, upon</w:t>
            </w:r>
          </w:p>
        </w:tc>
      </w:tr>
      <w:tr>
        <w:trPr>
          <w:trHeight w:val="216"/>
        </w:trPr>
        <w:tc>
          <w:tcPr>
            <w:tcW w:w="198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Taxes (Topic</w:t>
            </w: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a corporation to another unit or subsidiary by</w:t>
            </w: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adoption at January 1, 2018:</w:t>
            </w:r>
          </w:p>
        </w:tc>
      </w:tr>
      <w:tr>
        <w:trPr>
          <w:trHeight w:val="216"/>
        </w:trPr>
        <w:tc>
          <w:tcPr>
            <w:tcW w:w="198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740): Intra-Entity</w:t>
            </w: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eliminating an accounting exception that prevents the</w:t>
            </w: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Prepaid expenses and other current assets decreased by</w:t>
            </w:r>
          </w:p>
        </w:tc>
      </w:tr>
      <w:tr>
        <w:trPr>
          <w:trHeight w:val="216"/>
        </w:trPr>
        <w:tc>
          <w:tcPr>
            <w:tcW w:w="198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3"/>
              </w:rPr>
              <w:t>Transfers of Assets Other</w:t>
            </w: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recognition of current and deferred income tax</w:t>
            </w: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$12.6 million, deferred tax assets increased by $58.3</w:t>
            </w:r>
          </w:p>
        </w:tc>
      </w:tr>
      <w:tr>
        <w:trPr>
          <w:trHeight w:val="216"/>
        </w:trPr>
        <w:tc>
          <w:tcPr>
            <w:tcW w:w="198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Than Inventory.</w:t>
            </w: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consequences for such “intra-entity transfers” until the</w:t>
            </w: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million, other assets decreased by $68.1 million and the</w:t>
            </w:r>
          </w:p>
        </w:tc>
      </w:tr>
      <w:tr>
        <w:trPr>
          <w:trHeight w:val="237"/>
        </w:trPr>
        <w:tc>
          <w:tcPr>
            <w:tcW w:w="900" w:type="dxa"/>
            <w:vAlign w:val="bottom"/>
            <w:tcBorders>
              <w:left w:val="single" w:sz="8" w:color="CCEEFF"/>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assets have been sold to an outside party.</w:t>
            </w:r>
          </w:p>
        </w:tc>
        <w:tc>
          <w:tcPr>
            <w:tcW w:w="10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deficit increased by $22.5 million.</w:t>
            </w:r>
          </w:p>
        </w:tc>
      </w:tr>
      <w:tr>
        <w:trPr>
          <w:trHeight w:val="203"/>
        </w:trPr>
        <w:tc>
          <w:tcPr>
            <w:tcW w:w="1000" w:type="dxa"/>
            <w:vAlign w:val="bottom"/>
            <w:tcBorders>
              <w:bottom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w w:val="86"/>
              </w:rPr>
              <w:t>January 2017</w:t>
            </w:r>
          </w:p>
        </w:tc>
        <w:tc>
          <w:tcPr>
            <w:tcW w:w="980" w:type="dxa"/>
            <w:vAlign w:val="bottom"/>
            <w:gridSpan w:val="2"/>
          </w:tcPr>
          <w:p>
            <w:pPr>
              <w:spacing w:after="0"/>
              <w:rPr>
                <w:sz w:val="17"/>
                <w:szCs w:val="17"/>
                <w:color w:val="auto"/>
              </w:rPr>
            </w:pPr>
          </w:p>
        </w:tc>
        <w:tc>
          <w:tcPr>
            <w:tcW w:w="4140" w:type="dxa"/>
            <w:vAlign w:val="bottom"/>
          </w:tcPr>
          <w:p>
            <w:pPr>
              <w:ind w:left="120"/>
              <w:spacing w:after="0" w:line="202" w:lineRule="exact"/>
              <w:rPr>
                <w:sz w:val="20"/>
                <w:szCs w:val="20"/>
                <w:color w:val="auto"/>
              </w:rPr>
            </w:pPr>
            <w:r>
              <w:rPr>
                <w:rFonts w:ascii="Arial" w:cs="Arial" w:eastAsia="Arial" w:hAnsi="Arial"/>
                <w:sz w:val="18"/>
                <w:szCs w:val="18"/>
                <w:color w:val="auto"/>
                <w:w w:val="91"/>
              </w:rPr>
              <w:t>This update clarifies when a set of assets and activities</w:t>
            </w:r>
          </w:p>
        </w:tc>
        <w:tc>
          <w:tcPr>
            <w:tcW w:w="1020" w:type="dxa"/>
            <w:vAlign w:val="bottom"/>
          </w:tcPr>
          <w:p>
            <w:pPr>
              <w:ind w:left="80"/>
              <w:spacing w:after="0" w:line="202" w:lineRule="exact"/>
              <w:rPr>
                <w:sz w:val="20"/>
                <w:szCs w:val="20"/>
                <w:color w:val="auto"/>
              </w:rPr>
            </w:pPr>
            <w:r>
              <w:rPr>
                <w:rFonts w:ascii="Arial" w:cs="Arial" w:eastAsia="Arial" w:hAnsi="Arial"/>
                <w:sz w:val="18"/>
                <w:szCs w:val="18"/>
                <w:color w:val="auto"/>
              </w:rPr>
              <w:t>January 1,</w:t>
            </w:r>
          </w:p>
        </w:tc>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The ImThera, TandemLife and Miami Instruments</w:t>
            </w:r>
          </w:p>
        </w:tc>
      </w:tr>
      <w:tr>
        <w:trPr>
          <w:trHeight w:val="222"/>
        </w:trPr>
        <w:tc>
          <w:tcPr>
            <w:tcW w:w="1980" w:type="dxa"/>
            <w:vAlign w:val="bottom"/>
            <w:gridSpan w:val="4"/>
          </w:tcPr>
          <w:p>
            <w:pPr>
              <w:ind w:left="40"/>
              <w:spacing w:after="0"/>
              <w:rPr>
                <w:sz w:val="20"/>
                <w:szCs w:val="20"/>
                <w:color w:val="auto"/>
              </w:rPr>
            </w:pPr>
            <w:r>
              <w:rPr>
                <w:rFonts w:ascii="Arial" w:cs="Arial" w:eastAsia="Arial" w:hAnsi="Arial"/>
                <w:sz w:val="18"/>
                <w:szCs w:val="18"/>
                <w:color w:val="auto"/>
              </w:rPr>
              <w:t>ASU No. 2017-01,</w:t>
            </w:r>
          </w:p>
        </w:tc>
        <w:tc>
          <w:tcPr>
            <w:tcW w:w="4140" w:type="dxa"/>
            <w:vAlign w:val="bottom"/>
          </w:tcPr>
          <w:p>
            <w:pPr>
              <w:ind w:left="120"/>
              <w:spacing w:after="0"/>
              <w:rPr>
                <w:sz w:val="20"/>
                <w:szCs w:val="20"/>
                <w:color w:val="auto"/>
              </w:rPr>
            </w:pPr>
            <w:r>
              <w:rPr>
                <w:rFonts w:ascii="Arial" w:cs="Arial" w:eastAsia="Arial" w:hAnsi="Arial"/>
                <w:sz w:val="18"/>
                <w:szCs w:val="18"/>
                <w:color w:val="auto"/>
              </w:rPr>
              <w:t>is a business.</w:t>
            </w:r>
          </w:p>
        </w:tc>
        <w:tc>
          <w:tcPr>
            <w:tcW w:w="1020" w:type="dxa"/>
            <w:vAlign w:val="bottom"/>
          </w:tcPr>
          <w:p>
            <w:pPr>
              <w:ind w:left="80"/>
              <w:spacing w:after="0"/>
              <w:rPr>
                <w:sz w:val="20"/>
                <w:szCs w:val="20"/>
                <w:color w:val="auto"/>
              </w:rPr>
            </w:pPr>
            <w:r>
              <w:rPr>
                <w:rFonts w:ascii="Arial" w:cs="Arial" w:eastAsia="Arial" w:hAnsi="Arial"/>
                <w:sz w:val="18"/>
                <w:szCs w:val="18"/>
                <w:color w:val="auto"/>
              </w:rPr>
              <w:t>2018</w:t>
            </w:r>
          </w:p>
        </w:tc>
        <w:tc>
          <w:tcPr>
            <w:tcW w:w="4280" w:type="dxa"/>
            <w:vAlign w:val="bottom"/>
          </w:tcPr>
          <w:p>
            <w:pPr>
              <w:ind w:left="200"/>
              <w:spacing w:after="0"/>
              <w:rPr>
                <w:sz w:val="20"/>
                <w:szCs w:val="20"/>
                <w:color w:val="auto"/>
              </w:rPr>
            </w:pPr>
            <w:r>
              <w:rPr>
                <w:rFonts w:ascii="Arial" w:cs="Arial" w:eastAsia="Arial" w:hAnsi="Arial"/>
                <w:sz w:val="18"/>
                <w:szCs w:val="18"/>
                <w:color w:val="auto"/>
                <w:w w:val="90"/>
              </w:rPr>
              <w:t>acquisitions were considered acquisitions of a business.</w:t>
            </w:r>
          </w:p>
        </w:tc>
      </w:tr>
      <w:tr>
        <w:trPr>
          <w:trHeight w:val="216"/>
        </w:trPr>
        <w:tc>
          <w:tcPr>
            <w:tcW w:w="1980" w:type="dxa"/>
            <w:vAlign w:val="bottom"/>
            <w:gridSpan w:val="4"/>
          </w:tcPr>
          <w:p>
            <w:pPr>
              <w:ind w:left="40"/>
              <w:spacing w:after="0"/>
              <w:rPr>
                <w:sz w:val="20"/>
                <w:szCs w:val="20"/>
                <w:color w:val="auto"/>
              </w:rPr>
            </w:pPr>
            <w:r>
              <w:rPr>
                <w:rFonts w:ascii="Arial" w:cs="Arial" w:eastAsia="Arial" w:hAnsi="Arial"/>
                <w:sz w:val="18"/>
                <w:szCs w:val="18"/>
                <w:color w:val="auto"/>
              </w:rPr>
              <w:t>Business Combinations</w:t>
            </w:r>
          </w:p>
        </w:tc>
        <w:tc>
          <w:tcPr>
            <w:tcW w:w="4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Refer to “Note 4. Business Combinations” for a</w:t>
            </w:r>
          </w:p>
        </w:tc>
      </w:tr>
      <w:tr>
        <w:trPr>
          <w:trHeight w:val="216"/>
        </w:trPr>
        <w:tc>
          <w:tcPr>
            <w:tcW w:w="1980" w:type="dxa"/>
            <w:vAlign w:val="bottom"/>
            <w:gridSpan w:val="4"/>
          </w:tcPr>
          <w:p>
            <w:pPr>
              <w:ind w:left="40"/>
              <w:spacing w:after="0"/>
              <w:rPr>
                <w:sz w:val="20"/>
                <w:szCs w:val="20"/>
                <w:color w:val="auto"/>
              </w:rPr>
            </w:pPr>
            <w:r>
              <w:rPr>
                <w:rFonts w:ascii="Arial" w:cs="Arial" w:eastAsia="Arial" w:hAnsi="Arial"/>
                <w:sz w:val="18"/>
                <w:szCs w:val="18"/>
                <w:color w:val="auto"/>
              </w:rPr>
              <w:t>(Topic 805):</w:t>
            </w:r>
          </w:p>
        </w:tc>
        <w:tc>
          <w:tcPr>
            <w:tcW w:w="4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discussion of our acquisitions.</w:t>
            </w:r>
          </w:p>
        </w:tc>
      </w:tr>
      <w:tr>
        <w:trPr>
          <w:trHeight w:val="216"/>
        </w:trPr>
        <w:tc>
          <w:tcPr>
            <w:tcW w:w="1980" w:type="dxa"/>
            <w:vAlign w:val="bottom"/>
            <w:gridSpan w:val="4"/>
          </w:tcPr>
          <w:p>
            <w:pPr>
              <w:ind w:left="40"/>
              <w:spacing w:after="0"/>
              <w:rPr>
                <w:sz w:val="20"/>
                <w:szCs w:val="20"/>
                <w:color w:val="auto"/>
              </w:rPr>
            </w:pPr>
            <w:r>
              <w:rPr>
                <w:rFonts w:ascii="Arial" w:cs="Arial" w:eastAsia="Arial" w:hAnsi="Arial"/>
                <w:sz w:val="18"/>
                <w:szCs w:val="18"/>
                <w:i w:val="1"/>
                <w:iCs w:val="1"/>
                <w:color w:val="auto"/>
              </w:rPr>
              <w:t>Clarifying the Definition</w:t>
            </w:r>
          </w:p>
        </w:tc>
        <w:tc>
          <w:tcPr>
            <w:tcW w:w="4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230"/>
        </w:trPr>
        <w:tc>
          <w:tcPr>
            <w:tcW w:w="1980" w:type="dxa"/>
            <w:vAlign w:val="bottom"/>
            <w:gridSpan w:val="4"/>
          </w:tcPr>
          <w:p>
            <w:pPr>
              <w:ind w:left="40"/>
              <w:spacing w:after="0"/>
              <w:rPr>
                <w:sz w:val="20"/>
                <w:szCs w:val="20"/>
                <w:color w:val="auto"/>
              </w:rPr>
            </w:pPr>
            <w:r>
              <w:rPr>
                <w:rFonts w:ascii="Arial" w:cs="Arial" w:eastAsia="Arial" w:hAnsi="Arial"/>
                <w:sz w:val="18"/>
                <w:szCs w:val="18"/>
                <w:i w:val="1"/>
                <w:iCs w:val="1"/>
                <w:color w:val="auto"/>
              </w:rPr>
              <w:t>of a Business</w:t>
            </w:r>
          </w:p>
        </w:tc>
        <w:tc>
          <w:tcPr>
            <w:tcW w:w="4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27"/>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03"/>
        </w:trPr>
        <w:tc>
          <w:tcPr>
            <w:tcW w:w="1980" w:type="dxa"/>
            <w:vAlign w:val="bottom"/>
            <w:tcBorders>
              <w:left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March 2017</w:t>
            </w:r>
          </w:p>
        </w:tc>
        <w:tc>
          <w:tcPr>
            <w:tcW w:w="41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This update requires that an employer report the</w:t>
            </w:r>
          </w:p>
        </w:tc>
        <w:tc>
          <w:tcPr>
            <w:tcW w:w="10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January 1,</w:t>
            </w:r>
          </w:p>
        </w:tc>
        <w:tc>
          <w:tcPr>
            <w:tcW w:w="4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8"/>
              </w:rPr>
              <w:t>Our adoption resulted in an immaterial impact to our</w:t>
            </w:r>
          </w:p>
        </w:tc>
      </w:tr>
      <w:tr>
        <w:trPr>
          <w:trHeight w:val="20"/>
        </w:trPr>
        <w:tc>
          <w:tcPr>
            <w:tcW w:w="900" w:type="dxa"/>
            <w:vAlign w:val="bottom"/>
            <w:tcBorders>
              <w:left w:val="single" w:sz="8" w:color="CCEEFF"/>
            </w:tcBorders>
            <w:shd w:val="clear" w:color="auto" w:fill="000000"/>
          </w:tcPr>
          <w:p>
            <w:pPr>
              <w:spacing w:after="0" w:line="20" w:lineRule="exact"/>
              <w:rPr>
                <w:sz w:val="1"/>
                <w:szCs w:val="1"/>
                <w:color w:val="auto"/>
              </w:rPr>
            </w:pPr>
          </w:p>
        </w:tc>
        <w:tc>
          <w:tcPr>
            <w:tcW w:w="1080" w:type="dxa"/>
            <w:vAlign w:val="bottom"/>
            <w:gridSpan w:val="3"/>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r>
      <w:tr>
        <w:trPr>
          <w:trHeight w:val="222"/>
        </w:trPr>
        <w:tc>
          <w:tcPr>
            <w:tcW w:w="198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ASU No. 2017-07,</w:t>
            </w: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service cost component in the same line item or items</w:t>
            </w:r>
          </w:p>
        </w:tc>
        <w:tc>
          <w:tcPr>
            <w:tcW w:w="1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2018</w:t>
            </w: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consolidated financial statements. The consolidated</w:t>
            </w:r>
          </w:p>
        </w:tc>
      </w:tr>
      <w:tr>
        <w:trPr>
          <w:trHeight w:val="216"/>
        </w:trPr>
        <w:tc>
          <w:tcPr>
            <w:tcW w:w="198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 other compensation costs arising from services</w:t>
            </w: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statements of income (loss) for the years ended</w:t>
            </w:r>
          </w:p>
        </w:tc>
      </w:tr>
      <w:tr>
        <w:trPr>
          <w:trHeight w:val="216"/>
        </w:trPr>
        <w:tc>
          <w:tcPr>
            <w:tcW w:w="198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Retirement</w:t>
            </w: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rendered by the pertinent employees during the</w:t>
            </w: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December 31, 2017 and December 31, 2016 have been</w:t>
            </w:r>
          </w:p>
        </w:tc>
      </w:tr>
      <w:tr>
        <w:trPr>
          <w:trHeight w:val="216"/>
        </w:trPr>
        <w:tc>
          <w:tcPr>
            <w:tcW w:w="198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Benefits (Topic 715):</w:t>
            </w: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period.</w:t>
            </w: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recast for the adoption of this update.</w:t>
            </w:r>
          </w:p>
        </w:tc>
      </w:tr>
      <w:tr>
        <w:trPr>
          <w:trHeight w:val="216"/>
        </w:trPr>
        <w:tc>
          <w:tcPr>
            <w:tcW w:w="198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i w:val="1"/>
                <w:iCs w:val="1"/>
                <w:color w:val="auto"/>
              </w:rPr>
              <w:t>Improving the</w:t>
            </w:r>
          </w:p>
        </w:tc>
        <w:tc>
          <w:tcPr>
            <w:tcW w:w="4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r>
      <w:tr>
        <w:trPr>
          <w:trHeight w:val="216"/>
        </w:trPr>
        <w:tc>
          <w:tcPr>
            <w:tcW w:w="198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i w:val="1"/>
                <w:iCs w:val="1"/>
                <w:color w:val="auto"/>
              </w:rPr>
              <w:t>Presentation of Net</w:t>
            </w:r>
          </w:p>
        </w:tc>
        <w:tc>
          <w:tcPr>
            <w:tcW w:w="4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r>
      <w:tr>
        <w:trPr>
          <w:trHeight w:val="216"/>
        </w:trPr>
        <w:tc>
          <w:tcPr>
            <w:tcW w:w="198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i w:val="1"/>
                <w:iCs w:val="1"/>
                <w:color w:val="auto"/>
              </w:rPr>
              <w:t>Periodic Pension Cost</w:t>
            </w:r>
          </w:p>
        </w:tc>
        <w:tc>
          <w:tcPr>
            <w:tcW w:w="4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r>
      <w:tr>
        <w:trPr>
          <w:trHeight w:val="216"/>
        </w:trPr>
        <w:tc>
          <w:tcPr>
            <w:tcW w:w="198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i w:val="1"/>
                <w:iCs w:val="1"/>
                <w:color w:val="auto"/>
              </w:rPr>
              <w:t>and Net Periodic Post</w:t>
            </w:r>
          </w:p>
        </w:tc>
        <w:tc>
          <w:tcPr>
            <w:tcW w:w="4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r>
      <w:tr>
        <w:trPr>
          <w:trHeight w:val="237"/>
        </w:trPr>
        <w:tc>
          <w:tcPr>
            <w:tcW w:w="1980" w:type="dxa"/>
            <w:vAlign w:val="bottom"/>
            <w:tcBorders>
              <w:left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i w:val="1"/>
                <w:iCs w:val="1"/>
                <w:color w:val="auto"/>
                <w:w w:val="97"/>
              </w:rPr>
              <w:t>Retirement Benefit Cost</w:t>
            </w:r>
            <w:r>
              <w:rPr>
                <w:rFonts w:ascii="Arial" w:cs="Arial" w:eastAsia="Arial" w:hAnsi="Arial"/>
                <w:sz w:val="18"/>
                <w:szCs w:val="18"/>
                <w:color w:val="auto"/>
                <w:w w:val="97"/>
              </w:rPr>
              <w:t>.</w:t>
            </w:r>
          </w:p>
        </w:tc>
        <w:tc>
          <w:tcPr>
            <w:tcW w:w="4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shd w:val="clear" w:color="auto" w:fill="CCEEFF"/>
          </w:tcPr>
          <w:p>
            <w:pPr>
              <w:spacing w:after="0"/>
              <w:rPr>
                <w:sz w:val="20"/>
                <w:szCs w:val="20"/>
                <w:color w:val="auto"/>
              </w:rPr>
            </w:pPr>
          </w:p>
        </w:tc>
      </w:tr>
      <w:tr>
        <w:trPr>
          <w:trHeight w:val="540"/>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40" w:type="dxa"/>
            <w:vAlign w:val="bottom"/>
          </w:tcPr>
          <w:p>
            <w:pPr>
              <w:ind w:left="3640"/>
              <w:spacing w:after="0"/>
              <w:rPr>
                <w:sz w:val="20"/>
                <w:szCs w:val="20"/>
                <w:color w:val="auto"/>
              </w:rPr>
            </w:pPr>
            <w:r>
              <w:rPr>
                <w:rFonts w:ascii="Arial" w:cs="Arial" w:eastAsia="Arial" w:hAnsi="Arial"/>
                <w:sz w:val="18"/>
                <w:szCs w:val="18"/>
                <w:color w:val="auto"/>
              </w:rPr>
              <w:t>F-59</w:t>
            </w:r>
          </w:p>
        </w:tc>
        <w:tc>
          <w:tcPr>
            <w:tcW w:w="1020" w:type="dxa"/>
            <w:vAlign w:val="bottom"/>
          </w:tcPr>
          <w:p>
            <w:pPr>
              <w:spacing w:after="0"/>
              <w:rPr>
                <w:sz w:val="24"/>
                <w:szCs w:val="24"/>
                <w:color w:val="auto"/>
              </w:rPr>
            </w:pPr>
          </w:p>
        </w:tc>
        <w:tc>
          <w:tcPr>
            <w:tcW w:w="4280" w:type="dxa"/>
            <w:vAlign w:val="bottom"/>
          </w:tcPr>
          <w:p>
            <w:pPr>
              <w:spacing w:after="0"/>
              <w:rPr>
                <w:sz w:val="24"/>
                <w:szCs w:val="24"/>
                <w:color w:val="auto"/>
              </w:rPr>
            </w:pPr>
          </w:p>
        </w:tc>
      </w:tr>
    </w:tbl>
    <w:p>
      <w:pPr>
        <w:sectPr>
          <w:pgSz w:w="11900" w:h="16838" w:orient="portrait"/>
          <w:cols w:equalWidth="0" w:num="1">
            <w:col w:w="11420"/>
          </w:cols>
          <w:pgMar w:left="240" w:top="810" w:right="239" w:bottom="1440" w:gutter="0" w:footer="0" w:header="0"/>
          <w:type w:val="continuous"/>
        </w:sectPr>
      </w:pPr>
    </w:p>
    <w:bookmarkStart w:id="119" w:name="page120"/>
    <w:bookmarkEnd w:id="11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June 2018</w:t>
            </w:r>
          </w:p>
        </w:tc>
        <w:tc>
          <w:tcPr>
            <w:tcW w:w="1100" w:type="dxa"/>
            <w:vAlign w:val="bottom"/>
          </w:tcPr>
          <w:p>
            <w:pPr>
              <w:spacing w:after="0"/>
              <w:rPr>
                <w:sz w:val="17"/>
                <w:szCs w:val="17"/>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This update simplifies the accounting for non-</w:t>
            </w:r>
          </w:p>
        </w:tc>
        <w:tc>
          <w:tcPr>
            <w:tcW w:w="1320" w:type="dxa"/>
            <w:vAlign w:val="bottom"/>
          </w:tcPr>
          <w:p>
            <w:pPr>
              <w:ind w:left="380"/>
              <w:spacing w:after="0"/>
              <w:rPr>
                <w:sz w:val="20"/>
                <w:szCs w:val="20"/>
                <w:color w:val="auto"/>
              </w:rPr>
            </w:pPr>
            <w:r>
              <w:rPr>
                <w:rFonts w:ascii="Arial" w:cs="Arial" w:eastAsia="Arial" w:hAnsi="Arial"/>
                <w:sz w:val="18"/>
                <w:szCs w:val="18"/>
                <w:color w:val="auto"/>
              </w:rPr>
              <w:t>January 1,</w:t>
            </w:r>
          </w:p>
        </w:tc>
        <w:tc>
          <w:tcPr>
            <w:tcW w:w="4020" w:type="dxa"/>
            <w:vAlign w:val="bottom"/>
          </w:tcPr>
          <w:p>
            <w:pPr>
              <w:ind w:left="200"/>
              <w:spacing w:after="0"/>
              <w:rPr>
                <w:sz w:val="20"/>
                <w:szCs w:val="20"/>
                <w:color w:val="auto"/>
              </w:rPr>
            </w:pPr>
            <w:r>
              <w:rPr>
                <w:rFonts w:ascii="Arial" w:cs="Arial" w:eastAsia="Arial" w:hAnsi="Arial"/>
                <w:sz w:val="18"/>
                <w:szCs w:val="18"/>
                <w:color w:val="auto"/>
                <w:w w:val="96"/>
              </w:rPr>
              <w:t>There was no material impact to our consolidated</w:t>
            </w:r>
          </w:p>
        </w:tc>
      </w:tr>
      <w:tr>
        <w:trPr>
          <w:trHeight w:val="222"/>
        </w:trPr>
        <w:tc>
          <w:tcPr>
            <w:tcW w:w="1840" w:type="dxa"/>
            <w:vAlign w:val="bottom"/>
            <w:gridSpan w:val="2"/>
          </w:tcPr>
          <w:p>
            <w:pPr>
              <w:spacing w:after="0"/>
              <w:rPr>
                <w:sz w:val="20"/>
                <w:szCs w:val="20"/>
                <w:color w:val="auto"/>
              </w:rPr>
            </w:pPr>
            <w:r>
              <w:rPr>
                <w:rFonts w:ascii="Arial" w:cs="Arial" w:eastAsia="Arial" w:hAnsi="Arial"/>
                <w:sz w:val="18"/>
                <w:szCs w:val="18"/>
                <w:color w:val="auto"/>
              </w:rPr>
              <w:t>ASU No. 2018-07,</w:t>
            </w:r>
          </w:p>
        </w:tc>
        <w:tc>
          <w:tcPr>
            <w:tcW w:w="3940" w:type="dxa"/>
            <w:vAlign w:val="bottom"/>
          </w:tcPr>
          <w:p>
            <w:pPr>
              <w:ind w:left="220"/>
              <w:spacing w:after="0"/>
              <w:rPr>
                <w:sz w:val="20"/>
                <w:szCs w:val="20"/>
                <w:color w:val="auto"/>
              </w:rPr>
            </w:pPr>
            <w:r>
              <w:rPr>
                <w:rFonts w:ascii="Arial" w:cs="Arial" w:eastAsia="Arial" w:hAnsi="Arial"/>
                <w:sz w:val="18"/>
                <w:szCs w:val="18"/>
                <w:color w:val="auto"/>
              </w:rPr>
              <w:t>employee share-based payment transactions.</w:t>
            </w:r>
          </w:p>
        </w:tc>
        <w:tc>
          <w:tcPr>
            <w:tcW w:w="1320" w:type="dxa"/>
            <w:vAlign w:val="bottom"/>
          </w:tcPr>
          <w:p>
            <w:pPr>
              <w:ind w:left="380"/>
              <w:spacing w:after="0"/>
              <w:rPr>
                <w:sz w:val="20"/>
                <w:szCs w:val="20"/>
                <w:color w:val="auto"/>
              </w:rPr>
            </w:pPr>
            <w:r>
              <w:rPr>
                <w:rFonts w:ascii="Arial" w:cs="Arial" w:eastAsia="Arial" w:hAnsi="Arial"/>
                <w:sz w:val="18"/>
                <w:szCs w:val="18"/>
                <w:color w:val="auto"/>
              </w:rPr>
              <w:t>2019</w:t>
            </w:r>
          </w:p>
        </w:tc>
        <w:tc>
          <w:tcPr>
            <w:tcW w:w="4020" w:type="dxa"/>
            <w:vAlign w:val="bottom"/>
          </w:tcPr>
          <w:p>
            <w:pPr>
              <w:ind w:left="200"/>
              <w:spacing w:after="0"/>
              <w:rPr>
                <w:sz w:val="20"/>
                <w:szCs w:val="20"/>
                <w:color w:val="auto"/>
              </w:rPr>
            </w:pPr>
            <w:r>
              <w:rPr>
                <w:rFonts w:ascii="Arial" w:cs="Arial" w:eastAsia="Arial" w:hAnsi="Arial"/>
                <w:sz w:val="18"/>
                <w:szCs w:val="18"/>
                <w:color w:val="auto"/>
                <w:w w:val="90"/>
              </w:rPr>
              <w:t>financial statements as a result of adopting this ASU.</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Compensation—Stock</w:t>
            </w:r>
          </w:p>
        </w:tc>
        <w:tc>
          <w:tcPr>
            <w:tcW w:w="3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Compensation (Topic</w:t>
            </w:r>
          </w:p>
        </w:tc>
        <w:tc>
          <w:tcPr>
            <w:tcW w:w="3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i w:val="1"/>
                <w:iCs w:val="1"/>
                <w:color w:val="auto"/>
              </w:rPr>
              <w:t>Improvements to</w:t>
            </w:r>
          </w:p>
        </w:tc>
        <w:tc>
          <w:tcPr>
            <w:tcW w:w="3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i w:val="1"/>
                <w:iCs w:val="1"/>
                <w:color w:val="auto"/>
              </w:rPr>
              <w:t>Nonemployee Share-</w:t>
            </w:r>
          </w:p>
        </w:tc>
        <w:tc>
          <w:tcPr>
            <w:tcW w:w="3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i w:val="1"/>
                <w:iCs w:val="1"/>
                <w:color w:val="auto"/>
              </w:rPr>
              <w:t>Based Payment</w:t>
            </w:r>
          </w:p>
        </w:tc>
        <w:tc>
          <w:tcPr>
            <w:tcW w:w="3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i w:val="1"/>
                <w:iCs w:val="1"/>
                <w:color w:val="auto"/>
              </w:rPr>
              <w:t>Accounting</w:t>
            </w:r>
          </w:p>
        </w:tc>
        <w:tc>
          <w:tcPr>
            <w:tcW w:w="3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20" w:type="dxa"/>
            <w:vAlign w:val="bottom"/>
          </w:tcPr>
          <w:p>
            <w:pPr>
              <w:spacing w:after="0"/>
              <w:rPr>
                <w:sz w:val="20"/>
                <w:szCs w:val="20"/>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Adoption of New Accounting Pronouncements</w:t>
      </w:r>
    </w:p>
    <w:p>
      <w:pPr>
        <w:spacing w:after="0" w:line="116"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color w:val="auto"/>
        </w:rPr>
        <w:t>The following table provides a description of future adoptions of new accounting standards that may have an impact on our financial statements when adopted:</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Projected</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Effect on Financial</w:t>
            </w:r>
          </w:p>
        </w:tc>
      </w:t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Date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Statements or Other</w:t>
            </w:r>
          </w:p>
        </w:tc>
      </w:tr>
      <w:tr>
        <w:trPr>
          <w:trHeight w:val="234"/>
        </w:trPr>
        <w:tc>
          <w:tcPr>
            <w:tcW w:w="2760" w:type="dxa"/>
            <w:vAlign w:val="bottom"/>
            <w:gridSpan w:val="5"/>
          </w:tcPr>
          <w:p>
            <w:pPr>
              <w:ind w:left="440"/>
              <w:spacing w:after="0"/>
              <w:rPr>
                <w:sz w:val="20"/>
                <w:szCs w:val="20"/>
                <w:color w:val="auto"/>
              </w:rPr>
            </w:pPr>
            <w:r>
              <w:rPr>
                <w:rFonts w:ascii="Arial" w:cs="Arial" w:eastAsia="Arial" w:hAnsi="Arial"/>
                <w:sz w:val="18"/>
                <w:szCs w:val="18"/>
                <w:b w:val="1"/>
                <w:bCs w:val="1"/>
                <w:color w:val="auto"/>
              </w:rPr>
              <w:t>Issue Date &amp; Standard</w:t>
            </w:r>
          </w:p>
        </w:tc>
        <w:tc>
          <w:tcPr>
            <w:tcW w:w="5360" w:type="dxa"/>
            <w:vAlign w:val="bottom"/>
            <w:gridSpan w:val="2"/>
          </w:tcPr>
          <w:p>
            <w:pPr>
              <w:ind w:left="2180"/>
              <w:spacing w:after="0"/>
              <w:rPr>
                <w:sz w:val="20"/>
                <w:szCs w:val="20"/>
                <w:color w:val="auto"/>
              </w:rPr>
            </w:pPr>
            <w:r>
              <w:rPr>
                <w:rFonts w:ascii="Arial" w:cs="Arial" w:eastAsia="Arial" w:hAnsi="Arial"/>
                <w:sz w:val="18"/>
                <w:szCs w:val="18"/>
                <w:b w:val="1"/>
                <w:bCs w:val="1"/>
                <w:color w:val="auto"/>
              </w:rPr>
              <w:t>Description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Adoption</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Significant Matters</w:t>
            </w:r>
          </w:p>
        </w:tc>
      </w:tr>
      <w:tr>
        <w:trPr>
          <w:trHeight w:val="27"/>
        </w:trPr>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196"/>
        </w:trPr>
        <w:tc>
          <w:tcPr>
            <w:tcW w:w="780" w:type="dxa"/>
            <w:vAlign w:val="bottom"/>
            <w:tcBorders>
              <w:left w:val="single" w:sz="8" w:color="CCEEFF"/>
              <w:bottom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85"/>
              </w:rPr>
              <w:t>June 2016</w:t>
            </w:r>
          </w:p>
        </w:tc>
        <w:tc>
          <w:tcPr>
            <w:tcW w:w="1980" w:type="dxa"/>
            <w:vAlign w:val="bottom"/>
            <w:tcBorders>
              <w:bottom w:val="single" w:sz="8" w:color="CCEEFF"/>
            </w:tcBorders>
            <w:gridSpan w:val="4"/>
            <w:shd w:val="clear" w:color="auto" w:fill="CCEEFF"/>
          </w:tcPr>
          <w:p>
            <w:pPr>
              <w:spacing w:after="0"/>
              <w:rPr>
                <w:sz w:val="17"/>
                <w:szCs w:val="17"/>
                <w:color w:val="auto"/>
              </w:rPr>
            </w:pPr>
          </w:p>
        </w:tc>
        <w:tc>
          <w:tcPr>
            <w:tcW w:w="53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w w:val="94"/>
              </w:rPr>
              <w:t>The amendments in this update require a financial asset (or a group of</w:t>
            </w:r>
          </w:p>
        </w:tc>
        <w:tc>
          <w:tcPr>
            <w:tcW w:w="11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January 1,</w:t>
            </w:r>
          </w:p>
        </w:tc>
        <w:tc>
          <w:tcPr>
            <w:tcW w:w="21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6"/>
              </w:rPr>
              <w:t>We are currently evaluating</w:t>
            </w:r>
          </w:p>
        </w:tc>
      </w:tr>
      <w:tr>
        <w:trPr>
          <w:trHeight w:val="222"/>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xml:space="preserve">ASU No. 2016-13, </w:t>
            </w:r>
            <w:r>
              <w:rPr>
                <w:rFonts w:ascii="Arial" w:cs="Arial" w:eastAsia="Arial" w:hAnsi="Arial"/>
                <w:sz w:val="18"/>
                <w:szCs w:val="18"/>
                <w:i w:val="1"/>
                <w:iCs w:val="1"/>
                <w:color w:val="auto"/>
              </w:rPr>
              <w:t>Financial</w:t>
            </w: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financial assets) measured at amortized cost basis to be presented at the</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the effect this standard will</w:t>
            </w:r>
          </w:p>
        </w:tc>
      </w:tr>
      <w:tr>
        <w:trPr>
          <w:trHeight w:val="21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w w:val="97"/>
              </w:rPr>
              <w:t xml:space="preserve">Instruments—Credit Losses </w:t>
            </w:r>
            <w:r>
              <w:rPr>
                <w:rFonts w:ascii="Arial" w:cs="Arial" w:eastAsia="Arial" w:hAnsi="Arial"/>
                <w:sz w:val="18"/>
                <w:szCs w:val="18"/>
                <w:color w:val="auto"/>
                <w:w w:val="97"/>
              </w:rPr>
              <w:t>(Topic</w:t>
            </w: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amount expected to be collected. The modified-retrospective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have on our condensed</w:t>
            </w:r>
          </w:p>
        </w:tc>
      </w:tr>
      <w:tr>
        <w:trPr>
          <w:trHeight w:val="216"/>
        </w:trPr>
        <w:tc>
          <w:tcPr>
            <w:tcW w:w="7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approach is generally applicable through a cumulative-effect adjustment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financial</w:t>
            </w:r>
          </w:p>
        </w:tc>
      </w:tr>
      <w:tr>
        <w:trPr>
          <w:trHeight w:val="216"/>
        </w:trPr>
        <w:tc>
          <w:tcPr>
            <w:tcW w:w="7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to retained earnings as of the beginning of the first reporting period in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statements and related</w:t>
            </w:r>
          </w:p>
        </w:tc>
      </w:tr>
      <w:tr>
        <w:trPr>
          <w:trHeight w:val="237"/>
        </w:trPr>
        <w:tc>
          <w:tcPr>
            <w:tcW w:w="780" w:type="dxa"/>
            <w:vAlign w:val="bottom"/>
            <w:tcBorders>
              <w:left w:val="single" w:sz="8" w:color="CCEEFF"/>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which the guidance is effective. Early adoption is permitted.</w:t>
            </w: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disclosures.</w:t>
            </w:r>
          </w:p>
        </w:tc>
      </w:tr>
      <w:tr>
        <w:trPr>
          <w:trHeight w:val="203"/>
        </w:trPr>
        <w:tc>
          <w:tcPr>
            <w:tcW w:w="1000" w:type="dxa"/>
            <w:vAlign w:val="bottom"/>
            <w:tcBorders>
              <w:bottom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w w:val="86"/>
              </w:rPr>
              <w:t>January 2017</w:t>
            </w:r>
          </w:p>
        </w:tc>
        <w:tc>
          <w:tcPr>
            <w:tcW w:w="1760" w:type="dxa"/>
            <w:vAlign w:val="bottom"/>
            <w:gridSpan w:val="2"/>
          </w:tcPr>
          <w:p>
            <w:pPr>
              <w:spacing w:after="0"/>
              <w:rPr>
                <w:sz w:val="17"/>
                <w:szCs w:val="17"/>
                <w:color w:val="auto"/>
              </w:rPr>
            </w:pPr>
          </w:p>
        </w:tc>
        <w:tc>
          <w:tcPr>
            <w:tcW w:w="53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This update removes step 2 of the goodwill impairment test that</w:t>
            </w:r>
          </w:p>
        </w:tc>
        <w:tc>
          <w:tcPr>
            <w:tcW w:w="11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January 1,</w:t>
            </w:r>
          </w:p>
        </w:tc>
        <w:tc>
          <w:tcPr>
            <w:tcW w:w="2160" w:type="dxa"/>
            <w:vAlign w:val="bottom"/>
          </w:tcPr>
          <w:p>
            <w:pPr>
              <w:ind w:left="20"/>
              <w:spacing w:after="0" w:line="202" w:lineRule="exact"/>
              <w:rPr>
                <w:sz w:val="20"/>
                <w:szCs w:val="20"/>
                <w:color w:val="auto"/>
              </w:rPr>
            </w:pPr>
            <w:r>
              <w:rPr>
                <w:rFonts w:ascii="Arial" w:cs="Arial" w:eastAsia="Arial" w:hAnsi="Arial"/>
                <w:sz w:val="18"/>
                <w:szCs w:val="18"/>
                <w:color w:val="auto"/>
                <w:w w:val="96"/>
              </w:rPr>
              <w:t>We are currently evaluating</w:t>
            </w:r>
          </w:p>
        </w:tc>
      </w:tr>
      <w:tr>
        <w:trPr>
          <w:trHeight w:val="222"/>
        </w:trPr>
        <w:tc>
          <w:tcPr>
            <w:tcW w:w="2760" w:type="dxa"/>
            <w:vAlign w:val="bottom"/>
            <w:gridSpan w:val="5"/>
          </w:tcPr>
          <w:p>
            <w:pPr>
              <w:ind w:left="40"/>
              <w:spacing w:after="0"/>
              <w:rPr>
                <w:sz w:val="20"/>
                <w:szCs w:val="20"/>
                <w:color w:val="auto"/>
              </w:rPr>
            </w:pPr>
            <w:r>
              <w:rPr>
                <w:rFonts w:ascii="Arial" w:cs="Arial" w:eastAsia="Arial" w:hAnsi="Arial"/>
                <w:sz w:val="18"/>
                <w:szCs w:val="18"/>
                <w:color w:val="auto"/>
              </w:rPr>
              <w:t>ASU No. 2017-04,</w:t>
            </w:r>
          </w:p>
        </w:tc>
        <w:tc>
          <w:tcPr>
            <w:tcW w:w="5360" w:type="dxa"/>
            <w:vAlign w:val="bottom"/>
            <w:gridSpan w:val="2"/>
          </w:tcPr>
          <w:p>
            <w:pPr>
              <w:ind w:left="40"/>
              <w:spacing w:after="0"/>
              <w:rPr>
                <w:sz w:val="20"/>
                <w:szCs w:val="20"/>
                <w:color w:val="auto"/>
              </w:rPr>
            </w:pPr>
            <w:r>
              <w:rPr>
                <w:rFonts w:ascii="Arial" w:cs="Arial" w:eastAsia="Arial" w:hAnsi="Arial"/>
                <w:sz w:val="18"/>
                <w:szCs w:val="18"/>
                <w:color w:val="auto"/>
                <w:w w:val="98"/>
              </w:rPr>
              <w:t>compares the implied fair value of goodwill with its carrying amount.</w:t>
            </w:r>
          </w:p>
        </w:tc>
        <w:tc>
          <w:tcPr>
            <w:tcW w:w="104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9"/>
              </w:rPr>
              <w:t>the effect this standard will</w:t>
            </w:r>
          </w:p>
        </w:tc>
      </w:tr>
      <w:tr>
        <w:trPr>
          <w:trHeight w:val="216"/>
        </w:trPr>
        <w:tc>
          <w:tcPr>
            <w:tcW w:w="2760" w:type="dxa"/>
            <w:vAlign w:val="bottom"/>
            <w:gridSpan w:val="5"/>
          </w:tcPr>
          <w:p>
            <w:pPr>
              <w:ind w:left="40"/>
              <w:spacing w:after="0"/>
              <w:rPr>
                <w:sz w:val="20"/>
                <w:szCs w:val="20"/>
                <w:color w:val="auto"/>
              </w:rPr>
            </w:pPr>
            <w:r>
              <w:rPr>
                <w:rFonts w:ascii="Arial" w:cs="Arial" w:eastAsia="Arial" w:hAnsi="Arial"/>
                <w:sz w:val="18"/>
                <w:szCs w:val="18"/>
                <w:color w:val="auto"/>
              </w:rPr>
              <w:t>Intangibles-Goodwill and Other</w:t>
            </w:r>
          </w:p>
        </w:tc>
        <w:tc>
          <w:tcPr>
            <w:tcW w:w="5360" w:type="dxa"/>
            <w:vAlign w:val="bottom"/>
            <w:gridSpan w:val="2"/>
          </w:tcPr>
          <w:p>
            <w:pPr>
              <w:ind w:left="40"/>
              <w:spacing w:after="0"/>
              <w:rPr>
                <w:sz w:val="20"/>
                <w:szCs w:val="20"/>
                <w:color w:val="auto"/>
              </w:rPr>
            </w:pPr>
            <w:r>
              <w:rPr>
                <w:rFonts w:ascii="Arial" w:cs="Arial" w:eastAsia="Arial" w:hAnsi="Arial"/>
                <w:sz w:val="18"/>
                <w:szCs w:val="18"/>
                <w:color w:val="auto"/>
                <w:w w:val="94"/>
              </w:rPr>
              <w:t>Instead, an impairment test is performed by comparing the fair value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have on our condensed</w:t>
            </w:r>
          </w:p>
        </w:tc>
      </w:tr>
      <w:tr>
        <w:trPr>
          <w:trHeight w:val="216"/>
        </w:trPr>
        <w:tc>
          <w:tcPr>
            <w:tcW w:w="2760" w:type="dxa"/>
            <w:vAlign w:val="bottom"/>
            <w:gridSpan w:val="5"/>
          </w:tcPr>
          <w:p>
            <w:pPr>
              <w:ind w:left="40"/>
              <w:spacing w:after="0"/>
              <w:rPr>
                <w:sz w:val="20"/>
                <w:szCs w:val="20"/>
                <w:color w:val="auto"/>
              </w:rPr>
            </w:pPr>
            <w:r>
              <w:rPr>
                <w:rFonts w:ascii="Arial" w:cs="Arial" w:eastAsia="Arial" w:hAnsi="Arial"/>
                <w:sz w:val="18"/>
                <w:szCs w:val="18"/>
                <w:color w:val="auto"/>
              </w:rPr>
              <w:t xml:space="preserve">(Topic 350): </w:t>
            </w:r>
            <w:r>
              <w:rPr>
                <w:rFonts w:ascii="Arial" w:cs="Arial" w:eastAsia="Arial" w:hAnsi="Arial"/>
                <w:sz w:val="18"/>
                <w:szCs w:val="18"/>
                <w:i w:val="1"/>
                <w:iCs w:val="1"/>
                <w:color w:val="auto"/>
              </w:rPr>
              <w:t>Simplifying the Test</w:t>
            </w:r>
          </w:p>
        </w:tc>
        <w:tc>
          <w:tcPr>
            <w:tcW w:w="5360" w:type="dxa"/>
            <w:vAlign w:val="bottom"/>
            <w:gridSpan w:val="2"/>
          </w:tcPr>
          <w:p>
            <w:pPr>
              <w:ind w:left="40"/>
              <w:spacing w:after="0"/>
              <w:rPr>
                <w:sz w:val="20"/>
                <w:szCs w:val="20"/>
                <w:color w:val="auto"/>
              </w:rPr>
            </w:pPr>
            <w:r>
              <w:rPr>
                <w:rFonts w:ascii="Arial" w:cs="Arial" w:eastAsia="Arial" w:hAnsi="Arial"/>
                <w:sz w:val="18"/>
                <w:szCs w:val="18"/>
                <w:color w:val="auto"/>
                <w:w w:val="95"/>
              </w:rPr>
              <w:t>a reporting unit with its carrying amount. An impairment charge will be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consolidated financial</w:t>
            </w:r>
          </w:p>
        </w:tc>
      </w:tr>
      <w:tr>
        <w:trPr>
          <w:trHeight w:val="216"/>
        </w:trPr>
        <w:tc>
          <w:tcPr>
            <w:tcW w:w="2760" w:type="dxa"/>
            <w:vAlign w:val="bottom"/>
            <w:gridSpan w:val="5"/>
          </w:tcPr>
          <w:p>
            <w:pPr>
              <w:ind w:left="40"/>
              <w:spacing w:after="0"/>
              <w:rPr>
                <w:sz w:val="20"/>
                <w:szCs w:val="20"/>
                <w:color w:val="auto"/>
              </w:rPr>
            </w:pPr>
            <w:r>
              <w:rPr>
                <w:rFonts w:ascii="Arial" w:cs="Arial" w:eastAsia="Arial" w:hAnsi="Arial"/>
                <w:sz w:val="18"/>
                <w:szCs w:val="18"/>
                <w:i w:val="1"/>
                <w:iCs w:val="1"/>
                <w:color w:val="auto"/>
              </w:rPr>
              <w:t>for Goodwill Impairment</w:t>
            </w:r>
          </w:p>
        </w:tc>
        <w:tc>
          <w:tcPr>
            <w:tcW w:w="5360" w:type="dxa"/>
            <w:vAlign w:val="bottom"/>
            <w:gridSpan w:val="2"/>
          </w:tcPr>
          <w:p>
            <w:pPr>
              <w:ind w:left="40"/>
              <w:spacing w:after="0"/>
              <w:rPr>
                <w:sz w:val="20"/>
                <w:szCs w:val="20"/>
                <w:color w:val="auto"/>
              </w:rPr>
            </w:pPr>
            <w:r>
              <w:rPr>
                <w:rFonts w:ascii="Arial" w:cs="Arial" w:eastAsia="Arial" w:hAnsi="Arial"/>
                <w:sz w:val="18"/>
                <w:szCs w:val="18"/>
                <w:color w:val="auto"/>
                <w:w w:val="95"/>
              </w:rPr>
              <w:t>recorded by the amount a reporting unit’s carrying amount exceeds its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statements and related</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gridSpan w:val="2"/>
          </w:tcPr>
          <w:p>
            <w:pPr>
              <w:ind w:left="40"/>
              <w:spacing w:after="0"/>
              <w:rPr>
                <w:sz w:val="20"/>
                <w:szCs w:val="20"/>
                <w:color w:val="auto"/>
              </w:rPr>
            </w:pPr>
            <w:r>
              <w:rPr>
                <w:rFonts w:ascii="Arial" w:cs="Arial" w:eastAsia="Arial" w:hAnsi="Arial"/>
                <w:sz w:val="18"/>
                <w:szCs w:val="18"/>
                <w:color w:val="auto"/>
              </w:rPr>
              <w:t>fair value. Early adoption is permitted.</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disclosures.</w:t>
            </w:r>
          </w:p>
        </w:tc>
      </w:tr>
      <w:tr>
        <w:trPr>
          <w:trHeight w:val="27"/>
        </w:trPr>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3"/>
        </w:trPr>
        <w:tc>
          <w:tcPr>
            <w:tcW w:w="2760" w:type="dxa"/>
            <w:vAlign w:val="bottom"/>
            <w:tcBorders>
              <w:left w:val="single" w:sz="8" w:color="CCEEFF"/>
            </w:tcBorders>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August 2018</w:t>
            </w:r>
          </w:p>
        </w:tc>
        <w:tc>
          <w:tcPr>
            <w:tcW w:w="53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1"/>
              </w:rPr>
              <w:t>This update removes, modifies and adds certain disclosure requirements</w:t>
            </w:r>
          </w:p>
        </w:tc>
        <w:tc>
          <w:tcPr>
            <w:tcW w:w="11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January 1,</w:t>
            </w:r>
          </w:p>
        </w:tc>
        <w:tc>
          <w:tcPr>
            <w:tcW w:w="2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 do not expect the</w:t>
            </w:r>
          </w:p>
        </w:tc>
      </w:tr>
      <w:tr>
        <w:trPr>
          <w:trHeight w:val="20"/>
        </w:trPr>
        <w:tc>
          <w:tcPr>
            <w:tcW w:w="960" w:type="dxa"/>
            <w:vAlign w:val="bottom"/>
            <w:tcBorders>
              <w:left w:val="single" w:sz="8" w:color="CCEEFF"/>
            </w:tcBorders>
            <w:gridSpan w:val="2"/>
            <w:shd w:val="clear" w:color="auto" w:fill="000000"/>
          </w:tcPr>
          <w:p>
            <w:pPr>
              <w:spacing w:after="0" w:line="20" w:lineRule="exact"/>
              <w:rPr>
                <w:sz w:val="1"/>
                <w:szCs w:val="1"/>
                <w:color w:val="auto"/>
              </w:rPr>
            </w:pPr>
          </w:p>
        </w:tc>
        <w:tc>
          <w:tcPr>
            <w:tcW w:w="1800" w:type="dxa"/>
            <w:vAlign w:val="bottom"/>
            <w:gridSpan w:val="3"/>
            <w:shd w:val="clear" w:color="auto" w:fill="CCEEFF"/>
          </w:tcPr>
          <w:p>
            <w:pPr>
              <w:spacing w:after="0" w:line="20" w:lineRule="exact"/>
              <w:rPr>
                <w:sz w:val="1"/>
                <w:szCs w:val="1"/>
                <w:color w:val="auto"/>
              </w:rPr>
            </w:pPr>
          </w:p>
        </w:tc>
        <w:tc>
          <w:tcPr>
            <w:tcW w:w="5360" w:type="dxa"/>
            <w:vAlign w:val="bottom"/>
            <w:gridSpan w:val="2"/>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r>
      <w:tr>
        <w:trPr>
          <w:trHeight w:val="222"/>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ASU No. 2018-13, Fair Value</w:t>
            </w: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related to fair value measurements. Early adoption is permitted.</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adoption of this update to</w:t>
            </w:r>
          </w:p>
        </w:tc>
      </w:tr>
      <w:tr>
        <w:trPr>
          <w:trHeight w:val="21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Measurement (Topic 820):</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have a material effect on our</w:t>
            </w:r>
          </w:p>
        </w:tc>
      </w:tr>
      <w:tr>
        <w:trPr>
          <w:trHeight w:val="21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Changes to the Disclosure</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condensed consolidated</w:t>
            </w:r>
          </w:p>
        </w:tc>
      </w:tr>
      <w:tr>
        <w:trPr>
          <w:trHeight w:val="21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Requirements for Fair Value</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statement</w:t>
            </w:r>
          </w:p>
        </w:tc>
      </w:tr>
      <w:tr>
        <w:trPr>
          <w:trHeight w:val="230"/>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Measurement</w:t>
            </w:r>
          </w:p>
        </w:tc>
        <w:tc>
          <w:tcPr>
            <w:tcW w:w="5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disclosures.</w:t>
            </w:r>
          </w:p>
        </w:tc>
      </w:tr>
      <w:tr>
        <w:trPr>
          <w:trHeight w:val="27"/>
        </w:trPr>
        <w:tc>
          <w:tcPr>
            <w:tcW w:w="7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10" w:right="239" w:bottom="1440" w:gutter="0" w:footer="0" w:header="0"/>
        </w:sectPr>
      </w:pPr>
    </w:p>
    <w:p>
      <w:pPr>
        <w:ind w:left="40"/>
        <w:spacing w:after="0"/>
        <w:rPr>
          <w:sz w:val="20"/>
          <w:szCs w:val="20"/>
          <w:color w:val="auto"/>
        </w:rPr>
      </w:pPr>
      <w:r>
        <w:rPr>
          <w:rFonts w:ascii="Arial" w:cs="Arial" w:eastAsia="Arial" w:hAnsi="Arial"/>
          <w:sz w:val="18"/>
          <w:szCs w:val="18"/>
          <w:u w:val="single" w:color="auto"/>
          <w:color w:val="auto"/>
        </w:rPr>
        <w:t>August 2018</w:t>
      </w:r>
    </w:p>
    <w:p>
      <w:pPr>
        <w:spacing w:after="0" w:line="23" w:lineRule="exact"/>
        <w:rPr>
          <w:sz w:val="20"/>
          <w:szCs w:val="20"/>
          <w:color w:val="auto"/>
        </w:rPr>
      </w:pPr>
    </w:p>
    <w:p>
      <w:pPr>
        <w:ind w:left="40"/>
        <w:spacing w:after="0" w:line="270" w:lineRule="auto"/>
        <w:rPr>
          <w:sz w:val="20"/>
          <w:szCs w:val="20"/>
          <w:color w:val="auto"/>
        </w:rPr>
      </w:pPr>
      <w:r>
        <w:rPr>
          <w:rFonts w:ascii="Arial" w:cs="Arial" w:eastAsia="Arial" w:hAnsi="Arial"/>
          <w:sz w:val="17"/>
          <w:szCs w:val="17"/>
          <w:color w:val="auto"/>
        </w:rPr>
        <w:t xml:space="preserve">ASU No. 2018-14, Compensation —Retirement Benefits—Defined Benefit Plans—General (Subtopic 715-20): </w:t>
      </w:r>
      <w:r>
        <w:rPr>
          <w:rFonts w:ascii="Arial" w:cs="Arial" w:eastAsia="Arial" w:hAnsi="Arial"/>
          <w:sz w:val="17"/>
          <w:szCs w:val="17"/>
          <w:i w:val="1"/>
          <w:iCs w:val="1"/>
          <w:color w:val="auto"/>
        </w:rPr>
        <w:t>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Defined Benefit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20"/>
                <w:szCs w:val="20"/>
                <w:color w:val="auto"/>
              </w:rPr>
            </w:pPr>
            <w:r>
              <w:rPr>
                <w:rFonts w:ascii="Arial" w:cs="Arial" w:eastAsia="Arial" w:hAnsi="Arial"/>
                <w:sz w:val="18"/>
                <w:szCs w:val="18"/>
                <w:color w:val="auto"/>
                <w:w w:val="90"/>
              </w:rPr>
              <w:t>This update adds and removes certain disclosure requirements related to</w:t>
            </w:r>
          </w:p>
        </w:tc>
        <w:tc>
          <w:tcPr>
            <w:tcW w:w="1000" w:type="dxa"/>
            <w:vAlign w:val="bottom"/>
          </w:tcPr>
          <w:p>
            <w:pPr>
              <w:ind w:left="80"/>
              <w:spacing w:after="0"/>
              <w:rPr>
                <w:sz w:val="20"/>
                <w:szCs w:val="20"/>
                <w:color w:val="auto"/>
              </w:rPr>
            </w:pPr>
            <w:r>
              <w:rPr>
                <w:rFonts w:ascii="Arial" w:cs="Arial" w:eastAsia="Arial" w:hAnsi="Arial"/>
                <w:sz w:val="18"/>
                <w:szCs w:val="18"/>
                <w:color w:val="auto"/>
              </w:rPr>
              <w:t>January 1,</w:t>
            </w:r>
          </w:p>
        </w:tc>
        <w:tc>
          <w:tcPr>
            <w:tcW w:w="2260" w:type="dxa"/>
            <w:vAlign w:val="bottom"/>
          </w:tcPr>
          <w:p>
            <w:pPr>
              <w:ind w:left="200"/>
              <w:spacing w:after="0"/>
              <w:rPr>
                <w:sz w:val="20"/>
                <w:szCs w:val="20"/>
                <w:color w:val="auto"/>
              </w:rPr>
            </w:pPr>
            <w:r>
              <w:rPr>
                <w:rFonts w:ascii="Arial" w:cs="Arial" w:eastAsia="Arial" w:hAnsi="Arial"/>
                <w:sz w:val="18"/>
                <w:szCs w:val="18"/>
                <w:color w:val="auto"/>
              </w:rPr>
              <w:t>We do not expect the</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w w:val="92"/>
              </w:rPr>
              <w:t>defined benefit plans. This ASU is to be implemented on a retrospective</w:t>
            </w:r>
          </w:p>
        </w:tc>
        <w:tc>
          <w:tcPr>
            <w:tcW w:w="1000" w:type="dxa"/>
            <w:vAlign w:val="bottom"/>
          </w:tcPr>
          <w:p>
            <w:pPr>
              <w:ind w:left="80"/>
              <w:spacing w:after="0"/>
              <w:rPr>
                <w:sz w:val="20"/>
                <w:szCs w:val="20"/>
                <w:color w:val="auto"/>
              </w:rPr>
            </w:pPr>
            <w:r>
              <w:rPr>
                <w:rFonts w:ascii="Arial" w:cs="Arial" w:eastAsia="Arial" w:hAnsi="Arial"/>
                <w:sz w:val="18"/>
                <w:szCs w:val="18"/>
                <w:color w:val="auto"/>
              </w:rPr>
              <w:t>2021</w:t>
            </w:r>
          </w:p>
        </w:tc>
        <w:tc>
          <w:tcPr>
            <w:tcW w:w="2260" w:type="dxa"/>
            <w:vAlign w:val="bottom"/>
          </w:tcPr>
          <w:p>
            <w:pPr>
              <w:ind w:left="200"/>
              <w:spacing w:after="0"/>
              <w:rPr>
                <w:sz w:val="20"/>
                <w:szCs w:val="20"/>
                <w:color w:val="auto"/>
              </w:rPr>
            </w:pPr>
            <w:r>
              <w:rPr>
                <w:rFonts w:ascii="Arial" w:cs="Arial" w:eastAsia="Arial" w:hAnsi="Arial"/>
                <w:sz w:val="18"/>
                <w:szCs w:val="18"/>
                <w:color w:val="auto"/>
              </w:rPr>
              <w:t>adoption of this update to</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basis for all periods presented with early adoption permitted.</w:t>
            </w:r>
          </w:p>
        </w:tc>
        <w:tc>
          <w:tcPr>
            <w:tcW w:w="100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w w:val="89"/>
              </w:rPr>
              <w:t>have a material effect on our</w:t>
            </w:r>
          </w:p>
        </w:tc>
      </w:tr>
      <w:tr>
        <w:trPr>
          <w:trHeight w:val="216"/>
        </w:trPr>
        <w:tc>
          <w:tcPr>
            <w:tcW w:w="5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condensed consolidated</w:t>
            </w:r>
          </w:p>
        </w:tc>
      </w:tr>
      <w:tr>
        <w:trPr>
          <w:trHeight w:val="216"/>
        </w:trPr>
        <w:tc>
          <w:tcPr>
            <w:tcW w:w="5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financial statement</w:t>
            </w:r>
          </w:p>
        </w:tc>
      </w:tr>
      <w:tr>
        <w:trPr>
          <w:trHeight w:val="230"/>
        </w:trPr>
        <w:tc>
          <w:tcPr>
            <w:tcW w:w="5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disclosures.</w:t>
            </w:r>
          </w:p>
        </w:tc>
      </w:tr>
    </w:tbl>
    <w:p>
      <w:pPr>
        <w:spacing w:after="0" w:line="240" w:lineRule="exact"/>
        <w:rPr>
          <w:sz w:val="20"/>
          <w:szCs w:val="20"/>
          <w:color w:val="auto"/>
        </w:rPr>
      </w:pPr>
    </w:p>
    <w:p>
      <w:pPr>
        <w:sectPr>
          <w:pgSz w:w="11900" w:h="16838" w:orient="portrait"/>
          <w:cols w:equalWidth="0" w:num="2">
            <w:col w:w="2600" w:space="200"/>
            <w:col w:w="8620"/>
          </w:cols>
          <w:pgMar w:left="240" w:top="810" w:right="239" w:bottom="1440" w:gutter="0" w:footer="0" w:header="0"/>
          <w:type w:val="continuous"/>
        </w:sectPr>
      </w:pPr>
    </w:p>
    <w:tbl>
      <w:tblPr>
        <w:tblLayout w:type="fixed"/>
        <w:tblInd w:w="10" w:type="dxa"/>
        <w:tblCellMar>
          <w:top w:w="0" w:type="dxa"/>
          <w:left w:w="0" w:type="dxa"/>
          <w:bottom w:w="0" w:type="dxa"/>
          <w:right w:w="0" w:type="dxa"/>
        </w:tblCellMar>
      </w:tblPr>
      <w:tr>
        <w:trPr>
          <w:trHeight w:val="207"/>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2018</w:t>
            </w: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This update clarifies and aligns the accounting for implementation costs</w:t>
            </w:r>
          </w:p>
        </w:tc>
        <w:tc>
          <w:tcPr>
            <w:tcW w:w="1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January 1,</w:t>
            </w: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 do not expect the</w:t>
            </w:r>
          </w:p>
        </w:tc>
      </w:tr>
      <w:tr>
        <w:trPr>
          <w:trHeight w:val="20"/>
        </w:trPr>
        <w:tc>
          <w:tcPr>
            <w:tcW w:w="960" w:type="dxa"/>
            <w:vAlign w:val="bottom"/>
            <w:tcBorders>
              <w:left w:val="single" w:sz="8" w:color="CCEEFF"/>
            </w:tcBorders>
            <w:shd w:val="clear" w:color="auto" w:fill="000000"/>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r>
      <w:tr>
        <w:trPr>
          <w:trHeight w:val="222"/>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ASU No. 2018-15, Intangibles—</w:t>
            </w: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 hosting arrangements with the requirements for capitalizing</w:t>
            </w:r>
          </w:p>
        </w:tc>
        <w:tc>
          <w:tcPr>
            <w:tcW w:w="1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2020</w:t>
            </w: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adoption of this update to</w:t>
            </w: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Goodwill and Other—Internal-Use</w:t>
            </w: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implementation costs incurred to develop or obtain internal-use</w:t>
            </w: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have a material effect on our</w:t>
            </w: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 (Subtopic 350-40):</w:t>
            </w: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software. This ASU is to be applied either retrospectively or</w:t>
            </w: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condensed consolidated</w:t>
            </w: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Customer’s Accounting for</w:t>
            </w: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prospectively with early adoption permitted.</w:t>
            </w: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statements.</w:t>
            </w: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w w:val="94"/>
              </w:rPr>
              <w:t>Implementation Costs Incurred in a</w:t>
            </w:r>
          </w:p>
        </w:tc>
        <w:tc>
          <w:tcPr>
            <w:tcW w:w="5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Cloud Computing Arrangement</w:t>
            </w:r>
          </w:p>
        </w:tc>
        <w:tc>
          <w:tcPr>
            <w:tcW w:w="5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30"/>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That Is a Service Contract</w:t>
            </w:r>
          </w:p>
        </w:tc>
        <w:tc>
          <w:tcPr>
            <w:tcW w:w="5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r>
      <w:tr>
        <w:trPr>
          <w:trHeight w:val="27"/>
        </w:trPr>
        <w:tc>
          <w:tcPr>
            <w:tcW w:w="960" w:type="dxa"/>
            <w:vAlign w:val="bottom"/>
            <w:tcBorders>
              <w:left w:val="single" w:sz="8" w:color="CCEEFF"/>
            </w:tcBorders>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810" w:right="239" w:bottom="1440" w:gutter="0" w:footer="0" w:header="0"/>
          <w:type w:val="continuous"/>
        </w:sectPr>
      </w:pPr>
    </w:p>
    <w:bookmarkStart w:id="120" w:name="page121"/>
    <w:bookmarkEnd w:id="120"/>
    <w:p>
      <w:pPr>
        <w:jc w:val="right"/>
        <w:spacing w:after="0"/>
        <w:rPr>
          <w:sz w:val="20"/>
          <w:szCs w:val="20"/>
          <w:color w:val="auto"/>
        </w:rPr>
      </w:pPr>
      <w:r>
        <w:rPr>
          <w:rFonts w:ascii="Arial" w:cs="Arial" w:eastAsia="Arial" w:hAnsi="Arial"/>
          <w:sz w:val="20"/>
          <w:szCs w:val="20"/>
          <w:b w:val="1"/>
          <w:bCs w:val="1"/>
          <w:color w:val="auto"/>
        </w:rPr>
        <w:t>Exhibit 4.1</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12 OF THE EXCHANGE ACT</w:t>
      </w:r>
    </w:p>
    <w:p>
      <w:pPr>
        <w:spacing w:after="0" w:line="324" w:lineRule="exact"/>
        <w:rPr>
          <w:sz w:val="20"/>
          <w:szCs w:val="20"/>
          <w:color w:val="auto"/>
        </w:rPr>
      </w:pPr>
    </w:p>
    <w:p>
      <w:pPr>
        <w:jc w:val="both"/>
        <w:spacing w:after="0" w:line="425" w:lineRule="auto"/>
        <w:rPr>
          <w:sz w:val="20"/>
          <w:szCs w:val="20"/>
          <w:color w:val="auto"/>
        </w:rPr>
      </w:pPr>
      <w:r>
        <w:rPr>
          <w:rFonts w:ascii="Arial" w:cs="Arial" w:eastAsia="Arial" w:hAnsi="Arial"/>
          <w:sz w:val="16"/>
          <w:szCs w:val="16"/>
          <w:color w:val="auto"/>
        </w:rPr>
        <w:t>LivaNova PLC (the “Company”) has one class of securities registered under Section 12 of the Securities Exchange Act of 1934, as amended (the “Exchange Act”), which are its ordinary shares, which have a nominal or par value of £1.00 each (the “ordinary shares”). The below is a summary of the applicable provisions of the Company’s Articles of Association (the “Articles”) and certain relevant provisions of applicable law. The summary is not complete and we encourage you to read this summary, the Articles and the other documents we refer to herein for a more complete understanding of the ordinary shares.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324"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Under English law, persons who are neither residents nor nationals of the U.K. may freely hold, vote and transfer the ordinary shares in the same manner and under the same terms as U.K. residents or nationals.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entire issued share capital of the Company is comprised of 49,411,016 ordinary shares.</w:t>
      </w:r>
    </w:p>
    <w:p>
      <w:pPr>
        <w:spacing w:after="0" w:line="320" w:lineRule="exact"/>
        <w:rPr>
          <w:sz w:val="20"/>
          <w:szCs w:val="20"/>
          <w:color w:val="auto"/>
        </w:rPr>
      </w:pPr>
    </w:p>
    <w:p>
      <w:pPr>
        <w:jc w:val="both"/>
        <w:spacing w:after="0" w:line="387" w:lineRule="auto"/>
        <w:rPr>
          <w:sz w:val="20"/>
          <w:szCs w:val="20"/>
          <w:color w:val="auto"/>
        </w:rPr>
      </w:pPr>
      <w:r>
        <w:rPr>
          <w:rFonts w:ascii="Arial" w:cs="Arial" w:eastAsia="Arial" w:hAnsi="Arial"/>
          <w:sz w:val="17"/>
          <w:szCs w:val="17"/>
          <w:color w:val="auto"/>
        </w:rPr>
        <w:t>Under the Articles, the Company has the authority to allot and issue ordinary shares, and to grant rights to subscribe for or to convert any security into ordinary shares, up to an aggregate nominal amount (i.e., par value), representing 20% of the number of shares in the capital of the Company as at the date of the adoption of the Articles for a period expiring (unless previously renewed, varied or revoked by the shareholders of the Company in general meeting) on the date which is five years from the date of the adoption of the Articles. In addition, under the Articles, the pre-emption rights of existing shareholders have also been disapplied in relation to issuances of the ordinary shares for cash which are the subject of the authority to allot referred to above, meaning that the directors of the Company are empowered to issue such ordinary shares for cash without first offering them to the existing shareholders pro-rata to their existing holdings. Renewal of shareholder authorities to allot ordinary shares and disapply pre-emption rights is expected to be sought at least once every five years, and possibly more frequently.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Distributions</w:t>
      </w:r>
    </w:p>
    <w:p>
      <w:pPr>
        <w:spacing w:after="0" w:line="324"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Under English law, the Company may only pay dividends out of profits that are available for that purpose. The Company’s profits available for distribution are (in basic terms) its accumulated, realized profits, so far as not previously utilized by distribution or capitalization, less its accumulated, realized losses, so far as not previously reduced or extinguished in a reduction or reorganization of capital duly made. The amount of the Company’s distributable reserves is a cumulative calculation. The Company may be profitable in a single financial year but unable to pay a dividend if the profits of that year do not offset all previous years’ accumulated, realized losses.</w:t>
      </w:r>
    </w:p>
    <w:p>
      <w:pPr>
        <w:spacing w:after="0" w:line="191" w:lineRule="exact"/>
        <w:rPr>
          <w:sz w:val="20"/>
          <w:szCs w:val="20"/>
          <w:color w:val="auto"/>
        </w:rPr>
      </w:pPr>
    </w:p>
    <w:p>
      <w:pPr>
        <w:jc w:val="both"/>
        <w:ind w:right="20"/>
        <w:spacing w:after="0" w:line="424" w:lineRule="auto"/>
        <w:rPr>
          <w:sz w:val="20"/>
          <w:szCs w:val="20"/>
          <w:color w:val="auto"/>
        </w:rPr>
      </w:pPr>
      <w:r>
        <w:rPr>
          <w:rFonts w:ascii="Arial" w:cs="Arial" w:eastAsia="Arial" w:hAnsi="Arial"/>
          <w:sz w:val="17"/>
          <w:szCs w:val="17"/>
          <w:color w:val="auto"/>
        </w:rPr>
        <w:t>Additionally, the Company may only make a distribution if the amount of its net assets is not less than the aggregate of its called-up share capital and undistributable reserves, and if, and to the extent that, the distribution does not reduce the amount of those assets to less than that aggregate.</w:t>
      </w:r>
    </w:p>
    <w:p>
      <w:pPr>
        <w:sectPr>
          <w:pgSz w:w="11900" w:h="16838" w:orient="portrait"/>
          <w:cols w:equalWidth="0" w:num="1">
            <w:col w:w="11420"/>
          </w:cols>
          <w:pgMar w:left="240" w:top="603" w:right="239" w:bottom="1440" w:gutter="0" w:footer="0" w:header="0"/>
        </w:sectPr>
      </w:pPr>
    </w:p>
    <w:bookmarkStart w:id="121" w:name="page122"/>
    <w:bookmarkEnd w:id="121"/>
    <w:p>
      <w:pPr>
        <w:jc w:val="both"/>
        <w:spacing w:after="0" w:line="465" w:lineRule="auto"/>
        <w:rPr>
          <w:sz w:val="20"/>
          <w:szCs w:val="20"/>
          <w:color w:val="auto"/>
        </w:rPr>
      </w:pPr>
      <w:r>
        <w:rPr>
          <w:rFonts w:ascii="Arial" w:cs="Arial" w:eastAsia="Arial" w:hAnsi="Arial"/>
          <w:sz w:val="16"/>
          <w:szCs w:val="16"/>
          <w:color w:val="auto"/>
        </w:rPr>
        <w:t>The Articles permit the Company shareholders, by ordinary resolution (a resolution passed by a simple majority of those shareholders present in person or by proxy and voting in respect of the relevant resolution), to declare dividends but no dividend shall exceed the amount recommended by the directors.</w:t>
      </w:r>
    </w:p>
    <w:p>
      <w:pPr>
        <w:spacing w:after="0" w:line="124"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In addition, the directors may decide to pay interim dividends. The entitlement to a dividend lapses if unclaimed by a shareholder for 12 years from the date when it became due for payment.</w:t>
      </w:r>
    </w:p>
    <w:p>
      <w:pPr>
        <w:spacing w:after="0" w:line="170" w:lineRule="exact"/>
        <w:rPr>
          <w:sz w:val="20"/>
          <w:szCs w:val="20"/>
          <w:color w:val="auto"/>
        </w:rPr>
      </w:pPr>
    </w:p>
    <w:p>
      <w:pPr>
        <w:jc w:val="both"/>
        <w:spacing w:after="0" w:line="424" w:lineRule="auto"/>
        <w:rPr>
          <w:sz w:val="20"/>
          <w:szCs w:val="20"/>
          <w:color w:val="auto"/>
        </w:rPr>
      </w:pPr>
      <w:r>
        <w:rPr>
          <w:rFonts w:ascii="Arial" w:cs="Arial" w:eastAsia="Arial" w:hAnsi="Arial"/>
          <w:sz w:val="17"/>
          <w:szCs w:val="17"/>
          <w:color w:val="auto"/>
        </w:rPr>
        <w:t>The Articles also permit a scrip dividend scheme under which the directors of the Company may offer any holders of ordinary shares the right to receive shares, credited as fully paid, instead of cash in respect of all or any dividend subject to certain terms and conditions set out in the Articles.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324"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The shareholders in general meeting must vote by poll. On a poll taken at a general meeting, each qualifying Company shareholder present in person or by proxy and entitled to vote on the resolution has one vote for every ordinary share held by such shareholder.</w:t>
      </w:r>
    </w:p>
    <w:p>
      <w:pPr>
        <w:spacing w:after="0" w:line="170"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In the case of joint holders, the vote of the senior holder who tenders a vote shall be accepted to the exclusion of the votes of the other joint holders. The necessary quorum for a general meeting is shareholders who together represent at least a majority of the voting rights of all Company shareholders entitled to vote at the meeting, present in person or by proxy, save that if the Company has only one shareholder entitled to attend and vote at the general meeting, one qualifying Company shareholder present at the meeting and entitled to vote is a quorum. If a meeting is adjourned for lack of quorum, the quorum of the adjourned meeting will be one qualifying person present and entitled to vote.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the Articles</w:t>
      </w:r>
    </w:p>
    <w:p>
      <w:pPr>
        <w:spacing w:after="0" w:line="32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Under the UK Companies Act 2006 (the “Companies Act”), the shareholders may amend the articles of association of the Company by special resolution (a resolution passed by the holders of at least 75% of those shareholders present in person or by proxy and voting in respect of the relevant resolution) at a general meeting. The notice of the general meeting at which a special resolution is proposed shall be required to specify the intention to propose any resolutions at the meeting as special resolutions.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rights</w:t>
      </w:r>
    </w:p>
    <w:p>
      <w:pPr>
        <w:spacing w:after="0" w:line="324" w:lineRule="exact"/>
        <w:rPr>
          <w:sz w:val="20"/>
          <w:szCs w:val="20"/>
          <w:color w:val="auto"/>
        </w:rPr>
      </w:pPr>
    </w:p>
    <w:p>
      <w:pPr>
        <w:jc w:val="both"/>
        <w:spacing w:after="0" w:line="465" w:lineRule="auto"/>
        <w:rPr>
          <w:sz w:val="20"/>
          <w:szCs w:val="20"/>
          <w:color w:val="auto"/>
        </w:rPr>
      </w:pPr>
      <w:r>
        <w:rPr>
          <w:rFonts w:ascii="Arial" w:cs="Arial" w:eastAsia="Arial" w:hAnsi="Arial"/>
          <w:sz w:val="16"/>
          <w:szCs w:val="16"/>
          <w:color w:val="auto"/>
        </w:rPr>
        <w:t>The rights attaching to the ordinary shares may be modified with the written consent of the holders of 75% in nominal value of the issued ordinary shares (excluding any shares of that class held as treasury shares), or by a special resolution of the holders of the issued ordinary shares, but not otherwise.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Meetings and Notices</w:t>
      </w:r>
    </w:p>
    <w:p>
      <w:pPr>
        <w:spacing w:after="0" w:line="324"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An annual general meeting must be called by not less than 21 clear days’ notice (i.e., excluding the date of receipt or deemed receipt of the notice and the date of the meeting itself). All other general meetings must be called by not less than 14 clear days’ notice. General meetings that are not annual general meetings may be called by shorter notice if agreed to by a majority in number of the Company shareholders having the right to attend and vote at the meeting, being a majority who together hold not less than 95% in nominal or par value of the ordinary shares given that right. At least seven clear days’ notice is required for any adjourned</w:t>
      </w:r>
    </w:p>
    <w:p>
      <w:pPr>
        <w:sectPr>
          <w:pgSz w:w="11900" w:h="16838" w:orient="portrait"/>
          <w:cols w:equalWidth="0" w:num="1">
            <w:col w:w="11420"/>
          </w:cols>
          <w:pgMar w:left="240" w:top="611" w:right="239" w:bottom="1440" w:gutter="0" w:footer="0" w:header="0"/>
        </w:sectPr>
      </w:pPr>
    </w:p>
    <w:bookmarkStart w:id="122" w:name="page123"/>
    <w:bookmarkEnd w:id="122"/>
    <w:p>
      <w:pPr>
        <w:jc w:val="both"/>
        <w:ind w:right="20"/>
        <w:spacing w:after="0" w:line="387" w:lineRule="auto"/>
        <w:rPr>
          <w:sz w:val="20"/>
          <w:szCs w:val="20"/>
          <w:color w:val="auto"/>
        </w:rPr>
      </w:pPr>
      <w:r>
        <w:rPr>
          <w:rFonts w:ascii="Arial" w:cs="Arial" w:eastAsia="Arial" w:hAnsi="Arial"/>
          <w:sz w:val="18"/>
          <w:szCs w:val="18"/>
          <w:color w:val="auto"/>
        </w:rPr>
        <w:t>meeting, and such meeting must be held not less than 14 days but not more than 28 days after adjournment at such time and place specified for the purpose in the notice calling the meeting or as decided by the chairman of the meeting.</w:t>
      </w:r>
    </w:p>
    <w:p>
      <w:pPr>
        <w:spacing w:after="0" w:line="170"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Subject to the Companies Act, notices of general meetings shall be given to every holder of ordinary shares as of the record date for the relevant meeting, to the Company’s board. Beneficial owners nominated to enjoy information rights under the Companies Act and the Company’s auditors are also entitled to receive notices of, and other communications relating to, general meetings. Under the Companies Act, the Company is required to hold an annual general meeting of its shareholders within six months from the day following the end of its fiscal year. Subject to the foregoing, a general meeting may be held at a time and place determined by the Company’s board.</w:t>
      </w:r>
    </w:p>
    <w:p>
      <w:pPr>
        <w:spacing w:after="0" w:line="191" w:lineRule="exact"/>
        <w:rPr>
          <w:sz w:val="20"/>
          <w:szCs w:val="20"/>
          <w:color w:val="auto"/>
        </w:rPr>
      </w:pPr>
    </w:p>
    <w:p>
      <w:pPr>
        <w:jc w:val="both"/>
        <w:spacing w:after="0" w:line="465" w:lineRule="auto"/>
        <w:rPr>
          <w:sz w:val="20"/>
          <w:szCs w:val="20"/>
          <w:color w:val="auto"/>
        </w:rPr>
      </w:pPr>
      <w:r>
        <w:rPr>
          <w:rFonts w:ascii="Arial" w:cs="Arial" w:eastAsia="Arial" w:hAnsi="Arial"/>
          <w:sz w:val="16"/>
          <w:szCs w:val="16"/>
          <w:color w:val="auto"/>
        </w:rPr>
        <w:t>Under the Companies Act, the Company must convene such a meeting once it has received requests to do so from Company shareholders representing at least 5% of the paid up share capital of the Company carrying voting rights at general meetings (excluding any paid-up capital held as treasury shares).</w:t>
      </w:r>
    </w:p>
    <w:p>
      <w:pPr>
        <w:spacing w:after="0" w:line="12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Under the Articles, a general meeting may also be called if the company has fewer than two directors and the director (if any) is unable or unwilling to appoint sufficient directors to make up a quorum or to call a general meeting to do so. In such case, two or more Company shareholders may call a general meeting for the purpose of appointing one or more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interests in ordinary shares</w:t>
      </w:r>
    </w:p>
    <w:p>
      <w:pPr>
        <w:spacing w:after="0" w:line="324" w:lineRule="exact"/>
        <w:rPr>
          <w:sz w:val="20"/>
          <w:szCs w:val="20"/>
          <w:color w:val="auto"/>
        </w:rPr>
      </w:pPr>
    </w:p>
    <w:p>
      <w:pPr>
        <w:jc w:val="both"/>
        <w:spacing w:after="0" w:line="417" w:lineRule="auto"/>
        <w:rPr>
          <w:sz w:val="20"/>
          <w:szCs w:val="20"/>
          <w:color w:val="auto"/>
        </w:rPr>
      </w:pPr>
      <w:r>
        <w:rPr>
          <w:rFonts w:ascii="Arial" w:cs="Arial" w:eastAsia="Arial" w:hAnsi="Arial"/>
          <w:sz w:val="16"/>
          <w:szCs w:val="16"/>
          <w:color w:val="auto"/>
        </w:rPr>
        <w:t>Under the Companies Act, the Company may serve a notice requiring a person it knows, or has reasonable cause to believe, has an interest in any ordinary shares (or to have had an interest in the previous three years) to confirm or deny the fact, and, if the former, to disclose certain information about the interest, including information about any other person with an interest in the ordinary shares. If a shareholder fails to comply with such a notice within such reasonable period of time as may be set out in the notice, the shareholder shall not be entitled to attend or vote either personally or by proxy at a general meeting, and, where the shares to which such failure to comply represent at least 0.25 per cent. in nominal value of the issued shares of their class, in respect of such shares, no dividends shall be paid, and no transfers of such shares shall be registered save in certain circumstances.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Winding Up</w:t>
      </w:r>
    </w:p>
    <w:p>
      <w:pPr>
        <w:spacing w:after="0" w:line="32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In the event of a voluntary winding up of the Company, the liquidator may, with the sanction of a special resolution of the Company and any other sanction required by law, subject to the Companies Act, divide among the Company shareholders the whole or any part of the assets of the Company, whether they consist of property of the same kind or not, and the liquidator may, for that purpose, value any assets as they deem fair and determine how the division shall be carried out as between the shareholders or different classes of shareholders, and may vest the whole or any part of the assets in trustees upon such trusts for the benefit of the Company shareholders as he, with the like sanction, may determine. No Company shareholder shall be compelled to accept any assets upon which there is a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Pre-Emption on New Issues of Ordinary Shares</w:t>
      </w:r>
    </w:p>
    <w:p>
      <w:pPr>
        <w:spacing w:after="0" w:line="324" w:lineRule="exact"/>
        <w:rPr>
          <w:sz w:val="20"/>
          <w:szCs w:val="20"/>
          <w:color w:val="auto"/>
        </w:rPr>
      </w:pPr>
    </w:p>
    <w:p>
      <w:pPr>
        <w:jc w:val="both"/>
        <w:ind w:right="20"/>
        <w:spacing w:after="0" w:line="373" w:lineRule="auto"/>
        <w:rPr>
          <w:sz w:val="20"/>
          <w:szCs w:val="20"/>
          <w:color w:val="auto"/>
        </w:rPr>
      </w:pPr>
      <w:r>
        <w:rPr>
          <w:rFonts w:ascii="Arial" w:cs="Arial" w:eastAsia="Arial" w:hAnsi="Arial"/>
          <w:sz w:val="18"/>
          <w:szCs w:val="18"/>
          <w:color w:val="auto"/>
        </w:rPr>
        <w:t>As mentioned above, under the Companies Act, the issuance of equity securities (except, amongst other exemptions, issuances of shares held under an employees’ share scheme) that are to be paid for wholly in cash must be offered first to the existing holders of equity securities in proportion to the respective nominal amounts (i.e., par values) of their holdings on the same or more favorable</w:t>
      </w:r>
    </w:p>
    <w:p>
      <w:pPr>
        <w:sectPr>
          <w:pgSz w:w="11900" w:h="16838" w:orient="portrait"/>
          <w:cols w:equalWidth="0" w:num="1">
            <w:col w:w="11420"/>
          </w:cols>
          <w:pgMar w:left="240" w:top="611" w:right="239" w:bottom="1440" w:gutter="0" w:footer="0" w:header="0"/>
        </w:sectPr>
      </w:pPr>
    </w:p>
    <w:bookmarkStart w:id="123" w:name="page124"/>
    <w:bookmarkEnd w:id="123"/>
    <w:p>
      <w:pPr>
        <w:jc w:val="both"/>
        <w:spacing w:after="0" w:line="366" w:lineRule="auto"/>
        <w:rPr>
          <w:sz w:val="20"/>
          <w:szCs w:val="20"/>
          <w:color w:val="auto"/>
        </w:rPr>
      </w:pPr>
      <w:r>
        <w:rPr>
          <w:rFonts w:ascii="Arial" w:cs="Arial" w:eastAsia="Arial" w:hAnsi="Arial"/>
          <w:sz w:val="18"/>
          <w:szCs w:val="18"/>
          <w:color w:val="auto"/>
        </w:rPr>
        <w:t>terms, unless a special resolution to the contrary has been passed or the Articles otherwise provide an exclusion from this requirement (which exclusion can be for a maximum of five years after which Company shareholders’ approval would be required to renew the exclusion). In this context, equity securities generally means ordinary shares other than ordinary shares which, with respect to dividends or capital, carry a right to participate only up to a specified amount in a distribution, which, in relation to the Company, will include the ordinary shares, and all rights to subscribe for or convert securities into such ordinary shares.</w:t>
      </w:r>
    </w:p>
    <w:p>
      <w:pPr>
        <w:spacing w:after="0" w:line="191"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A provision in the Articles authorizes the directors to allot shares in the Company, or to grant rights to subscribe for or to convert or exchange any security into shares in the Company, up to an aggregate nominal amount representing 20% of the number of shares in the capital of the Company as at the date of adoption of the Articles for a period expiring (unless previously renewed, varied or revoked by the shareholders of the Company in general meeting) on the date which is five years from the date of the adoption of the Articles. The rights or pre-emption under the Companies Act will therefore not apply in respect of allotment of shares for cash made pursuant to such authority. Renewal of such authorization is expected to be sought at least once every five years, and possibly more frequently.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Alteration of Share Capital/Repurchase of Ordinary Shares</w:t>
      </w:r>
    </w:p>
    <w:p>
      <w:pPr>
        <w:spacing w:after="0" w:line="324" w:lineRule="exact"/>
        <w:rPr>
          <w:sz w:val="20"/>
          <w:szCs w:val="20"/>
          <w:color w:val="auto"/>
        </w:rPr>
      </w:pPr>
    </w:p>
    <w:p>
      <w:pPr>
        <w:jc w:val="both"/>
        <w:ind w:right="20"/>
        <w:spacing w:after="0" w:line="387" w:lineRule="auto"/>
        <w:rPr>
          <w:sz w:val="20"/>
          <w:szCs w:val="20"/>
          <w:color w:val="auto"/>
        </w:rPr>
      </w:pPr>
      <w:r>
        <w:rPr>
          <w:rFonts w:ascii="Arial" w:cs="Arial" w:eastAsia="Arial" w:hAnsi="Arial"/>
          <w:sz w:val="18"/>
          <w:szCs w:val="18"/>
          <w:color w:val="auto"/>
        </w:rPr>
        <w:t>Subject to the Companies Act, and without prejudice to any relevant special rights attached to any class of shares, the Company may, from time to time, among other things:</w:t>
      </w:r>
    </w:p>
    <w:p>
      <w:pPr>
        <w:spacing w:after="0" w:line="170"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 its share capital by allotting and issuing new shares in accordance with the Articles and any relevant shareholder resolution;</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 all or any of its share capital into shares of a larger nominal amount (i.e., par value) than the existing shares;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subdivide any of its shares into shares of a smaller nominal amount (i.e., par value) than its existing shares; or</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redenominate its share capital or any class of share capital.</w:t>
      </w:r>
    </w:p>
    <w:p>
      <w:pPr>
        <w:spacing w:after="0" w:line="10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Companies Act prohibits the Company from purchasing its own shares unless such purchase has been approved by its shareholders by means of an ordinary resolution. The Company may not acquire its own shares until the terms of the contract pursuant to which the purchase(s) are to be made has been authorized by the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ordinary shares</w:t>
      </w:r>
    </w:p>
    <w:p>
      <w:pPr>
        <w:spacing w:after="0" w:line="32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Articles allow holders of ordinary shares to transfer all or any of their shares by instrument of transfer in writing in any usual form or in any other form which is permitted by the Companies Act and is approved by the Company’s board. The instrument of transfer must be executed by or on behalf of the transferor and (in the case of a transfer of any ordinary shares which are not fully paid) by or on behalf of the transferee.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not charge a fee for registering the transfer of a share.</w:t>
      </w:r>
    </w:p>
    <w:p>
      <w:pPr>
        <w:spacing w:after="0" w:line="320"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The Company’s board may, in its absolute discretion, refuse to register a transfer of shares in certificated form if it is not fully paid or is with respect to a share on which the Company has a lien and sums in respect of which the lien exists is payable and is not paid within 14 clear days after due notice has been sent. If the Company’s board refuses to register a transfer of a share, it shall send notice to the transferee of notice of the refusal together with reasons for the refusal and any instrument of transfer shall (except in the case of fraud) be returned when the notice of refusal is sent.</w:t>
      </w:r>
    </w:p>
    <w:p>
      <w:pPr>
        <w:sectPr>
          <w:pgSz w:w="11900" w:h="16838" w:orient="portrait"/>
          <w:cols w:equalWidth="0" w:num="1">
            <w:col w:w="11420"/>
          </w:cols>
          <w:pgMar w:left="240" w:top="611"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Material U.K. Tax Consequences of Holding Ordinary Shares for U.S. Holders</w:t>
      </w:r>
    </w:p>
    <w:p>
      <w:pPr>
        <w:spacing w:after="0" w:line="324" w:lineRule="exact"/>
        <w:rPr>
          <w:sz w:val="20"/>
          <w:szCs w:val="20"/>
          <w:color w:val="auto"/>
        </w:rPr>
      </w:pPr>
    </w:p>
    <w:p>
      <w:pPr>
        <w:jc w:val="both"/>
        <w:spacing w:after="0" w:line="415" w:lineRule="auto"/>
        <w:rPr>
          <w:sz w:val="20"/>
          <w:szCs w:val="20"/>
          <w:color w:val="auto"/>
        </w:rPr>
      </w:pPr>
      <w:r>
        <w:rPr>
          <w:rFonts w:ascii="Arial" w:cs="Arial" w:eastAsia="Arial" w:hAnsi="Arial"/>
          <w:sz w:val="16"/>
          <w:szCs w:val="16"/>
          <w:color w:val="auto"/>
        </w:rPr>
        <w:t>The following summarizes certain U.K. tax consequences generally applicable to ordinary shares and is based on current U.K. tax law and HM Revenue &amp; Customs (“HMRC”) published practice, both of which are subject to change. It does not purport to be a complete analysis of all U.K. tax considerations which may arise. It relates only to persons who (i) are absolute beneficial owners holding ordinary shares as a capital investment, (ii) are resident for tax purposes solely in the United States, and (iii) do not carry on (whether solely or in partnership) any trade, profession or vocation in the United Kingdom through a branch or agency to which those shares are attributable, or, in the case of corporate holders of ordinary shares, do not carry on a trade in the United Kingdom through a permanent establishment to which those shares are attributable (persons meeting each of the descriptions in (i), (ii) and (iii) being “US Holders”). It may not apply to certain categories of U.S Holders, such as those who acquired their ordinary shares in connection with employment.</w:t>
      </w:r>
    </w:p>
    <w:p>
      <w:pPr>
        <w:spacing w:after="0" w:line="163"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Shareholders should consult their own tax advisors in respect of the tax consequences related to receipt, ownership, purchase or sale or other disposition of their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320" w:lineRule="exact"/>
        <w:rPr>
          <w:sz w:val="20"/>
          <w:szCs w:val="20"/>
          <w:color w:val="auto"/>
        </w:rPr>
      </w:pPr>
    </w:p>
    <w:p>
      <w:pPr>
        <w:jc w:val="both"/>
        <w:ind w:right="20"/>
        <w:spacing w:after="0" w:line="387" w:lineRule="auto"/>
        <w:rPr>
          <w:sz w:val="20"/>
          <w:szCs w:val="20"/>
          <w:color w:val="auto"/>
        </w:rPr>
      </w:pPr>
      <w:r>
        <w:rPr>
          <w:rFonts w:ascii="Arial" w:cs="Arial" w:eastAsia="Arial" w:hAnsi="Arial"/>
          <w:sz w:val="18"/>
          <w:szCs w:val="18"/>
          <w:color w:val="auto"/>
        </w:rPr>
        <w:t>U.S. Holders will not be subject to U.K. income tax or U.K. corporation tax on income in relation to any dividends received in respect of their ordinary shares. Additionally, no U.K. tax is required to be withheld from any dividends paid in respect of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and Transfers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U.S. Holders will not be subject to U.K. tax on capital gains arising on the disposal of their ordinary shares.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Treaty relief</w:t>
      </w:r>
    </w:p>
    <w:p>
      <w:pPr>
        <w:spacing w:after="0" w:line="320"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If the U.K. tax treatment of dividends paid to U.S. Holders, or on the taxation of capital gains realized by U.S. Holders from the disposal of ordinary shares, were to change, then eligible U.S. Holders may be able to claim relief from applicable U.K. tax under the provisions of the tax treaty between the U.K. and the United States of America. Relief under the treaty generally has to be claimed rather than applying automatically.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Stamp duty and stamp duty reserve tax ("SDRT")</w:t>
      </w:r>
    </w:p>
    <w:p>
      <w:pPr>
        <w:spacing w:after="0" w:line="320"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Transfers of ordinary shares within a clearance service or depositary receipt system should not give rise to a liability to U.K. stamp duty or SDRT, provided that no instrument of transfer is entered into and that no election that applies to ordinary shares is, or has been, made by the clearance service or depositary receipt system under Section 97A of the U.K. Finance Act 1986. We understand that HMRC regards the facilities of the Depositary Trust Company as a clearance service for these purposes.</w:t>
      </w:r>
    </w:p>
    <w:p>
      <w:pPr>
        <w:spacing w:after="0" w:line="186"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Transfers of ordinary shares within a clearance service or depositary receipt system where an election has been made by the clearance service or depositary receipt system under Section 97A of the U.K. Finance Act 1986 will generally be subject to SDRT (rather than U.K. stamp duty) at the rate of 0.5% of the amount or value of the consideration. SDRT is a liability of the transferee of the shares.</w:t>
      </w:r>
    </w:p>
    <w:p>
      <w:pPr>
        <w:sectPr>
          <w:pgSz w:w="11900" w:h="16838" w:orient="portrait"/>
          <w:cols w:equalWidth="0" w:num="1">
            <w:col w:w="11420"/>
          </w:cols>
          <w:pgMar w:left="240" w:top="607" w:right="239" w:bottom="1440" w:gutter="0" w:footer="0" w:header="0"/>
        </w:sectPr>
      </w:pPr>
    </w:p>
    <w:bookmarkStart w:id="125" w:name="page126"/>
    <w:bookmarkEnd w:id="125"/>
    <w:p>
      <w:pPr>
        <w:jc w:val="both"/>
        <w:spacing w:after="0" w:line="386" w:lineRule="auto"/>
        <w:rPr>
          <w:sz w:val="20"/>
          <w:szCs w:val="20"/>
          <w:color w:val="auto"/>
        </w:rPr>
      </w:pPr>
      <w:r>
        <w:rPr>
          <w:rFonts w:ascii="Arial" w:cs="Arial" w:eastAsia="Arial" w:hAnsi="Arial"/>
          <w:sz w:val="17"/>
          <w:szCs w:val="17"/>
          <w:color w:val="auto"/>
        </w:rPr>
        <w:t>Transfers of ordinary shares that are held in certificated form by means of an instrument of transfer will generally be subject to U.K. stamp duty at the rate of 0.5% of the consideration given (rounded up to the nearest £5 per instrument), payable by the transferee. An exemption from U.K. stamp duty is available for a written instrument transferring an interest in ordinary shares where the amount or value of the consideration is £1,000 or less, and it is certified on the instrument that the transaction effected by the instrument does not form part of a larger transaction or series of transactions for which the aggregate consideration exceeds £1,000. SDRT may be payable on an agreement to transfer such ordinary shares, generally at the rate of 0.5% of the consideration given in money or money’s worth under the agreement to transfer ordinary shares. This charge to SDRT would be discharged if an instrument of transfer is executed pursuant to the agreement which gave rise to SDRT and U.K. stamp duty is duly paid on the instrument transferring ordinary shares within six years of the date on which the agreement was made or, if the agreement was conditional, the date on which the agreement became unconditional. In certain circumstances the stamp duty or SDRT liability may be calculated by reference to the market value of the ordinary shares concerned in the relevant transaction, rather than the consideration given for the transfer or agreement for transfer.</w:t>
      </w:r>
    </w:p>
    <w:p>
      <w:pPr>
        <w:spacing w:after="0" w:line="178"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If ordinary shares (or interests therein) are subsequently transferred into a clearance service or depositary receipt system, U.K. stamp duty or SDRT will generally be payable at the rate of 1.5% of the amount or value of the consideration given or, in certain circumstances, the value of the shares (save to the extent that an election has been made under Section 97A of the U.K. Finance Act 1986). This liability for U.K. stamp duty or SDRT will strictly be accountable by the clearance service or depositary receipt system, as the case may be, but will, in practice, generally be reimbursed by participants in the clearance service or depositary receipt system.</w:t>
      </w:r>
    </w:p>
    <w:p>
      <w:pPr>
        <w:spacing w:after="0" w:line="191"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Transfers through CREST of CREST depositary interests (“CDIs”), representing underlying ordinary shares will be generally liable to SDRT, rather than U.K. stamp duty, at the 0.5% rate. CREST is obliged to collect SDRT on relevant transactions settled within the CREST system. The issue and deposit into CREST, and any subsequent cancellation, of CDIs representing underlying ordinary shares should not give rise to any liability to U.K. stamp duty or SDRT, although this will be the subject of a clearance to be sought from HMRC and no guarantee can be given on the outcome of such an application.</w:t>
      </w:r>
    </w:p>
    <w:p>
      <w:pPr>
        <w:spacing w:after="0" w:line="172"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This discussion is for general information only and does not constitute tax or legal advice. In addition, US Holders should consult their own tax advisors regarding the U.S. tax consequences of the purchase, ownership and disposition of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ordinary shares trade on Nasdaq under the symbol “LIVN”.</w:t>
      </w:r>
    </w:p>
    <w:p>
      <w:pPr>
        <w:sectPr>
          <w:pgSz w:w="11900" w:h="16838" w:orient="portrait"/>
          <w:cols w:equalWidth="0" w:num="1">
            <w:col w:w="11420"/>
          </w:cols>
          <w:pgMar w:left="240" w:top="61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10.46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LIVANOVA PLC</w:t>
      </w:r>
    </w:p>
    <w:p>
      <w:pPr>
        <w:spacing w:after="0" w:line="200" w:lineRule="exact"/>
        <w:rPr>
          <w:sz w:val="20"/>
          <w:szCs w:val="20"/>
          <w:color w:val="auto"/>
        </w:rPr>
      </w:pPr>
    </w:p>
    <w:p>
      <w:pPr>
        <w:spacing w:after="0" w:line="259" w:lineRule="exact"/>
        <w:rPr>
          <w:sz w:val="20"/>
          <w:szCs w:val="20"/>
          <w:color w:val="auto"/>
        </w:rPr>
      </w:pPr>
    </w:p>
    <w:p>
      <w:pPr>
        <w:ind w:left="3560"/>
        <w:spacing w:after="0"/>
        <w:rPr>
          <w:sz w:val="20"/>
          <w:szCs w:val="20"/>
          <w:color w:val="auto"/>
        </w:rPr>
      </w:pPr>
      <w:r>
        <w:rPr>
          <w:rFonts w:ascii="Arial" w:cs="Arial" w:eastAsia="Arial" w:hAnsi="Arial"/>
          <w:sz w:val="20"/>
          <w:szCs w:val="20"/>
          <w:b w:val="1"/>
          <w:bCs w:val="1"/>
          <w:color w:val="auto"/>
        </w:rPr>
        <w:t>ALISTAIR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1373505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auto"/>
        </w:rPr>
        <w:t>SEPARATION AND SETTLEMENT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353060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549" w:right="239"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b w:val="1"/>
          <w:bCs w:val="1"/>
          <w:color w:val="auto"/>
        </w:rPr>
        <w:t xml:space="preserve">THIS SEPARATION AND SETTLEMENT AGREEMENT </w:t>
      </w:r>
      <w:r>
        <w:rPr>
          <w:rFonts w:ascii="Arial" w:cs="Arial" w:eastAsia="Arial" w:hAnsi="Arial"/>
          <w:sz w:val="20"/>
          <w:szCs w:val="20"/>
          <w:color w:val="auto"/>
        </w:rPr>
        <w:t>(the “</w:t>
      </w:r>
      <w:r>
        <w:rPr>
          <w:rFonts w:ascii="Arial" w:cs="Arial" w:eastAsia="Arial" w:hAnsi="Arial"/>
          <w:sz w:val="20"/>
          <w:szCs w:val="20"/>
          <w:b w:val="1"/>
          <w:bCs w:val="1"/>
          <w:color w:val="auto"/>
        </w:rPr>
        <w:t>Agreement</w:t>
      </w:r>
      <w:r>
        <w:rPr>
          <w:rFonts w:ascii="Arial" w:cs="Arial" w:eastAsia="Arial" w:hAnsi="Arial"/>
          <w:sz w:val="20"/>
          <w:szCs w:val="20"/>
          <w:color w:val="auto"/>
        </w:rPr>
        <w:t>”) is made on ______ November 2019</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189" w:lineRule="exact"/>
        <w:rPr>
          <w:sz w:val="20"/>
          <w:szCs w:val="20"/>
          <w:color w:val="auto"/>
        </w:rPr>
      </w:pPr>
    </w:p>
    <w:p>
      <w:pPr>
        <w:ind w:right="200" w:firstLine="8"/>
        <w:spacing w:after="0" w:line="267" w:lineRule="auto"/>
        <w:tabs>
          <w:tab w:leader="none" w:pos="429"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LIVANOVA PLC</w:t>
      </w:r>
      <w:r>
        <w:rPr>
          <w:rFonts w:ascii="Arial" w:cs="Arial" w:eastAsia="Arial" w:hAnsi="Arial"/>
          <w:sz w:val="20"/>
          <w:szCs w:val="20"/>
          <w:color w:val="auto"/>
        </w:rPr>
        <w:t>, a company registered in England with registered number 09451374 and having its registered office at 20 Eastbourne</w:t>
      </w:r>
      <w:r>
        <w:rPr>
          <w:rFonts w:ascii="Arial" w:cs="Arial" w:eastAsia="Arial" w:hAnsi="Arial"/>
          <w:sz w:val="20"/>
          <w:szCs w:val="20"/>
          <w:b w:val="1"/>
          <w:bCs w:val="1"/>
          <w:color w:val="auto"/>
        </w:rPr>
        <w:t xml:space="preserve"> </w:t>
      </w:r>
      <w:r>
        <w:rPr>
          <w:rFonts w:ascii="Arial" w:cs="Arial" w:eastAsia="Arial" w:hAnsi="Arial"/>
          <w:sz w:val="20"/>
          <w:szCs w:val="20"/>
          <w:color w:val="auto"/>
        </w:rPr>
        <w:t>Terrace, W2 6LG London (the “</w:t>
      </w:r>
      <w:r>
        <w:rPr>
          <w:rFonts w:ascii="Arial" w:cs="Arial" w:eastAsia="Arial" w:hAnsi="Arial"/>
          <w:sz w:val="20"/>
          <w:szCs w:val="20"/>
          <w:b w:val="1"/>
          <w:bCs w:val="1"/>
          <w:color w:val="auto"/>
        </w:rPr>
        <w:t>Company</w:t>
      </w:r>
      <w:r>
        <w:rPr>
          <w:rFonts w:ascii="Arial" w:cs="Arial" w:eastAsia="Arial" w:hAnsi="Arial"/>
          <w:sz w:val="20"/>
          <w:szCs w:val="20"/>
          <w:color w:val="auto"/>
        </w:rPr>
        <w:t>”); and</w:t>
      </w:r>
    </w:p>
    <w:p>
      <w:pPr>
        <w:spacing w:after="0" w:line="177" w:lineRule="exact"/>
        <w:rPr>
          <w:rFonts w:ascii="Arial" w:cs="Arial" w:eastAsia="Arial" w:hAnsi="Arial"/>
          <w:sz w:val="20"/>
          <w:szCs w:val="20"/>
          <w:color w:val="auto"/>
        </w:rPr>
      </w:pPr>
    </w:p>
    <w:p>
      <w:pPr>
        <w:ind w:left="440" w:hanging="432"/>
        <w:spacing w:after="0"/>
        <w:tabs>
          <w:tab w:leader="none" w:pos="440"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ALISTAIR SIMPSON</w:t>
      </w:r>
      <w:r>
        <w:rPr>
          <w:rFonts w:ascii="Arial" w:cs="Arial" w:eastAsia="Arial" w:hAnsi="Arial"/>
          <w:sz w:val="20"/>
          <w:szCs w:val="20"/>
          <w:color w:val="auto"/>
        </w:rPr>
        <w:t>, residing at 37 Sydney Road, Richmond, TW9 1UB (the “</w:t>
      </w:r>
      <w:r>
        <w:rPr>
          <w:rFonts w:ascii="Arial" w:cs="Arial" w:eastAsia="Arial" w:hAnsi="Arial"/>
          <w:sz w:val="20"/>
          <w:szCs w:val="20"/>
          <w:b w:val="1"/>
          <w:bCs w:val="1"/>
          <w:color w:val="auto"/>
        </w:rPr>
        <w:t>Executive</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The Company has employed the Executive as </w:t>
      </w:r>
      <w:r>
        <w:rPr>
          <w:rFonts w:ascii="Arial" w:cs="Arial" w:eastAsia="Arial" w:hAnsi="Arial"/>
          <w:sz w:val="20"/>
          <w:szCs w:val="20"/>
          <w:color w:val="0D0D0D"/>
        </w:rPr>
        <w:t>General Manager, Cardiac Surgery</w:t>
      </w:r>
      <w:r>
        <w:rPr>
          <w:rFonts w:ascii="Arial" w:cs="Arial" w:eastAsia="Arial" w:hAnsi="Arial"/>
          <w:sz w:val="20"/>
          <w:szCs w:val="20"/>
          <w:color w:val="auto"/>
        </w:rPr>
        <w:t xml:space="preserve"> since 10 April 2017 under the terms of a Service Agreement dated 28 February 2017 as varied by the parties prior to the date of this Agreement (the “</w:t>
      </w:r>
      <w:r>
        <w:rPr>
          <w:rFonts w:ascii="Arial" w:cs="Arial" w:eastAsia="Arial" w:hAnsi="Arial"/>
          <w:sz w:val="20"/>
          <w:szCs w:val="20"/>
          <w:b w:val="1"/>
          <w:bCs w:val="1"/>
          <w:color w:val="auto"/>
        </w:rPr>
        <w:t>Service Agreement</w:t>
      </w:r>
      <w:r>
        <w:rPr>
          <w:rFonts w:ascii="Arial" w:cs="Arial" w:eastAsia="Arial" w:hAnsi="Arial"/>
          <w:sz w:val="20"/>
          <w:szCs w:val="20"/>
          <w:color w:val="auto"/>
        </w:rPr>
        <w:t>”). Contemporaneous with the reorganization of the Company effective on 1 January 2020, pursuant to which the Company will no longer operate under a structure with a Cardiac Surgery franchise, Executive and the Company desire to plan for Executive’s transition to a new position with the Company and for Executive’s eventual separation from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pacing w:after="0" w:line="189" w:lineRule="exact"/>
        <w:rPr>
          <w:sz w:val="20"/>
          <w:szCs w:val="20"/>
          <w:color w:val="auto"/>
        </w:rPr>
      </w:pPr>
    </w:p>
    <w:p>
      <w:pPr>
        <w:ind w:left="620" w:hanging="612"/>
        <w:spacing w:after="0"/>
        <w:tabs>
          <w:tab w:leader="none" w:pos="62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b w:val="1"/>
          <w:bCs w:val="1"/>
          <w:color w:val="auto"/>
        </w:rPr>
        <w:t>Definitions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In this Agreement, unless the context otherwise requires: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49" w:right="239" w:bottom="1440" w:gutter="0" w:footer="0" w:header="0"/>
        </w:sectPr>
      </w:pPr>
    </w:p>
    <w:bookmarkStart w:id="128" w:name="page129"/>
    <w:bookmarkEnd w:id="128"/>
    <w:p>
      <w:pPr>
        <w:ind w:left="820"/>
        <w:spacing w:after="0"/>
        <w:tabs>
          <w:tab w:leader="none" w:pos="398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the Acts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means the Employment Rights Act 1996 section 203(3) and the Equality Act</w:t>
      </w:r>
    </w:p>
    <w:p>
      <w:pPr>
        <w:spacing w:after="0" w:line="22"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2010, section 147;</w:t>
      </w:r>
    </w:p>
    <w:p>
      <w:pPr>
        <w:spacing w:after="0" w:line="221" w:lineRule="exact"/>
        <w:rPr>
          <w:sz w:val="20"/>
          <w:szCs w:val="20"/>
          <w:color w:val="auto"/>
        </w:rPr>
      </w:pPr>
    </w:p>
    <w:p>
      <w:pPr>
        <w:ind w:left="820"/>
        <w:spacing w:after="0"/>
        <w:tabs>
          <w:tab w:leader="none" w:pos="398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Claims”</w:t>
      </w:r>
      <w:r>
        <w:rPr>
          <w:sz w:val="20"/>
          <w:szCs w:val="20"/>
          <w:color w:val="auto"/>
        </w:rPr>
        <w:tab/>
      </w:r>
      <w:r>
        <w:rPr>
          <w:rFonts w:ascii="Arial" w:cs="Arial" w:eastAsia="Arial" w:hAnsi="Arial"/>
          <w:sz w:val="18"/>
          <w:szCs w:val="18"/>
          <w:color w:val="auto"/>
        </w:rPr>
        <w:t>means the claims that the Executive believes that he has against the Company</w:t>
      </w:r>
    </w:p>
    <w:p>
      <w:pPr>
        <w:spacing w:after="0" w:line="22" w:lineRule="exact"/>
        <w:rPr>
          <w:sz w:val="20"/>
          <w:szCs w:val="20"/>
          <w:color w:val="auto"/>
        </w:rPr>
      </w:pPr>
    </w:p>
    <w:p>
      <w:pPr>
        <w:ind w:left="4000"/>
        <w:spacing w:after="0" w:line="244" w:lineRule="auto"/>
        <w:rPr>
          <w:sz w:val="20"/>
          <w:szCs w:val="20"/>
          <w:color w:val="auto"/>
        </w:rPr>
      </w:pPr>
      <w:r>
        <w:rPr>
          <w:rFonts w:ascii="Arial" w:cs="Arial" w:eastAsia="Arial" w:hAnsi="Arial"/>
          <w:sz w:val="20"/>
          <w:szCs w:val="20"/>
          <w:color w:val="auto"/>
        </w:rPr>
        <w:t>or any Group Company or against any of its or their respective shareholders, officers, employees or agents, being:</w:t>
      </w:r>
    </w:p>
    <w:p>
      <w:pPr>
        <w:spacing w:after="0" w:line="84" w:lineRule="exact"/>
        <w:rPr>
          <w:sz w:val="20"/>
          <w:szCs w:val="20"/>
          <w:color w:val="auto"/>
        </w:rPr>
      </w:pPr>
    </w:p>
    <w:p>
      <w:pPr>
        <w:ind w:left="3980"/>
        <w:spacing w:after="0"/>
        <w:tabs>
          <w:tab w:leader="none" w:pos="4380" w:val="left"/>
        </w:tabs>
        <w:rPr>
          <w:sz w:val="20"/>
          <w:szCs w:val="20"/>
          <w:color w:val="auto"/>
        </w:rPr>
      </w:pPr>
      <w:r>
        <w:rPr>
          <w:rFonts w:ascii="Arial" w:cs="Arial" w:eastAsia="Arial" w:hAnsi="Arial"/>
          <w:sz w:val="18"/>
          <w:szCs w:val="18"/>
          <w:color w:val="auto"/>
        </w:rPr>
        <w:t>(a)</w:t>
        <w:tab/>
        <w:t>for breach of contract arising out of his employment, or termination of the</w:t>
      </w:r>
    </w:p>
    <w:p>
      <w:pPr>
        <w:spacing w:after="0" w:line="39"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employment, or otherwise (save in relation to the enforcement of this</w:t>
      </w:r>
    </w:p>
    <w:p>
      <w:pPr>
        <w:spacing w:after="0" w:line="11"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Agreement);</w:t>
      </w:r>
    </w:p>
    <w:p>
      <w:pPr>
        <w:spacing w:after="0" w:line="173" w:lineRule="exact"/>
        <w:rPr>
          <w:sz w:val="20"/>
          <w:szCs w:val="20"/>
          <w:color w:val="auto"/>
        </w:rPr>
      </w:pPr>
    </w:p>
    <w:p>
      <w:pPr>
        <w:ind w:left="3980"/>
        <w:spacing w:after="0"/>
        <w:tabs>
          <w:tab w:leader="none" w:pos="43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for unfair dismissal under the Employment Rights Act 1996;</w:t>
      </w:r>
    </w:p>
    <w:p>
      <w:pPr>
        <w:spacing w:after="0" w:line="189" w:lineRule="exact"/>
        <w:rPr>
          <w:sz w:val="20"/>
          <w:szCs w:val="20"/>
          <w:color w:val="auto"/>
        </w:rPr>
      </w:pPr>
    </w:p>
    <w:p>
      <w:pPr>
        <w:ind w:left="3980"/>
        <w:spacing w:after="0"/>
        <w:tabs>
          <w:tab w:leader="none" w:pos="436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color w:val="auto"/>
        </w:rPr>
        <w:t>in relation to unauthorized deductions from wages;</w:t>
      </w:r>
    </w:p>
    <w:p>
      <w:pPr>
        <w:spacing w:after="0" w:line="189" w:lineRule="exact"/>
        <w:rPr>
          <w:sz w:val="20"/>
          <w:szCs w:val="20"/>
          <w:color w:val="auto"/>
        </w:rPr>
      </w:pPr>
    </w:p>
    <w:p>
      <w:pPr>
        <w:ind w:left="3980"/>
        <w:spacing w:after="0"/>
        <w:tabs>
          <w:tab w:leader="none" w:pos="438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for discrimination, harassment or victimisation on the grounds of age, sex,</w:t>
      </w:r>
    </w:p>
    <w:p>
      <w:pPr>
        <w:spacing w:after="0" w:line="16" w:lineRule="exact"/>
        <w:rPr>
          <w:sz w:val="20"/>
          <w:szCs w:val="20"/>
          <w:color w:val="auto"/>
        </w:rPr>
      </w:pPr>
    </w:p>
    <w:p>
      <w:pPr>
        <w:ind w:left="4400"/>
        <w:spacing w:after="0" w:line="244" w:lineRule="auto"/>
        <w:rPr>
          <w:sz w:val="20"/>
          <w:szCs w:val="20"/>
          <w:color w:val="auto"/>
        </w:rPr>
      </w:pPr>
      <w:r>
        <w:rPr>
          <w:rFonts w:ascii="Arial" w:cs="Arial" w:eastAsia="Arial" w:hAnsi="Arial"/>
          <w:sz w:val="20"/>
          <w:szCs w:val="20"/>
          <w:color w:val="auto"/>
        </w:rPr>
        <w:t>race or nationality or any other unlawful ground, pursuant to the Equality Act 2010;</w:t>
      </w:r>
    </w:p>
    <w:p>
      <w:pPr>
        <w:spacing w:after="0" w:line="165" w:lineRule="exact"/>
        <w:rPr>
          <w:sz w:val="20"/>
          <w:szCs w:val="20"/>
          <w:color w:val="auto"/>
        </w:rPr>
      </w:pPr>
    </w:p>
    <w:p>
      <w:pPr>
        <w:ind w:left="3980"/>
        <w:spacing w:after="0"/>
        <w:tabs>
          <w:tab w:leader="none" w:pos="438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8"/>
          <w:szCs w:val="18"/>
          <w:color w:val="auto"/>
        </w:rPr>
        <w:t>for breach of contract or any other rights to or in respect of shares or other</w:t>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securities or securities based incentives in the Company or any Group</w:t>
      </w:r>
    </w:p>
    <w:p>
      <w:pPr>
        <w:spacing w:after="0" w:line="11"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Company;</w:t>
      </w:r>
    </w:p>
    <w:p>
      <w:pPr>
        <w:spacing w:after="0" w:line="173" w:lineRule="exact"/>
        <w:rPr>
          <w:sz w:val="20"/>
          <w:szCs w:val="20"/>
          <w:color w:val="auto"/>
        </w:rPr>
      </w:pPr>
    </w:p>
    <w:p>
      <w:pPr>
        <w:ind w:left="3980" w:right="620"/>
        <w:spacing w:after="0" w:line="458" w:lineRule="auto"/>
        <w:rPr>
          <w:sz w:val="20"/>
          <w:szCs w:val="20"/>
          <w:color w:val="auto"/>
        </w:rPr>
      </w:pPr>
      <w:r>
        <w:rPr>
          <w:rFonts w:ascii="Arial" w:cs="Arial" w:eastAsia="Arial" w:hAnsi="Arial"/>
          <w:sz w:val="20"/>
          <w:szCs w:val="20"/>
          <w:color w:val="auto"/>
        </w:rPr>
        <w:t>(f) for unlawful detriment under the Employment Rights Act 1996; and (g) under the Public Interest Disclosure Act 1998.</w:t>
      </w:r>
    </w:p>
    <w:p>
      <w:pPr>
        <w:spacing w:after="0" w:line="8" w:lineRule="exact"/>
        <w:rPr>
          <w:sz w:val="20"/>
          <w:szCs w:val="20"/>
          <w:color w:val="auto"/>
        </w:rPr>
      </w:pPr>
    </w:p>
    <w:p>
      <w:pPr>
        <w:ind w:left="820"/>
        <w:spacing w:after="0"/>
        <w:tabs>
          <w:tab w:leader="none" w:pos="398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means 12:01 a.m. on 1 January 2020;</w:t>
      </w:r>
    </w:p>
    <w:p>
      <w:pPr>
        <w:spacing w:after="0" w:line="243" w:lineRule="exact"/>
        <w:rPr>
          <w:sz w:val="20"/>
          <w:szCs w:val="20"/>
          <w:color w:val="auto"/>
        </w:rPr>
      </w:pPr>
    </w:p>
    <w:p>
      <w:pPr>
        <w:ind w:left="820"/>
        <w:spacing w:after="0"/>
        <w:tabs>
          <w:tab w:leader="none" w:pos="398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Employment</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means the employment of the Executive under this Agreement or, as the context</w:t>
      </w:r>
    </w:p>
    <w:p>
      <w:pPr>
        <w:spacing w:after="0" w:line="22" w:lineRule="exact"/>
        <w:rPr>
          <w:sz w:val="20"/>
          <w:szCs w:val="20"/>
          <w:color w:val="auto"/>
        </w:rPr>
      </w:pPr>
    </w:p>
    <w:p>
      <w:pPr>
        <w:jc w:val="center"/>
        <w:ind w:right="-979"/>
        <w:spacing w:after="0"/>
        <w:rPr>
          <w:sz w:val="20"/>
          <w:szCs w:val="20"/>
          <w:color w:val="auto"/>
        </w:rPr>
      </w:pPr>
      <w:r>
        <w:rPr>
          <w:rFonts w:ascii="Arial" w:cs="Arial" w:eastAsia="Arial" w:hAnsi="Arial"/>
          <w:sz w:val="20"/>
          <w:szCs w:val="20"/>
          <w:color w:val="auto"/>
        </w:rPr>
        <w:t>requires, the duration of that employment;</w:t>
      </w:r>
    </w:p>
    <w:p>
      <w:pPr>
        <w:spacing w:after="0" w:line="221" w:lineRule="exact"/>
        <w:rPr>
          <w:sz w:val="20"/>
          <w:szCs w:val="20"/>
          <w:color w:val="auto"/>
        </w:rPr>
      </w:pPr>
    </w:p>
    <w:p>
      <w:pPr>
        <w:ind w:left="820"/>
        <w:spacing w:after="0"/>
        <w:tabs>
          <w:tab w:leader="none" w:pos="398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means the Company, any presently existing or future holding company or</w:t>
      </w:r>
    </w:p>
    <w:p>
      <w:pPr>
        <w:spacing w:after="0" w:line="2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undertaking of the Company and any presently existing or future subsidiaries</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and subsidiary undertakings of the Company or such holding company or</w:t>
      </w:r>
    </w:p>
    <w:p>
      <w:pPr>
        <w:spacing w:after="0" w:line="1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undertaking (and the words “subsidiary” and “holding company” shall have the</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meanings given to them in section 1159 in the Companies Act 2006); and</w:t>
      </w:r>
    </w:p>
    <w:p>
      <w:pPr>
        <w:spacing w:after="0" w:line="232" w:lineRule="exact"/>
        <w:rPr>
          <w:sz w:val="20"/>
          <w:szCs w:val="20"/>
          <w:color w:val="auto"/>
        </w:rPr>
      </w:pPr>
    </w:p>
    <w:p>
      <w:pPr>
        <w:ind w:left="820"/>
        <w:spacing w:after="0"/>
        <w:tabs>
          <w:tab w:leader="none" w:pos="398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Company</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means any company within the Group.</w:t>
      </w:r>
    </w:p>
    <w:p>
      <w:pPr>
        <w:spacing w:after="0" w:line="243" w:lineRule="exact"/>
        <w:rPr>
          <w:sz w:val="20"/>
          <w:szCs w:val="20"/>
          <w:color w:val="auto"/>
        </w:rPr>
      </w:pPr>
    </w:p>
    <w:p>
      <w:pPr>
        <w:ind w:left="820"/>
        <w:spacing w:after="0"/>
        <w:tabs>
          <w:tab w:leader="none" w:pos="3980" w:val="left"/>
        </w:tabs>
        <w:rPr>
          <w:sz w:val="20"/>
          <w:szCs w:val="20"/>
          <w:color w:val="auto"/>
        </w:rPr>
      </w:pPr>
      <w:r>
        <w:rPr>
          <w:rFonts w:ascii="Arial" w:cs="Arial" w:eastAsia="Arial" w:hAnsi="Arial"/>
          <w:sz w:val="20"/>
          <w:szCs w:val="20"/>
          <w:b w:val="1"/>
          <w:bCs w:val="1"/>
          <w:color w:val="auto"/>
        </w:rPr>
        <w:t>“Post-Employment Notice Pay”</w:t>
      </w:r>
      <w:r>
        <w:rPr>
          <w:sz w:val="20"/>
          <w:szCs w:val="20"/>
          <w:color w:val="auto"/>
        </w:rPr>
        <w:tab/>
      </w:r>
      <w:r>
        <w:rPr>
          <w:rFonts w:ascii="Arial" w:cs="Arial" w:eastAsia="Arial" w:hAnsi="Arial"/>
          <w:sz w:val="19"/>
          <w:szCs w:val="19"/>
          <w:color w:val="auto"/>
        </w:rPr>
        <w:t>has the meaning given in section 402D of the Income Tax (Earnings and</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Pensions) Act 2003 (ITEPA).</w:t>
      </w:r>
    </w:p>
    <w:p>
      <w:pPr>
        <w:spacing w:after="0" w:line="221" w:lineRule="exact"/>
        <w:rPr>
          <w:sz w:val="20"/>
          <w:szCs w:val="20"/>
          <w:color w:val="auto"/>
        </w:rPr>
      </w:pPr>
    </w:p>
    <w:p>
      <w:pPr>
        <w:ind w:left="820"/>
        <w:spacing w:after="0"/>
        <w:tabs>
          <w:tab w:leader="none" w:pos="3980" w:val="left"/>
        </w:tabs>
        <w:rPr>
          <w:sz w:val="20"/>
          <w:szCs w:val="20"/>
          <w:color w:val="auto"/>
        </w:rPr>
      </w:pPr>
      <w:r>
        <w:rPr>
          <w:rFonts w:ascii="Arial" w:cs="Arial" w:eastAsia="Arial" w:hAnsi="Arial"/>
          <w:sz w:val="20"/>
          <w:szCs w:val="20"/>
          <w:b w:val="1"/>
          <w:bCs w:val="1"/>
          <w:color w:val="auto"/>
        </w:rPr>
        <w:t>“Post-Employment Notice Period”</w:t>
      </w:r>
      <w:r>
        <w:rPr>
          <w:sz w:val="20"/>
          <w:szCs w:val="20"/>
          <w:color w:val="auto"/>
        </w:rPr>
        <w:tab/>
      </w:r>
      <w:r>
        <w:rPr>
          <w:rFonts w:ascii="Arial" w:cs="Arial" w:eastAsia="Arial" w:hAnsi="Arial"/>
          <w:sz w:val="18"/>
          <w:szCs w:val="18"/>
          <w:color w:val="auto"/>
        </w:rPr>
        <w:t>has the meaning given in section 402E(5) of ITEPA.</w:t>
      </w:r>
    </w:p>
    <w:p>
      <w:pPr>
        <w:spacing w:after="0" w:line="243" w:lineRule="exact"/>
        <w:rPr>
          <w:sz w:val="20"/>
          <w:szCs w:val="20"/>
          <w:color w:val="auto"/>
        </w:rPr>
      </w:pPr>
    </w:p>
    <w:p>
      <w:pPr>
        <w:ind w:left="820"/>
        <w:spacing w:after="0"/>
        <w:tabs>
          <w:tab w:leader="none" w:pos="398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means 30 June 2021.</w:t>
      </w:r>
    </w:p>
    <w:p>
      <w:pPr>
        <w:spacing w:after="0" w:line="32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b w:val="1"/>
          <w:bCs w:val="1"/>
          <w:color w:val="auto"/>
        </w:rPr>
        <w:t>Interpretation and Construction</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Save to the extent that the context or the express provisions of this Agreement require otherwise, in this Agreement:</w:t>
      </w:r>
    </w:p>
    <w:p>
      <w:pPr>
        <w:spacing w:after="0" w:line="200" w:lineRule="exact"/>
        <w:rPr>
          <w:sz w:val="20"/>
          <w:szCs w:val="20"/>
          <w:color w:val="auto"/>
        </w:rPr>
      </w:pPr>
    </w:p>
    <w:p>
      <w:pPr>
        <w:ind w:left="1260" w:hanging="604"/>
        <w:spacing w:after="0"/>
        <w:tabs>
          <w:tab w:leader="none" w:pos="12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words importing the singular shall include the plural and vice versa;</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words importing any gender shall include all other genders;</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words importing the whole shall be treated as including reference to any part of the whole;</w:t>
      </w:r>
    </w:p>
    <w:p>
      <w:pPr>
        <w:sectPr>
          <w:pgSz w:w="11900" w:h="16838" w:orient="portrait"/>
          <w:cols w:equalWidth="0" w:num="1">
            <w:col w:w="10360"/>
          </w:cols>
          <w:pgMar w:left="240" w:top="711" w:right="12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360"/>
          </w:cols>
          <w:pgMar w:left="240" w:top="711" w:right="1299" w:bottom="1440" w:gutter="0" w:footer="0" w:header="0"/>
          <w:type w:val="continuous"/>
        </w:sectPr>
      </w:pPr>
    </w:p>
    <w:bookmarkStart w:id="129" w:name="page130"/>
    <w:bookmarkEnd w:id="129"/>
    <w:p>
      <w:pPr>
        <w:ind w:left="1280" w:hanging="624"/>
        <w:spacing w:after="0" w:line="260" w:lineRule="auto"/>
        <w:tabs>
          <w:tab w:leader="none" w:pos="1262" w:val="left"/>
        </w:tabs>
        <w:numPr>
          <w:ilvl w:val="0"/>
          <w:numId w:val="44"/>
        </w:numPr>
        <w:rPr>
          <w:rFonts w:ascii="Arial" w:cs="Arial" w:eastAsia="Arial" w:hAnsi="Arial"/>
          <w:sz w:val="20"/>
          <w:szCs w:val="20"/>
          <w:color w:val="auto"/>
        </w:rPr>
      </w:pPr>
      <w:r>
        <w:rPr>
          <w:rFonts w:ascii="Arial" w:cs="Arial" w:eastAsia="Arial" w:hAnsi="Arial"/>
          <w:sz w:val="20"/>
          <w:szCs w:val="20"/>
          <w:color w:val="auto"/>
        </w:rPr>
        <w:t>any reference to a Clause, the Schedule or part of the Schedule is to the relevant Clause, Schedule or part of the Schedule of or to this Agreement unless otherwise specified;</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reference to this Agreement or to any other document is a reference to this Agreement or to that other document as modified, amended, varied, supplemented, assigned, novated or replaced from time to time;</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reference to a provision of law is a reference to that provision as extended, applied, amended, consolidated or re-enacted or as the application thereof is modified from time to time and shall be construed as including reference to any order, instrument, regulation or other subordinate legislation from time to time made under it;</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references to a “person” includes any individual, firm, company, corporation, body corporate, government, state or agency of state, trust or foundation, or any association, partnership or unincorporated body (whether or not having separate legal personality) or two or more of the foregoing;</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44"/>
        </w:numPr>
        <w:rPr>
          <w:rFonts w:ascii="Arial" w:cs="Arial" w:eastAsia="Arial" w:hAnsi="Arial"/>
          <w:sz w:val="20"/>
          <w:szCs w:val="20"/>
          <w:color w:val="auto"/>
        </w:rPr>
      </w:pPr>
      <w:r>
        <w:rPr>
          <w:rFonts w:ascii="Arial" w:cs="Arial" w:eastAsia="Arial" w:hAnsi="Arial"/>
          <w:sz w:val="20"/>
          <w:szCs w:val="20"/>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meaning of any words coming after “other” or “otherwise” shall not be constrained by the meaning of any words coming before “other” or “otherwise where a wider construction is possible.</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b w:val="1"/>
          <w:bCs w:val="1"/>
          <w:color w:val="auto"/>
        </w:rPr>
        <w:t>Headings</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table of contents and the headings in this Agreement are included for convenience only and shall be ignored in construing this Agreement.</w:t>
      </w:r>
    </w:p>
    <w:p>
      <w:pPr>
        <w:spacing w:after="0" w:line="144" w:lineRule="exact"/>
        <w:rPr>
          <w:sz w:val="20"/>
          <w:szCs w:val="20"/>
          <w:color w:val="auto"/>
        </w:rPr>
      </w:pPr>
    </w:p>
    <w:p>
      <w:pPr>
        <w:ind w:left="620" w:hanging="612"/>
        <w:spacing w:after="0"/>
        <w:tabs>
          <w:tab w:leader="none" w:pos="62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TERMS OF EMPLOYMENT DURING TRANSITION PERIOD</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b w:val="1"/>
          <w:bCs w:val="1"/>
          <w:color w:val="auto"/>
        </w:rPr>
        <w:t>The Service Agreement</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terms of the Service Agreement shall remain in full force and effect except to the extent modified by or inconsistent with this Agreement.</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b w:val="1"/>
          <w:bCs w:val="1"/>
          <w:color w:val="auto"/>
        </w:rPr>
        <w:t>Transition to New Position</w:t>
      </w:r>
    </w:p>
    <w:p>
      <w:pPr>
        <w:spacing w:after="0" w:line="195"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8"/>
          <w:szCs w:val="18"/>
          <w:color w:val="auto"/>
        </w:rPr>
        <w:t>On the Effective Date, and pursuant to the Executive’s execution of this Agreement, the Executive will resign his position as General Manager, Cardiac Surgery and assume the position as Vice President, Special Projects. Between the Effective Date and 1 January 2020, Executive agrees to assist with the transition of his current responsibilities to a successor appointed by LivaNova Plc.</w:t>
      </w:r>
    </w:p>
    <w:p>
      <w:pPr>
        <w:spacing w:after="0" w:line="125"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2.2.2</w:t>
        <w:tab/>
        <w:t>For fiscal year 2019, Executive shall receive his annual bonus, the target amount of which is 60% of his annual base salary, no later than April 30, 2020 according to the terms of the 2019 ELT Short-Term Incentive Plan.</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b w:val="1"/>
          <w:bCs w:val="1"/>
          <w:color w:val="auto"/>
        </w:rPr>
        <w:t>EMPLOYMENT AS VICE PRESIDENT, SPECIAL PROJECTS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Vice President, Special Projects, Executive shall report to Ryan Miller, Vice President, Strategy or someone designated by Mr.</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Miller (“</w:t>
      </w:r>
      <w:r>
        <w:rPr>
          <w:rFonts w:ascii="Arial" w:cs="Arial" w:eastAsia="Arial" w:hAnsi="Arial"/>
          <w:sz w:val="20"/>
          <w:szCs w:val="20"/>
          <w:b w:val="1"/>
          <w:bCs w:val="1"/>
          <w:i w:val="1"/>
          <w:iCs w:val="1"/>
          <w:color w:val="auto"/>
        </w:rPr>
        <w:t>Manager</w:t>
      </w:r>
      <w:r>
        <w:rPr>
          <w:rFonts w:ascii="Arial" w:cs="Arial" w:eastAsia="Arial" w:hAnsi="Arial"/>
          <w:sz w:val="20"/>
          <w:szCs w:val="20"/>
          <w:color w:val="auto"/>
        </w:rPr>
        <w:t>”) and assist in the execution of Project Electron or such other projects as determined by the Manager.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5" w:right="239" w:bottom="1440" w:gutter="0" w:footer="0" w:header="0"/>
        </w:sectPr>
      </w:pPr>
    </w:p>
    <w:bookmarkStart w:id="130" w:name="page131"/>
    <w:bookmarkEnd w:id="130"/>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2.3.1</w:t>
        <w:tab/>
        <w:t>Executive’s annual basic salary as Vice President, Special Projects shall be £340,000 (“the Salary”), payable monthly, less amounts withheld as required by law or as requested or agreed by Executive. The Company shall pay the Salary to the Termination Date or Early Termination Date, as applicable, in the usual way, and shall continue to provide the Executive with benefits in the usual way up to the Termination Date or Early Termination Date, as applicable.</w:t>
      </w:r>
    </w:p>
    <w:p>
      <w:pPr>
        <w:spacing w:after="0" w:line="165" w:lineRule="exact"/>
        <w:rPr>
          <w:sz w:val="20"/>
          <w:szCs w:val="20"/>
          <w:color w:val="auto"/>
        </w:rPr>
      </w:pPr>
    </w:p>
    <w:p>
      <w:pPr>
        <w:jc w:val="both"/>
        <w:ind w:left="620" w:hanging="620"/>
        <w:spacing w:after="0" w:line="269" w:lineRule="auto"/>
        <w:tabs>
          <w:tab w:leader="none" w:pos="60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9"/>
          <w:szCs w:val="19"/>
          <w:color w:val="auto"/>
        </w:rPr>
        <w:t>Executive shall be eligible to receive an annual bonus for fiscal year 2020, the target amount of which is 60% of his annual basic salary, payable in April 2021 according to the terms of the 2020 ELT Short-Term Incentive Plan, which is subject to the approval of the Compensation Committee of the LivaNova Plc Board of Directors in the first quarter of fiscal year 2020.</w:t>
      </w:r>
    </w:p>
    <w:p>
      <w:pPr>
        <w:spacing w:after="0" w:line="143"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2.3.3</w:t>
        <w:tab/>
        <w:t>Executive shall not be eligible to participate in the 2021 ELT Short-Term Incentive Plan or any other short-term incentive plan offered to employees of the Company in fiscal year 2021.</w:t>
      </w:r>
    </w:p>
    <w:p>
      <w:pPr>
        <w:spacing w:after="0" w:line="150"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2.3.4</w:t>
        <w:tab/>
        <w:t>Executive shall not be eligible to receive any equity awards under the LivaNova Plc 2015 Incentive Award Plan after the Effective Date.</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b w:val="1"/>
          <w:bCs w:val="1"/>
          <w:color w:val="auto"/>
        </w:rPr>
        <w:t>Termination Date</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Executive’s last day of employment shall be the Termination Date, unless terminated earlier in accordance with Clause 18 of the Service Agreement or Clause 2.5 of this Agreement.</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b w:val="1"/>
          <w:bCs w:val="1"/>
          <w:color w:val="auto"/>
        </w:rPr>
        <w:t>Early Termination Option</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Executive shall have the option to terminate his employment on any date (“</w:t>
      </w:r>
      <w:r>
        <w:rPr>
          <w:rFonts w:ascii="Arial" w:cs="Arial" w:eastAsia="Arial" w:hAnsi="Arial"/>
          <w:sz w:val="20"/>
          <w:szCs w:val="20"/>
          <w:b w:val="1"/>
          <w:bCs w:val="1"/>
          <w:i w:val="1"/>
          <w:iCs w:val="1"/>
          <w:color w:val="auto"/>
        </w:rPr>
        <w:t>Early Termination Date</w:t>
      </w:r>
      <w:r>
        <w:rPr>
          <w:rFonts w:ascii="Arial" w:cs="Arial" w:eastAsia="Arial" w:hAnsi="Arial"/>
          <w:sz w:val="20"/>
          <w:szCs w:val="20"/>
          <w:color w:val="auto"/>
        </w:rPr>
        <w:t>”) prior to the Termination Date following completion of Project Electron and delivery of written notice to the Company at least two weeks in advance thereof (“</w:t>
      </w:r>
      <w:r>
        <w:rPr>
          <w:rFonts w:ascii="Arial" w:cs="Arial" w:eastAsia="Arial" w:hAnsi="Arial"/>
          <w:sz w:val="20"/>
          <w:szCs w:val="20"/>
          <w:b w:val="1"/>
          <w:bCs w:val="1"/>
          <w:i w:val="1"/>
          <w:iCs w:val="1"/>
          <w:color w:val="auto"/>
        </w:rPr>
        <w:t>Early</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Termination Option</w:t>
      </w:r>
      <w:r>
        <w:rPr>
          <w:rFonts w:ascii="Arial" w:cs="Arial" w:eastAsia="Arial" w:hAnsi="Arial"/>
          <w:sz w:val="20"/>
          <w:szCs w:val="20"/>
          <w:color w:val="auto"/>
        </w:rPr>
        <w:t>”).</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b w:val="1"/>
          <w:bCs w:val="1"/>
          <w:color w:val="auto"/>
        </w:rPr>
        <w:t>Restrictions During Employment and After Termination of Employment</w:t>
      </w:r>
    </w:p>
    <w:p>
      <w:pPr>
        <w:spacing w:after="0" w:line="195"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2.6.1</w:t>
        <w:tab/>
        <w:t>Prior to the earlier of the Termination Date or the Early Termination Date, Executive agrees to adhere to the terms of Clause 15 (Restrictions During Employment) of the Service Agreement.</w:t>
      </w:r>
    </w:p>
    <w:p>
      <w:pPr>
        <w:spacing w:after="0" w:line="150" w:lineRule="exact"/>
        <w:rPr>
          <w:sz w:val="20"/>
          <w:szCs w:val="20"/>
          <w:color w:val="auto"/>
        </w:rPr>
      </w:pPr>
    </w:p>
    <w:p>
      <w:pPr>
        <w:jc w:val="both"/>
        <w:ind w:left="620" w:hanging="620"/>
        <w:spacing w:after="0" w:line="316" w:lineRule="auto"/>
        <w:tabs>
          <w:tab w:leader="none" w:pos="600" w:val="left"/>
        </w:tabs>
        <w:rPr>
          <w:sz w:val="20"/>
          <w:szCs w:val="20"/>
          <w:color w:val="auto"/>
        </w:rPr>
      </w:pPr>
      <w:r>
        <w:rPr>
          <w:rFonts w:ascii="Arial" w:cs="Arial" w:eastAsia="Arial" w:hAnsi="Arial"/>
          <w:sz w:val="20"/>
          <w:szCs w:val="20"/>
          <w:color w:val="auto"/>
        </w:rPr>
        <w:t>2.6.2</w:t>
      </w:r>
      <w:r>
        <w:rPr>
          <w:sz w:val="20"/>
          <w:szCs w:val="20"/>
          <w:color w:val="auto"/>
        </w:rPr>
        <w:tab/>
      </w:r>
      <w:r>
        <w:rPr>
          <w:rFonts w:ascii="Arial" w:cs="Arial" w:eastAsia="Arial" w:hAnsi="Arial"/>
          <w:sz w:val="18"/>
          <w:szCs w:val="18"/>
          <w:color w:val="auto"/>
        </w:rPr>
        <w:t>During the Employment and at any time (without limitation) after the earlier of the Termination Date or the Early Termination Date, Executive agrees to adhere to the terms of Clause 16 (Confidentiality and Company Documents) of the Service Agreement.</w:t>
      </w:r>
    </w:p>
    <w:p>
      <w:pPr>
        <w:spacing w:after="0" w:line="103"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2.6.3</w:t>
      </w:r>
      <w:r>
        <w:rPr>
          <w:sz w:val="20"/>
          <w:szCs w:val="20"/>
          <w:color w:val="auto"/>
        </w:rPr>
        <w:tab/>
      </w:r>
      <w:r>
        <w:rPr>
          <w:rFonts w:ascii="Arial" w:cs="Arial" w:eastAsia="Arial" w:hAnsi="Arial"/>
          <w:sz w:val="18"/>
          <w:szCs w:val="18"/>
          <w:color w:val="auto"/>
        </w:rPr>
        <w:t>If Executive elects the Early Termination Option, he agrees to adhere to the terms of Clause 20 (Restrictions After Termination) of the Service Agreement through and including the Termination Date, after which the Company hereby waives enforcement of Clause 20. If Executive continues the Employment through the Termination Date, the Company hereby waives enforcement of Clause 20.</w:t>
      </w:r>
    </w:p>
    <w:p>
      <w:pPr>
        <w:spacing w:after="0" w:line="125" w:lineRule="exact"/>
        <w:rPr>
          <w:sz w:val="20"/>
          <w:szCs w:val="20"/>
          <w:color w:val="auto"/>
        </w:rPr>
      </w:pPr>
    </w:p>
    <w:p>
      <w:pPr>
        <w:jc w:val="both"/>
        <w:ind w:left="620" w:hanging="620"/>
        <w:spacing w:after="0" w:line="243" w:lineRule="auto"/>
        <w:tabs>
          <w:tab w:leader="none" w:pos="600" w:val="left"/>
        </w:tabs>
        <w:rPr>
          <w:sz w:val="20"/>
          <w:szCs w:val="20"/>
          <w:color w:val="auto"/>
        </w:rPr>
      </w:pPr>
      <w:r>
        <w:rPr>
          <w:rFonts w:ascii="Arial" w:cs="Arial" w:eastAsia="Arial" w:hAnsi="Arial"/>
          <w:sz w:val="20"/>
          <w:szCs w:val="20"/>
          <w:color w:val="auto"/>
        </w:rPr>
        <w:t>2.6.4</w:t>
        <w:tab/>
        <w:t>Executive acknowledges and agrees that nothing in this Agreement is intended to or does prevent him from: 1) filing a charge or complaint with any governmental agency or regulatory body (including, but not limited to, the United States Equal Employment Opportunity Commission, National Labor Relations Board, Occupational Safety and Health Administration, or Securities and Exchange Commission) or 2) disclosing information for the purpose of making a protected disclosure within the meaning of Part IVA of the Employment Rights Act 1996 (Protected Disclosures), provided that the disclosure is made in accordance with the provisions of that Act.</w:t>
      </w:r>
    </w:p>
    <w:p>
      <w:pPr>
        <w:spacing w:after="0" w:line="163" w:lineRule="exact"/>
        <w:rPr>
          <w:sz w:val="20"/>
          <w:szCs w:val="20"/>
          <w:color w:val="auto"/>
        </w:rPr>
      </w:pPr>
    </w:p>
    <w:p>
      <w:pPr>
        <w:ind w:left="620" w:hanging="612"/>
        <w:spacing w:after="0"/>
        <w:tabs>
          <w:tab w:leader="none" w:pos="62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CONSIDERATION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b w:val="1"/>
          <w:bCs w:val="1"/>
          <w:color w:val="auto"/>
        </w:rPr>
        <w:t>Early Termination Payment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5" w:right="239" w:bottom="1440" w:gutter="0" w:footer="0" w:header="0"/>
        </w:sectPr>
      </w:pPr>
    </w:p>
    <w:bookmarkStart w:id="131" w:name="page132"/>
    <w:bookmarkEnd w:id="131"/>
    <w:p>
      <w:pPr>
        <w:jc w:val="both"/>
        <w:ind w:left="620"/>
        <w:spacing w:after="0" w:line="243" w:lineRule="auto"/>
        <w:rPr>
          <w:sz w:val="20"/>
          <w:szCs w:val="20"/>
          <w:color w:val="auto"/>
        </w:rPr>
      </w:pPr>
      <w:r>
        <w:rPr>
          <w:rFonts w:ascii="Arial" w:cs="Arial" w:eastAsia="Arial" w:hAnsi="Arial"/>
          <w:sz w:val="20"/>
          <w:szCs w:val="20"/>
          <w:color w:val="auto"/>
        </w:rPr>
        <w:t>In the event that Executive elects to exercise the Early Termination Option, the Company shall, within 30 days following the Early Termination Date, make: a lump-sum payment to Executive, less deductions required by law or approved by Executive, equal in amount to the basic salary and bonus Executive would have received between the Early Termination Date and the Termination Date had he remained employed until the Termination Date; provided that, any bonus amount due Executive under this section shall be payable no earlier than the date on which amounts payable under the 2020 ELT Short-Term Incentive Plan are determined and paid to plan participants.</w:t>
      </w:r>
    </w:p>
    <w:p>
      <w:pPr>
        <w:spacing w:after="0" w:line="16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b w:val="1"/>
          <w:bCs w:val="1"/>
          <w:color w:val="auto"/>
        </w:rPr>
        <w:t>Equity Awards</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Executive’s equity awards unvested as of the Effective Date shall continue to vest through the earlier of the Termination Date or the Early Termination Date. All equity awards not vested as of that date shall lapse.</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b w:val="1"/>
          <w:bCs w:val="1"/>
          <w:color w:val="auto"/>
        </w:rPr>
        <w:t>Relocation Expenses</w:t>
      </w:r>
    </w:p>
    <w:p>
      <w:pPr>
        <w:spacing w:after="0" w:line="195" w:lineRule="exact"/>
        <w:rPr>
          <w:sz w:val="20"/>
          <w:szCs w:val="20"/>
          <w:color w:val="auto"/>
        </w:rPr>
      </w:pPr>
    </w:p>
    <w:p>
      <w:pPr>
        <w:jc w:val="both"/>
        <w:ind w:left="620"/>
        <w:spacing w:after="0" w:line="259" w:lineRule="auto"/>
        <w:rPr>
          <w:sz w:val="20"/>
          <w:szCs w:val="20"/>
          <w:color w:val="auto"/>
        </w:rPr>
      </w:pPr>
      <w:r>
        <w:rPr>
          <w:rFonts w:ascii="Arial" w:cs="Arial" w:eastAsia="Arial" w:hAnsi="Arial"/>
          <w:sz w:val="19"/>
          <w:szCs w:val="19"/>
          <w:color w:val="auto"/>
        </w:rPr>
        <w:t>The Company will pay, or reimburse the Executive for, reasonable relocation expenses, not to exceed £40,000, incurred by the Executive in 2019 and 2020 relating to his relocation from the United Kingdom to the United States. Relocation expenses are the direct payment or reimbursement of costs directly related to 1) moving Executive’s (and his family’s) personal and household goods and furniture from Executive's main family residence in United Kingdom to the family’s residence in the United States; 2) a one-way economy flight from the United Kingdom to the United States for both the Executive and his partner; and 3) relocating the Executive’s family pet, a dog, from the United Kingdom to the United States.</w:t>
      </w:r>
    </w:p>
    <w:p>
      <w:pPr>
        <w:spacing w:after="0" w:line="14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b w:val="1"/>
          <w:bCs w:val="1"/>
          <w:color w:val="auto"/>
        </w:rPr>
        <w:t>Attorney Fees</w:t>
      </w:r>
    </w:p>
    <w:p>
      <w:pPr>
        <w:spacing w:after="0" w:line="195"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color w:val="auto"/>
        </w:rPr>
        <w:t>The Company shall pay the reasonable legal fees (up to a maximum of £5,000 (inclusive of disbursements and VAT)) incurred by the Executive in obtaining advice on the termination of their employment and the terms of this agreement, such fees to be payable to the Executive’s solicitors on production of an invoice addressed to the Executive but marked as payable by the Company.</w:t>
      </w:r>
    </w:p>
    <w:p>
      <w:pPr>
        <w:spacing w:after="0" w:line="11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8"/>
          <w:szCs w:val="18"/>
          <w:b w:val="1"/>
          <w:bCs w:val="1"/>
          <w:color w:val="auto"/>
        </w:rPr>
        <w:t>Future Inquiries</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Executive shall direct all inquiries from prospective employers to Human Resources, who will advise said prospective employers of Executive’s dates of service and positions held.</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8"/>
          <w:szCs w:val="18"/>
          <w:b w:val="1"/>
          <w:bCs w:val="1"/>
          <w:color w:val="auto"/>
        </w:rPr>
        <w:t>Tax support</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Company shall pay the reasonable legal fees incurred by the Executive in obtaining advice on tax advice, support or assistance for one year from the Termination Date, such fees to be payable to the Executive’s accountants or tax advisers on production of invoices addressed to the Executive but marked as payable by the Company.</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6"/>
          <w:szCs w:val="16"/>
          <w:b w:val="1"/>
          <w:bCs w:val="1"/>
          <w:color w:val="auto"/>
        </w:rPr>
        <w:t>Satisfaction of Payment in Lieu of Notice</w:t>
      </w:r>
    </w:p>
    <w:p>
      <w:pPr>
        <w:spacing w:after="0" w:line="195" w:lineRule="exact"/>
        <w:rPr>
          <w:sz w:val="20"/>
          <w:szCs w:val="20"/>
          <w:color w:val="auto"/>
        </w:rPr>
      </w:pPr>
    </w:p>
    <w:p>
      <w:pPr>
        <w:jc w:val="both"/>
        <w:ind w:left="620"/>
        <w:spacing w:after="0" w:line="244" w:lineRule="auto"/>
        <w:rPr>
          <w:sz w:val="20"/>
          <w:szCs w:val="20"/>
          <w:color w:val="auto"/>
        </w:rPr>
      </w:pPr>
      <w:r>
        <w:rPr>
          <w:rFonts w:ascii="Arial" w:cs="Arial" w:eastAsia="Arial" w:hAnsi="Arial"/>
          <w:sz w:val="20"/>
          <w:szCs w:val="20"/>
          <w:color w:val="auto"/>
        </w:rPr>
        <w:t>Executive agrees that the terms of Clauses 2 and 3 of this Agreement are intended to satisfy, and do in fact satisfy, the Company’s obligations under Clauses 3.2 (Duration and Notice) and 3.3 (Payment in Lieu of Notice) of the Service Agreement. Executive expressly agrees that, upon termination of the Employment, the Company shall have no obligation to make a payment in lieu of notice to Executive and shall have no obligation to make any other payment to Executive except as expressly described in Clauses 2 and 3 of this Agreement.</w:t>
      </w:r>
    </w:p>
    <w:p>
      <w:pPr>
        <w:spacing w:after="0" w:line="162" w:lineRule="exact"/>
        <w:rPr>
          <w:sz w:val="20"/>
          <w:szCs w:val="20"/>
          <w:color w:val="auto"/>
        </w:rPr>
      </w:pPr>
    </w:p>
    <w:p>
      <w:pPr>
        <w:ind w:left="620" w:hanging="612"/>
        <w:spacing w:after="0"/>
        <w:tabs>
          <w:tab w:leader="none" w:pos="62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 TERMS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5" w:right="239" w:bottom="1440" w:gutter="0" w:footer="0" w:header="0"/>
        </w:sectPr>
      </w:pPr>
    </w:p>
    <w:bookmarkStart w:id="132" w:name="page133"/>
    <w:bookmarkEnd w:id="132"/>
    <w:p>
      <w:pPr>
        <w:spacing w:after="0"/>
        <w:tabs>
          <w:tab w:leader="none" w:pos="6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b w:val="1"/>
          <w:bCs w:val="1"/>
          <w:color w:val="auto"/>
        </w:rPr>
        <w:t>Waiver and Release of Claims</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4.1.1</w:t>
        <w:tab/>
        <w:t>Executive agrees that the terms of this Agreement are in full and final settlement of the Claims which the Executive may have as of the date of this Agreement, each of which is hereby intimated and waived.</w:t>
      </w:r>
    </w:p>
    <w:p>
      <w:pPr>
        <w:spacing w:after="0" w:line="15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16"/>
          <w:szCs w:val="16"/>
          <w:color w:val="auto"/>
        </w:rPr>
        <w:t>The waiver in clause 4.1.1 does not apply to:</w:t>
      </w:r>
    </w:p>
    <w:p>
      <w:pPr>
        <w:spacing w:after="0" w:line="189" w:lineRule="exact"/>
        <w:rPr>
          <w:sz w:val="20"/>
          <w:szCs w:val="20"/>
          <w:color w:val="auto"/>
        </w:rPr>
      </w:pPr>
    </w:p>
    <w:p>
      <w:pPr>
        <w:ind w:left="1280" w:hanging="624"/>
        <w:spacing w:after="0" w:line="260" w:lineRule="auto"/>
        <w:tabs>
          <w:tab w:leader="none" w:pos="1262"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any claims for personal injury other than (a) where Executive is currently aware of any facts or circumstances which do or may give rise to the claim and (b) those which may be brought under any discrimination legislation;</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any claims by Executive to enforce this Agreement;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any claims for any accrued pension rights.</w:t>
      </w:r>
    </w:p>
    <w:p>
      <w:pPr>
        <w:spacing w:after="0" w:line="189"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4.1.3</w:t>
        <w:tab/>
        <w:t>Executive acknowledges that the conditions relating to settlement agreements under the Acts have been satisfied and that he has received independent legal advice and shall deliver on execution of this Agreement a certificate signed by his independent legal adviser in the form attached hereto as Schedule 1.</w:t>
      </w:r>
    </w:p>
    <w:p>
      <w:pPr>
        <w:spacing w:after="0" w:line="159" w:lineRule="exact"/>
        <w:rPr>
          <w:sz w:val="20"/>
          <w:szCs w:val="20"/>
          <w:color w:val="auto"/>
        </w:rPr>
      </w:pPr>
    </w:p>
    <w:p>
      <w:pPr>
        <w:jc w:val="both"/>
        <w:ind w:left="620" w:hanging="620"/>
        <w:spacing w:after="0" w:line="278" w:lineRule="auto"/>
        <w:tabs>
          <w:tab w:leader="none" w:pos="60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18"/>
          <w:szCs w:val="18"/>
          <w:color w:val="auto"/>
        </w:rPr>
        <w:t xml:space="preserve">Executive shall as a strict condition of this Agreement within the 7-day period preceding the earlier of the Termination Date or the Early Termination Date deliver to the Company’s Senior Vice President and General Counsel the signed Reaffirmation Waiver and Release of Claims, attached hereto as </w:t>
      </w:r>
      <w:r>
        <w:rPr>
          <w:rFonts w:ascii="Arial" w:cs="Arial" w:eastAsia="Arial" w:hAnsi="Arial"/>
          <w:sz w:val="18"/>
          <w:szCs w:val="18"/>
          <w:b w:val="1"/>
          <w:bCs w:val="1"/>
          <w:i w:val="1"/>
          <w:iCs w:val="1"/>
          <w:color w:val="auto"/>
        </w:rPr>
        <w:t>Schedule 2.</w:t>
      </w:r>
      <w:r>
        <w:rPr>
          <w:rFonts w:ascii="Arial" w:cs="Arial" w:eastAsia="Arial" w:hAnsi="Arial"/>
          <w:sz w:val="18"/>
          <w:szCs w:val="18"/>
          <w:color w:val="auto"/>
        </w:rPr>
        <w:t xml:space="preserve"> Executive acknowledges that the Company has relied on the obligation in this clause 4.1.4 when entering into this Agreement and the Consideration set out in clause 3 above is conditional upon Executive's compliance with his obligations under this Agreement, including the obligation contained within this clause 4.1.4 . .</w:t>
      </w:r>
    </w:p>
    <w:p>
      <w:pPr>
        <w:spacing w:after="0" w:line="13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b w:val="1"/>
          <w:bCs w:val="1"/>
          <w:color w:val="auto"/>
        </w:rPr>
        <w:t>Mutual Non-disparagement</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Executive agrees not to disparage, demean or defame the Company or its affiliates, their products, services or employees in any way.</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Company agrees not to disparage, demean or defame Executive in any way.</w:t>
      </w:r>
    </w:p>
    <w:p>
      <w:pPr>
        <w:spacing w:after="0" w:line="16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b w:val="1"/>
          <w:bCs w:val="1"/>
          <w:color w:val="auto"/>
        </w:rPr>
        <w:t>Mutual Release of Claims</w:t>
      </w:r>
    </w:p>
    <w:p>
      <w:pPr>
        <w:spacing w:after="0" w:line="195" w:lineRule="exact"/>
        <w:rPr>
          <w:sz w:val="20"/>
          <w:szCs w:val="20"/>
          <w:color w:val="auto"/>
        </w:rPr>
      </w:pPr>
    </w:p>
    <w:p>
      <w:pPr>
        <w:ind w:left="660" w:right="760"/>
        <w:spacing w:after="0" w:line="260" w:lineRule="auto"/>
        <w:rPr>
          <w:sz w:val="20"/>
          <w:szCs w:val="20"/>
          <w:color w:val="auto"/>
        </w:rPr>
      </w:pPr>
      <w:r>
        <w:rPr>
          <w:rFonts w:ascii="Arial" w:cs="Arial" w:eastAsia="Arial" w:hAnsi="Arial"/>
          <w:sz w:val="20"/>
          <w:szCs w:val="20"/>
          <w:color w:val="auto"/>
        </w:rPr>
        <w:t>By entering into this Agreement, the Company releases the Executive from any and all claims against the Executive which the Company might otherwise assert.</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b w:val="1"/>
          <w:bCs w:val="1"/>
          <w:color w:val="auto"/>
        </w:rPr>
        <w:t>Governing Law and Courts</w:t>
      </w:r>
    </w:p>
    <w:p>
      <w:pPr>
        <w:spacing w:after="0" w:line="195" w:lineRule="exact"/>
        <w:rPr>
          <w:sz w:val="20"/>
          <w:szCs w:val="20"/>
          <w:color w:val="auto"/>
        </w:rPr>
      </w:pPr>
    </w:p>
    <w:p>
      <w:pPr>
        <w:ind w:left="660" w:right="480"/>
        <w:spacing w:after="0" w:line="260" w:lineRule="auto"/>
        <w:rPr>
          <w:sz w:val="20"/>
          <w:szCs w:val="20"/>
          <w:color w:val="auto"/>
        </w:rPr>
      </w:pPr>
      <w:r>
        <w:rPr>
          <w:rFonts w:ascii="Arial" w:cs="Arial" w:eastAsia="Arial" w:hAnsi="Arial"/>
          <w:sz w:val="20"/>
          <w:szCs w:val="20"/>
          <w:color w:val="auto"/>
        </w:rPr>
        <w:t>This Agreement is governed by and shall be construed and enforced, in all respects, in accordance with English law and under the jurisdiction of the English courts.</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8"/>
          <w:szCs w:val="18"/>
          <w:b w:val="1"/>
          <w:bCs w:val="1"/>
          <w:color w:val="auto"/>
        </w:rPr>
        <w:t>Entire Agreement</w:t>
      </w:r>
    </w:p>
    <w:p>
      <w:pPr>
        <w:spacing w:after="0" w:line="195" w:lineRule="exact"/>
        <w:rPr>
          <w:sz w:val="20"/>
          <w:szCs w:val="20"/>
          <w:color w:val="auto"/>
        </w:rPr>
      </w:pPr>
    </w:p>
    <w:p>
      <w:pPr>
        <w:jc w:val="both"/>
        <w:ind w:left="620" w:right="20" w:hanging="620"/>
        <w:spacing w:after="0" w:line="250" w:lineRule="auto"/>
        <w:tabs>
          <w:tab w:leader="none" w:pos="600" w:val="left"/>
        </w:tabs>
        <w:rPr>
          <w:sz w:val="20"/>
          <w:szCs w:val="20"/>
          <w:color w:val="auto"/>
        </w:rPr>
      </w:pPr>
      <w:r>
        <w:rPr>
          <w:rFonts w:ascii="Arial" w:cs="Arial" w:eastAsia="Arial" w:hAnsi="Arial"/>
          <w:sz w:val="20"/>
          <w:szCs w:val="20"/>
          <w:color w:val="auto"/>
        </w:rPr>
        <w:t>4.5.1</w:t>
        <w:tab/>
        <w:t>This Agreement and the documents referred to in it constitute the entire agreement and understanding of the parties and supersede and extinguish all previous agreements, promises, assurances, warranties, representations and understandings between the parties, whether written or oral, relating to the subject matter of this Agreement.</w:t>
      </w:r>
    </w:p>
    <w:p>
      <w:pPr>
        <w:spacing w:after="0" w:line="159"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0"/>
          <w:szCs w:val="20"/>
          <w:color w:val="auto"/>
        </w:rPr>
        <w:t>4.5.2</w:t>
      </w:r>
      <w:r>
        <w:rPr>
          <w:sz w:val="20"/>
          <w:szCs w:val="20"/>
          <w:color w:val="auto"/>
        </w:rPr>
        <w:tab/>
      </w:r>
      <w:r>
        <w:rPr>
          <w:rFonts w:ascii="Arial" w:cs="Arial" w:eastAsia="Arial" w:hAnsi="Arial"/>
          <w:sz w:val="19"/>
          <w:szCs w:val="19"/>
          <w:color w:val="auto"/>
        </w:rPr>
        <w:t>Each party acknowledges that in entering into this Agreement it does not rely on, and shall have no remedies in respect of, any statement, representation, assurance or warranty (whether made innocently or negligently) that is not set out in this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49" w:right="239" w:bottom="1440" w:gutter="0" w:footer="0" w:header="0"/>
        </w:sectPr>
      </w:pPr>
    </w:p>
    <w:bookmarkStart w:id="133" w:name="page134"/>
    <w:bookmarkEnd w:id="133"/>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4.5.3</w:t>
        <w:tab/>
        <w:t>Each party agrees that it shall have no claim for innocent or negligent misrepresentation or negligent misstatement based on any statement in this Agreement.</w:t>
      </w:r>
    </w:p>
    <w:p>
      <w:pPr>
        <w:spacing w:after="0" w:line="15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4.5.4</w:t>
      </w:r>
      <w:r>
        <w:rPr>
          <w:sz w:val="20"/>
          <w:szCs w:val="20"/>
          <w:color w:val="auto"/>
        </w:rPr>
        <w:tab/>
      </w:r>
      <w:r>
        <w:rPr>
          <w:rFonts w:ascii="Arial" w:cs="Arial" w:eastAsia="Arial" w:hAnsi="Arial"/>
          <w:sz w:val="18"/>
          <w:szCs w:val="18"/>
          <w:color w:val="auto"/>
        </w:rPr>
        <w:t>Nothing in this Clause shall limit or exclude any liability for fraud.</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8"/>
          <w:szCs w:val="18"/>
          <w:b w:val="1"/>
          <w:bCs w:val="1"/>
          <w:color w:val="auto"/>
        </w:rPr>
        <w:t>Company property</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4.6.1</w:t>
      </w:r>
      <w:r>
        <w:rPr>
          <w:sz w:val="20"/>
          <w:szCs w:val="20"/>
          <w:color w:val="auto"/>
        </w:rPr>
        <w:tab/>
      </w:r>
      <w:r>
        <w:rPr>
          <w:rFonts w:ascii="Arial" w:cs="Arial" w:eastAsia="Arial" w:hAnsi="Arial"/>
          <w:sz w:val="18"/>
          <w:szCs w:val="18"/>
          <w:color w:val="auto"/>
        </w:rPr>
        <w:t>The Executive shall, before the Termination Date or Early Termination Date (whichever applies in the circumstances), return to the</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Company:</w:t>
      </w:r>
    </w:p>
    <w:p>
      <w:pPr>
        <w:spacing w:after="0" w:line="173" w:lineRule="exact"/>
        <w:rPr>
          <w:sz w:val="20"/>
          <w:szCs w:val="20"/>
          <w:color w:val="auto"/>
        </w:rPr>
      </w:pPr>
    </w:p>
    <w:p>
      <w:pPr>
        <w:jc w:val="both"/>
        <w:ind w:left="1280" w:hanging="624"/>
        <w:spacing w:after="0" w:line="250" w:lineRule="auto"/>
        <w:tabs>
          <w:tab w:leader="none" w:pos="1262" w:val="left"/>
        </w:tabs>
        <w:numPr>
          <w:ilvl w:val="0"/>
          <w:numId w:val="49"/>
        </w:numPr>
        <w:rPr>
          <w:rFonts w:ascii="Arial" w:cs="Arial" w:eastAsia="Arial" w:hAnsi="Arial"/>
          <w:sz w:val="20"/>
          <w:szCs w:val="20"/>
          <w:color w:val="auto"/>
        </w:rPr>
      </w:pPr>
      <w:r>
        <w:rPr>
          <w:rFonts w:ascii="Arial" w:cs="Arial" w:eastAsia="Arial" w:hAnsi="Arial"/>
          <w:sz w:val="20"/>
          <w:szCs w:val="20"/>
          <w:color w:val="auto"/>
        </w:rPr>
        <w:t>all property belonging to the Company in satisfactory condition including (but not limited to) any car (together with the keys and all documentation relating to the car), fuel card, company credit card, keys, security pass, identity badge, mobile telephone, pager, lap-top computer or fax machine; and</w:t>
      </w:r>
    </w:p>
    <w:p>
      <w:pPr>
        <w:spacing w:after="0" w:line="159" w:lineRule="exact"/>
        <w:rPr>
          <w:rFonts w:ascii="Arial" w:cs="Arial" w:eastAsia="Arial" w:hAnsi="Arial"/>
          <w:sz w:val="20"/>
          <w:szCs w:val="20"/>
          <w:color w:val="auto"/>
        </w:rPr>
      </w:pPr>
    </w:p>
    <w:p>
      <w:pPr>
        <w:ind w:left="1280" w:hanging="624"/>
        <w:spacing w:after="0" w:line="316" w:lineRule="auto"/>
        <w:tabs>
          <w:tab w:leader="none" w:pos="12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documents and copies (whether written, printed, electronic, recorded or otherwise and wherever located) made, compiled or acquired by the Executive during their employment with the Company or relating to its business or affairs or business contacts</w:t>
      </w:r>
    </w:p>
    <w:p>
      <w:pPr>
        <w:spacing w:after="0" w:line="103"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color w:val="auto"/>
        </w:rPr>
        <w:t>The Executive shall, before the Termination Date or Early Termination Date (whichever applies in the circumstances), erase irretrievably any information relating to the Company’s affairs or business from any computer and communications systems and devices owned or used by the Executive outside its premises, including such systems and data storage services provided by third parties (to the extent technically practicable).</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16"/>
          <w:szCs w:val="16"/>
          <w:b w:val="1"/>
          <w:bCs w:val="1"/>
          <w:color w:val="auto"/>
        </w:rPr>
        <w:t>Notices</w:t>
      </w:r>
    </w:p>
    <w:p>
      <w:pPr>
        <w:spacing w:after="0" w:line="195" w:lineRule="exact"/>
        <w:rPr>
          <w:sz w:val="20"/>
          <w:szCs w:val="20"/>
          <w:color w:val="auto"/>
        </w:rPr>
      </w:pPr>
    </w:p>
    <w:p>
      <w:pPr>
        <w:ind w:left="660" w:right="40"/>
        <w:spacing w:after="0" w:line="260" w:lineRule="auto"/>
        <w:rPr>
          <w:sz w:val="20"/>
          <w:szCs w:val="20"/>
          <w:color w:val="auto"/>
        </w:rPr>
      </w:pPr>
      <w:r>
        <w:rPr>
          <w:rFonts w:ascii="Arial" w:cs="Arial" w:eastAsia="Arial" w:hAnsi="Arial"/>
          <w:sz w:val="19"/>
          <w:szCs w:val="19"/>
          <w:color w:val="auto"/>
        </w:rPr>
        <w:t>All notices required or permitted to be given under this Agreement shall be in writing and shall be deemed effectively given: (i) upon personal delivery to the party to be notified; (ii) when sent by confirmed facsimile if sent during normal business hours of the recipient, if not, then on the next business day; or (iii) on delivery by an internationally recognized overnight courier, with written verification of receipt. All communications shall be sent to the address set forth below or at such other address as the Company or Executive may designate by ten (10) days advance written notice to the other party.</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In the case of the Company to:</w:t>
      </w:r>
    </w:p>
    <w:p>
      <w:pPr>
        <w:spacing w:after="0" w:line="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20 Eastbourne Terrace</w:t>
      </w:r>
    </w:p>
    <w:p>
      <w:pPr>
        <w:spacing w:after="0" w:line="1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London, W2 6LG</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United Kingdom</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Senior Vice President &amp; General Counsel</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+44 20 3325 0696</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In the case of Executive to:</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37 Sydney Road</w:t>
      </w:r>
    </w:p>
    <w:p>
      <w:pPr>
        <w:ind w:left="2600"/>
        <w:spacing w:after="0"/>
        <w:rPr>
          <w:sz w:val="20"/>
          <w:szCs w:val="20"/>
          <w:color w:val="auto"/>
        </w:rPr>
      </w:pPr>
      <w:r>
        <w:rPr>
          <w:rFonts w:ascii="Arial" w:cs="Arial" w:eastAsia="Arial" w:hAnsi="Arial"/>
          <w:sz w:val="20"/>
          <w:szCs w:val="20"/>
          <w:color w:val="auto"/>
        </w:rPr>
        <w:t>Richmond</w:t>
      </w:r>
    </w:p>
    <w:p>
      <w:pPr>
        <w:ind w:left="2580"/>
        <w:spacing w:after="0"/>
        <w:rPr>
          <w:sz w:val="20"/>
          <w:szCs w:val="20"/>
          <w:color w:val="auto"/>
        </w:rPr>
      </w:pPr>
      <w:r>
        <w:rPr>
          <w:rFonts w:ascii="Arial" w:cs="Arial" w:eastAsia="Arial" w:hAnsi="Arial"/>
          <w:sz w:val="20"/>
          <w:szCs w:val="20"/>
          <w:color w:val="auto"/>
        </w:rPr>
        <w:t>TW9 1UB</w:t>
      </w:r>
    </w:p>
    <w:p>
      <w:pPr>
        <w:ind w:left="2580"/>
        <w:spacing w:after="0"/>
        <w:rPr>
          <w:sz w:val="20"/>
          <w:szCs w:val="20"/>
          <w:color w:val="auto"/>
        </w:rPr>
      </w:pPr>
      <w:r>
        <w:rPr>
          <w:rFonts w:ascii="Arial" w:cs="Arial" w:eastAsia="Arial" w:hAnsi="Arial"/>
          <w:sz w:val="20"/>
          <w:szCs w:val="20"/>
          <w:color w:val="auto"/>
        </w:rPr>
        <w:t>United Kingdom</w:t>
      </w:r>
    </w:p>
    <w:p>
      <w:pPr>
        <w:ind w:left="2580"/>
        <w:spacing w:after="0"/>
        <w:rPr>
          <w:sz w:val="20"/>
          <w:szCs w:val="20"/>
          <w:color w:val="auto"/>
        </w:rPr>
      </w:pPr>
      <w:r>
        <w:rPr>
          <w:rFonts w:ascii="Arial" w:cs="Arial" w:eastAsia="Arial" w:hAnsi="Arial"/>
          <w:sz w:val="20"/>
          <w:szCs w:val="20"/>
          <w:color w:val="auto"/>
        </w:rPr>
        <w:t>Facsimile: +44 20 3325 0696</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5"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0"/>
          <w:szCs w:val="20"/>
          <w:b w:val="1"/>
          <w:bCs w:val="1"/>
          <w:color w:val="auto"/>
        </w:rPr>
        <w:t>Schedule 1- CERTIFICATE OF INDEPENDENT LEGAL ADVISER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________________________ whose address is ______________________________________ confirm that I gave independent legal advice</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to Alistair Simpson of 37 Sydney Road, Richmond, TW9 1UB as to the terms and effect of the Agreement to which this certificate is attached in particular as to its effect on his ability to pursue his rights, in particular the Claims specified in clause 4.1.1 before a Court of competent jurisdiction or Employment Tribunal.</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 confirm that I am a solicitor of the Senior Courts holding a current practising certificate and that the statutory requirements relating to settlement agreements set out in the Acts (as defined in the Agreement) have been met. I confirm further, that there was in force at the time I gave the advice referred to above a policy of insurance covering the risk of a claim by Alistair Simpson in respect of any loss arising in consequence of that advice.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Signed: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78" w:right="23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WITHOUT PREJUDICE AND SUBJECT TO CONTRACT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2 – REAFFIRMATION WAIVER AND RELEASE OF CLAIMS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This Reaffirmation Waiver and Release of Claims (“</w:t>
      </w:r>
      <w:r>
        <w:rPr>
          <w:rFonts w:ascii="Arial" w:cs="Arial" w:eastAsia="Arial" w:hAnsi="Arial"/>
          <w:sz w:val="18"/>
          <w:szCs w:val="18"/>
          <w:b w:val="1"/>
          <w:bCs w:val="1"/>
          <w:color w:val="auto"/>
        </w:rPr>
        <w:t>Release</w:t>
      </w:r>
      <w:r>
        <w:rPr>
          <w:rFonts w:ascii="Arial" w:cs="Arial" w:eastAsia="Arial" w:hAnsi="Arial"/>
          <w:sz w:val="18"/>
          <w:szCs w:val="18"/>
          <w:color w:val="auto"/>
        </w:rPr>
        <w:t xml:space="preserve">”) is made on ___________________________________by </w:t>
      </w:r>
      <w:r>
        <w:rPr>
          <w:rFonts w:ascii="Arial" w:cs="Arial" w:eastAsia="Arial" w:hAnsi="Arial"/>
          <w:sz w:val="18"/>
          <w:szCs w:val="18"/>
          <w:b w:val="1"/>
          <w:bCs w:val="1"/>
          <w:color w:val="auto"/>
        </w:rPr>
        <w:t>Alistair Simpson</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Executive</w:t>
      </w:r>
      <w:r>
        <w:rPr>
          <w:rFonts w:ascii="Arial" w:cs="Arial" w:eastAsia="Arial" w:hAnsi="Arial"/>
          <w:sz w:val="19"/>
          <w:szCs w:val="19"/>
          <w:color w:val="auto"/>
        </w:rPr>
        <w:t>”) in connection with the Employee’s separation from employment on ______________________________________.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promises described in the Separation and Settlement Agreement dated ______ November</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2019 ("the Separation and Settlement Agreement"), to which this Release is appended as </w:t>
      </w:r>
      <w:r>
        <w:rPr>
          <w:rFonts w:ascii="Arial" w:cs="Arial" w:eastAsia="Arial" w:hAnsi="Arial"/>
          <w:sz w:val="19"/>
          <w:szCs w:val="19"/>
          <w:b w:val="1"/>
          <w:bCs w:val="1"/>
          <w:i w:val="1"/>
          <w:iCs w:val="1"/>
          <w:color w:val="auto"/>
        </w:rPr>
        <w:t>Schedule 2</w:t>
      </w:r>
      <w:r>
        <w:rPr>
          <w:rFonts w:ascii="Arial" w:cs="Arial" w:eastAsia="Arial" w:hAnsi="Arial"/>
          <w:sz w:val="19"/>
          <w:szCs w:val="19"/>
          <w:color w:val="auto"/>
        </w:rPr>
        <w:t>, Executive agrees as follows.</w:t>
      </w:r>
    </w:p>
    <w:p>
      <w:pPr>
        <w:spacing w:after="0" w:line="178" w:lineRule="exact"/>
        <w:rPr>
          <w:sz w:val="20"/>
          <w:szCs w:val="20"/>
          <w:color w:val="auto"/>
        </w:rPr>
      </w:pPr>
    </w:p>
    <w:p>
      <w:pPr>
        <w:ind w:left="620" w:right="9480" w:hanging="612"/>
        <w:spacing w:after="0" w:line="440" w:lineRule="auto"/>
        <w:tabs>
          <w:tab w:leader="none" w:pos="62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Definitions</w:t>
      </w:r>
    </w:p>
    <w:p>
      <w:pPr>
        <w:ind w:left="620"/>
        <w:spacing w:after="0"/>
        <w:rPr>
          <w:rFonts w:ascii="Arial" w:cs="Arial" w:eastAsia="Arial" w:hAnsi="Arial"/>
          <w:sz w:val="20"/>
          <w:szCs w:val="20"/>
          <w:b w:val="1"/>
          <w:bCs w:val="1"/>
          <w:color w:val="auto"/>
        </w:rPr>
      </w:pPr>
      <w:r>
        <w:rPr>
          <w:rFonts w:ascii="Arial" w:cs="Arial" w:eastAsia="Arial" w:hAnsi="Arial"/>
          <w:sz w:val="20"/>
          <w:szCs w:val="20"/>
          <w:color w:val="auto"/>
        </w:rPr>
        <w:t>In this Release, unless the context otherwise requires:</w:t>
      </w:r>
    </w:p>
    <w:p>
      <w:pPr>
        <w:spacing w:after="0" w:line="345" w:lineRule="exact"/>
        <w:rPr>
          <w:sz w:val="20"/>
          <w:szCs w:val="20"/>
          <w:color w:val="auto"/>
        </w:rPr>
      </w:pPr>
    </w:p>
    <w:tbl>
      <w:tblPr>
        <w:tblLayout w:type="fixed"/>
        <w:tblInd w:w="740" w:type="dxa"/>
        <w:tblCellMar>
          <w:top w:w="0" w:type="dxa"/>
          <w:left w:w="0" w:type="dxa"/>
          <w:bottom w:w="0" w:type="dxa"/>
          <w:right w:w="0" w:type="dxa"/>
        </w:tblCellMar>
      </w:tblPr>
      <w:tr>
        <w:trPr>
          <w:trHeight w:val="236"/>
        </w:trPr>
        <w:tc>
          <w:tcPr>
            <w:tcW w:w="218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the Acts</w:t>
            </w:r>
            <w:r>
              <w:rPr>
                <w:rFonts w:ascii="Arial" w:cs="Arial" w:eastAsia="Arial" w:hAnsi="Arial"/>
                <w:sz w:val="20"/>
                <w:szCs w:val="20"/>
                <w:color w:val="auto"/>
              </w:rPr>
              <w:t>”</w:t>
            </w:r>
          </w:p>
        </w:tc>
        <w:tc>
          <w:tcPr>
            <w:tcW w:w="7560" w:type="dxa"/>
            <w:vAlign w:val="bottom"/>
            <w:gridSpan w:val="2"/>
          </w:tcPr>
          <w:p>
            <w:pPr>
              <w:ind w:left="580"/>
              <w:spacing w:after="0"/>
              <w:rPr>
                <w:sz w:val="20"/>
                <w:szCs w:val="20"/>
                <w:color w:val="auto"/>
              </w:rPr>
            </w:pPr>
            <w:r>
              <w:rPr>
                <w:rFonts w:ascii="Arial" w:cs="Arial" w:eastAsia="Arial" w:hAnsi="Arial"/>
                <w:sz w:val="20"/>
                <w:szCs w:val="20"/>
                <w:color w:val="auto"/>
                <w:w w:val="95"/>
              </w:rPr>
              <w:t>means the Employment Rights Act 1996 section 203(3) and the Equality Act 2010,</w:t>
            </w:r>
          </w:p>
        </w:tc>
      </w:tr>
      <w:tr>
        <w:trPr>
          <w:trHeight w:val="250"/>
        </w:trPr>
        <w:tc>
          <w:tcPr>
            <w:tcW w:w="2180" w:type="dxa"/>
            <w:vAlign w:val="bottom"/>
          </w:tcPr>
          <w:p>
            <w:pPr>
              <w:spacing w:after="0"/>
              <w:rPr>
                <w:sz w:val="21"/>
                <w:szCs w:val="21"/>
                <w:color w:val="auto"/>
              </w:rPr>
            </w:pPr>
          </w:p>
        </w:tc>
        <w:tc>
          <w:tcPr>
            <w:tcW w:w="7560" w:type="dxa"/>
            <w:vAlign w:val="bottom"/>
            <w:gridSpan w:val="2"/>
          </w:tcPr>
          <w:p>
            <w:pPr>
              <w:ind w:left="580"/>
              <w:spacing w:after="0"/>
              <w:rPr>
                <w:sz w:val="20"/>
                <w:szCs w:val="20"/>
                <w:color w:val="auto"/>
              </w:rPr>
            </w:pPr>
            <w:r>
              <w:rPr>
                <w:rFonts w:ascii="Arial" w:cs="Arial" w:eastAsia="Arial" w:hAnsi="Arial"/>
                <w:sz w:val="20"/>
                <w:szCs w:val="20"/>
                <w:color w:val="auto"/>
              </w:rPr>
              <w:t>section 147.</w:t>
            </w:r>
          </w:p>
        </w:tc>
      </w:tr>
      <w:tr>
        <w:trPr>
          <w:trHeight w:val="452"/>
        </w:trPr>
        <w:tc>
          <w:tcPr>
            <w:tcW w:w="218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Claims”</w:t>
            </w:r>
          </w:p>
        </w:tc>
        <w:tc>
          <w:tcPr>
            <w:tcW w:w="7560" w:type="dxa"/>
            <w:vAlign w:val="bottom"/>
            <w:gridSpan w:val="2"/>
          </w:tcPr>
          <w:p>
            <w:pPr>
              <w:ind w:left="580"/>
              <w:spacing w:after="0"/>
              <w:rPr>
                <w:sz w:val="20"/>
                <w:szCs w:val="20"/>
                <w:color w:val="auto"/>
              </w:rPr>
            </w:pPr>
            <w:r>
              <w:rPr>
                <w:rFonts w:ascii="Arial" w:cs="Arial" w:eastAsia="Arial" w:hAnsi="Arial"/>
                <w:sz w:val="20"/>
                <w:szCs w:val="20"/>
                <w:color w:val="auto"/>
                <w:w w:val="91"/>
              </w:rPr>
              <w:t>means the claims that the Executive believes that he has against the Company or any</w:t>
            </w:r>
          </w:p>
        </w:tc>
      </w:tr>
      <w:tr>
        <w:trPr>
          <w:trHeight w:val="230"/>
        </w:trPr>
        <w:tc>
          <w:tcPr>
            <w:tcW w:w="2180" w:type="dxa"/>
            <w:vAlign w:val="bottom"/>
          </w:tcPr>
          <w:p>
            <w:pPr>
              <w:spacing w:after="0"/>
              <w:rPr>
                <w:sz w:val="19"/>
                <w:szCs w:val="19"/>
                <w:color w:val="auto"/>
              </w:rPr>
            </w:pPr>
          </w:p>
        </w:tc>
        <w:tc>
          <w:tcPr>
            <w:tcW w:w="7560" w:type="dxa"/>
            <w:vAlign w:val="bottom"/>
            <w:gridSpan w:val="2"/>
          </w:tcPr>
          <w:p>
            <w:pPr>
              <w:ind w:left="580"/>
              <w:spacing w:after="0"/>
              <w:rPr>
                <w:sz w:val="20"/>
                <w:szCs w:val="20"/>
                <w:color w:val="auto"/>
              </w:rPr>
            </w:pPr>
            <w:r>
              <w:rPr>
                <w:rFonts w:ascii="Arial" w:cs="Arial" w:eastAsia="Arial" w:hAnsi="Arial"/>
                <w:sz w:val="20"/>
                <w:szCs w:val="20"/>
                <w:color w:val="auto"/>
              </w:rPr>
              <w:t>Group Company or against any of its or their respective shareholders, officers,</w:t>
            </w:r>
          </w:p>
        </w:tc>
      </w:tr>
      <w:tr>
        <w:trPr>
          <w:trHeight w:val="250"/>
        </w:trPr>
        <w:tc>
          <w:tcPr>
            <w:tcW w:w="2180" w:type="dxa"/>
            <w:vAlign w:val="bottom"/>
          </w:tcPr>
          <w:p>
            <w:pPr>
              <w:spacing w:after="0"/>
              <w:rPr>
                <w:sz w:val="21"/>
                <w:szCs w:val="21"/>
                <w:color w:val="auto"/>
              </w:rPr>
            </w:pPr>
          </w:p>
        </w:tc>
        <w:tc>
          <w:tcPr>
            <w:tcW w:w="7560" w:type="dxa"/>
            <w:vAlign w:val="bottom"/>
            <w:gridSpan w:val="2"/>
          </w:tcPr>
          <w:p>
            <w:pPr>
              <w:ind w:left="580"/>
              <w:spacing w:after="0"/>
              <w:rPr>
                <w:sz w:val="20"/>
                <w:szCs w:val="20"/>
                <w:color w:val="auto"/>
              </w:rPr>
            </w:pPr>
            <w:r>
              <w:rPr>
                <w:rFonts w:ascii="Arial" w:cs="Arial" w:eastAsia="Arial" w:hAnsi="Arial"/>
                <w:sz w:val="20"/>
                <w:szCs w:val="20"/>
                <w:color w:val="auto"/>
              </w:rPr>
              <w:t>employees or agents, being:</w:t>
            </w:r>
          </w:p>
        </w:tc>
      </w:tr>
      <w:tr>
        <w:trPr>
          <w:trHeight w:val="317"/>
        </w:trPr>
        <w:tc>
          <w:tcPr>
            <w:tcW w:w="2180" w:type="dxa"/>
            <w:vAlign w:val="bottom"/>
          </w:tcPr>
          <w:p>
            <w:pPr>
              <w:spacing w:after="0"/>
              <w:rPr>
                <w:sz w:val="24"/>
                <w:szCs w:val="24"/>
                <w:color w:val="auto"/>
              </w:rPr>
            </w:pPr>
          </w:p>
        </w:tc>
        <w:tc>
          <w:tcPr>
            <w:tcW w:w="880" w:type="dxa"/>
            <w:vAlign w:val="bottom"/>
          </w:tcPr>
          <w:p>
            <w:pPr>
              <w:ind w:left="560"/>
              <w:spacing w:after="0"/>
              <w:rPr>
                <w:sz w:val="20"/>
                <w:szCs w:val="20"/>
                <w:color w:val="auto"/>
              </w:rPr>
            </w:pPr>
            <w:r>
              <w:rPr>
                <w:rFonts w:ascii="Arial" w:cs="Arial" w:eastAsia="Arial" w:hAnsi="Arial"/>
                <w:sz w:val="20"/>
                <w:szCs w:val="20"/>
                <w:color w:val="auto"/>
              </w:rPr>
              <w:t>(a)</w:t>
            </w:r>
          </w:p>
        </w:tc>
        <w:tc>
          <w:tcPr>
            <w:tcW w:w="6680" w:type="dxa"/>
            <w:vAlign w:val="bottom"/>
          </w:tcPr>
          <w:p>
            <w:pPr>
              <w:jc w:val="right"/>
              <w:spacing w:after="0"/>
              <w:rPr>
                <w:sz w:val="20"/>
                <w:szCs w:val="20"/>
                <w:color w:val="auto"/>
              </w:rPr>
            </w:pPr>
            <w:r>
              <w:rPr>
                <w:rFonts w:ascii="Arial" w:cs="Arial" w:eastAsia="Arial" w:hAnsi="Arial"/>
                <w:sz w:val="20"/>
                <w:szCs w:val="20"/>
                <w:color w:val="auto"/>
              </w:rPr>
              <w:t>for breach of contract arising out of his employment, or termination of the</w:t>
            </w:r>
          </w:p>
        </w:tc>
      </w:tr>
      <w:tr>
        <w:trPr>
          <w:trHeight w:val="250"/>
        </w:trPr>
        <w:tc>
          <w:tcPr>
            <w:tcW w:w="2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80" w:type="dxa"/>
            <w:vAlign w:val="bottom"/>
          </w:tcPr>
          <w:p>
            <w:pPr>
              <w:ind w:left="100"/>
              <w:spacing w:after="0"/>
              <w:rPr>
                <w:sz w:val="20"/>
                <w:szCs w:val="20"/>
                <w:color w:val="auto"/>
              </w:rPr>
            </w:pPr>
            <w:r>
              <w:rPr>
                <w:rFonts w:ascii="Arial" w:cs="Arial" w:eastAsia="Arial" w:hAnsi="Arial"/>
                <w:sz w:val="20"/>
                <w:szCs w:val="20"/>
                <w:color w:val="auto"/>
              </w:rPr>
              <w:t>employment, or otherwise;</w:t>
            </w:r>
          </w:p>
        </w:tc>
      </w:tr>
      <w:tr>
        <w:trPr>
          <w:trHeight w:val="419"/>
        </w:trPr>
        <w:tc>
          <w:tcPr>
            <w:tcW w:w="2180" w:type="dxa"/>
            <w:vAlign w:val="bottom"/>
          </w:tcPr>
          <w:p>
            <w:pPr>
              <w:spacing w:after="0"/>
              <w:rPr>
                <w:sz w:val="24"/>
                <w:szCs w:val="24"/>
                <w:color w:val="auto"/>
              </w:rPr>
            </w:pPr>
          </w:p>
        </w:tc>
        <w:tc>
          <w:tcPr>
            <w:tcW w:w="7560" w:type="dxa"/>
            <w:vAlign w:val="bottom"/>
            <w:gridSpan w:val="2"/>
          </w:tcPr>
          <w:p>
            <w:pPr>
              <w:ind w:left="560"/>
              <w:spacing w:after="0"/>
              <w:rPr>
                <w:sz w:val="20"/>
                <w:szCs w:val="20"/>
                <w:color w:val="auto"/>
              </w:rPr>
            </w:pPr>
            <w:r>
              <w:rPr>
                <w:rFonts w:ascii="Arial" w:cs="Arial" w:eastAsia="Arial" w:hAnsi="Arial"/>
                <w:sz w:val="20"/>
                <w:szCs w:val="20"/>
                <w:color w:val="auto"/>
              </w:rPr>
              <w:t>(b)  for unfair dismissal under the Employment Rights Act 1996;</w:t>
            </w:r>
          </w:p>
        </w:tc>
      </w:tr>
      <w:tr>
        <w:trPr>
          <w:trHeight w:val="419"/>
        </w:trPr>
        <w:tc>
          <w:tcPr>
            <w:tcW w:w="2180" w:type="dxa"/>
            <w:vAlign w:val="bottom"/>
          </w:tcPr>
          <w:p>
            <w:pPr>
              <w:spacing w:after="0"/>
              <w:rPr>
                <w:sz w:val="24"/>
                <w:szCs w:val="24"/>
                <w:color w:val="auto"/>
              </w:rPr>
            </w:pPr>
          </w:p>
        </w:tc>
        <w:tc>
          <w:tcPr>
            <w:tcW w:w="7560" w:type="dxa"/>
            <w:vAlign w:val="bottom"/>
            <w:gridSpan w:val="2"/>
          </w:tcPr>
          <w:p>
            <w:pPr>
              <w:ind w:left="560"/>
              <w:spacing w:after="0"/>
              <w:rPr>
                <w:sz w:val="20"/>
                <w:szCs w:val="20"/>
                <w:color w:val="auto"/>
              </w:rPr>
            </w:pPr>
            <w:r>
              <w:rPr>
                <w:rFonts w:ascii="Arial" w:cs="Arial" w:eastAsia="Arial" w:hAnsi="Arial"/>
                <w:sz w:val="20"/>
                <w:szCs w:val="20"/>
                <w:color w:val="auto"/>
              </w:rPr>
              <w:t>(c)  in relation to unauthorized deductions from wages;</w:t>
            </w:r>
          </w:p>
        </w:tc>
      </w:tr>
      <w:tr>
        <w:trPr>
          <w:trHeight w:val="398"/>
        </w:trPr>
        <w:tc>
          <w:tcPr>
            <w:tcW w:w="2180" w:type="dxa"/>
            <w:vAlign w:val="bottom"/>
          </w:tcPr>
          <w:p>
            <w:pPr>
              <w:spacing w:after="0"/>
              <w:rPr>
                <w:sz w:val="24"/>
                <w:szCs w:val="24"/>
                <w:color w:val="auto"/>
              </w:rPr>
            </w:pPr>
          </w:p>
        </w:tc>
        <w:tc>
          <w:tcPr>
            <w:tcW w:w="7560" w:type="dxa"/>
            <w:vAlign w:val="bottom"/>
            <w:gridSpan w:val="2"/>
          </w:tcPr>
          <w:p>
            <w:pPr>
              <w:ind w:left="560"/>
              <w:spacing w:after="0"/>
              <w:rPr>
                <w:sz w:val="20"/>
                <w:szCs w:val="20"/>
                <w:color w:val="auto"/>
              </w:rPr>
            </w:pPr>
            <w:r>
              <w:rPr>
                <w:rFonts w:ascii="Arial" w:cs="Arial" w:eastAsia="Arial" w:hAnsi="Arial"/>
                <w:sz w:val="20"/>
                <w:szCs w:val="20"/>
                <w:color w:val="auto"/>
                <w:w w:val="92"/>
              </w:rPr>
              <w:t>(d)  for discrimination, harassment or victimisation on the grounds of age, sex, race or</w:t>
            </w:r>
          </w:p>
        </w:tc>
      </w:tr>
      <w:tr>
        <w:trPr>
          <w:trHeight w:val="250"/>
        </w:trPr>
        <w:tc>
          <w:tcPr>
            <w:tcW w:w="2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80" w:type="dxa"/>
            <w:vAlign w:val="bottom"/>
          </w:tcPr>
          <w:p>
            <w:pPr>
              <w:ind w:left="100"/>
              <w:spacing w:after="0"/>
              <w:rPr>
                <w:sz w:val="20"/>
                <w:szCs w:val="20"/>
                <w:color w:val="auto"/>
              </w:rPr>
            </w:pPr>
            <w:r>
              <w:rPr>
                <w:rFonts w:ascii="Arial" w:cs="Arial" w:eastAsia="Arial" w:hAnsi="Arial"/>
                <w:sz w:val="20"/>
                <w:szCs w:val="20"/>
                <w:color w:val="auto"/>
                <w:w w:val="99"/>
              </w:rPr>
              <w:t>nationality or any other unlawful ground, pursuant to the Equality Act 2010;</w:t>
            </w:r>
          </w:p>
        </w:tc>
      </w:tr>
      <w:tr>
        <w:trPr>
          <w:trHeight w:val="398"/>
        </w:trPr>
        <w:tc>
          <w:tcPr>
            <w:tcW w:w="2180" w:type="dxa"/>
            <w:vAlign w:val="bottom"/>
          </w:tcPr>
          <w:p>
            <w:pPr>
              <w:spacing w:after="0"/>
              <w:rPr>
                <w:sz w:val="24"/>
                <w:szCs w:val="24"/>
                <w:color w:val="auto"/>
              </w:rPr>
            </w:pPr>
          </w:p>
        </w:tc>
        <w:tc>
          <w:tcPr>
            <w:tcW w:w="880" w:type="dxa"/>
            <w:vAlign w:val="bottom"/>
          </w:tcPr>
          <w:p>
            <w:pPr>
              <w:ind w:left="560"/>
              <w:spacing w:after="0"/>
              <w:rPr>
                <w:sz w:val="20"/>
                <w:szCs w:val="20"/>
                <w:color w:val="auto"/>
              </w:rPr>
            </w:pPr>
            <w:r>
              <w:rPr>
                <w:rFonts w:ascii="Arial" w:cs="Arial" w:eastAsia="Arial" w:hAnsi="Arial"/>
                <w:sz w:val="20"/>
                <w:szCs w:val="20"/>
                <w:color w:val="auto"/>
              </w:rPr>
              <w:t>(e)</w:t>
            </w:r>
          </w:p>
        </w:tc>
        <w:tc>
          <w:tcPr>
            <w:tcW w:w="6680" w:type="dxa"/>
            <w:vAlign w:val="bottom"/>
          </w:tcPr>
          <w:p>
            <w:pPr>
              <w:jc w:val="right"/>
              <w:spacing w:after="0"/>
              <w:rPr>
                <w:sz w:val="20"/>
                <w:szCs w:val="20"/>
                <w:color w:val="auto"/>
              </w:rPr>
            </w:pPr>
            <w:r>
              <w:rPr>
                <w:rFonts w:ascii="Arial" w:cs="Arial" w:eastAsia="Arial" w:hAnsi="Arial"/>
                <w:sz w:val="20"/>
                <w:szCs w:val="20"/>
                <w:color w:val="auto"/>
              </w:rPr>
              <w:t>for breach of contract or any other rights to or in respect of shares or other</w:t>
            </w:r>
          </w:p>
        </w:tc>
      </w:tr>
      <w:tr>
        <w:trPr>
          <w:trHeight w:val="250"/>
        </w:trPr>
        <w:tc>
          <w:tcPr>
            <w:tcW w:w="2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80" w:type="dxa"/>
            <w:vAlign w:val="bottom"/>
          </w:tcPr>
          <w:p>
            <w:pPr>
              <w:ind w:left="100"/>
              <w:spacing w:after="0"/>
              <w:rPr>
                <w:sz w:val="20"/>
                <w:szCs w:val="20"/>
                <w:color w:val="auto"/>
              </w:rPr>
            </w:pPr>
            <w:r>
              <w:rPr>
                <w:rFonts w:ascii="Arial" w:cs="Arial" w:eastAsia="Arial" w:hAnsi="Arial"/>
                <w:sz w:val="20"/>
                <w:szCs w:val="20"/>
                <w:color w:val="auto"/>
                <w:w w:val="91"/>
              </w:rPr>
              <w:t>securities or securities based incentives in the Company or any Group Company;</w:t>
            </w:r>
          </w:p>
        </w:tc>
      </w:tr>
      <w:tr>
        <w:trPr>
          <w:trHeight w:val="419"/>
        </w:trPr>
        <w:tc>
          <w:tcPr>
            <w:tcW w:w="2180" w:type="dxa"/>
            <w:vAlign w:val="bottom"/>
          </w:tcPr>
          <w:p>
            <w:pPr>
              <w:spacing w:after="0"/>
              <w:rPr>
                <w:sz w:val="24"/>
                <w:szCs w:val="24"/>
                <w:color w:val="auto"/>
              </w:rPr>
            </w:pPr>
          </w:p>
        </w:tc>
        <w:tc>
          <w:tcPr>
            <w:tcW w:w="7560" w:type="dxa"/>
            <w:vAlign w:val="bottom"/>
            <w:gridSpan w:val="2"/>
          </w:tcPr>
          <w:p>
            <w:pPr>
              <w:ind w:left="560"/>
              <w:spacing w:after="0"/>
              <w:rPr>
                <w:sz w:val="20"/>
                <w:szCs w:val="20"/>
                <w:color w:val="auto"/>
              </w:rPr>
            </w:pPr>
            <w:r>
              <w:rPr>
                <w:rFonts w:ascii="Arial" w:cs="Arial" w:eastAsia="Arial" w:hAnsi="Arial"/>
                <w:sz w:val="20"/>
                <w:szCs w:val="20"/>
                <w:color w:val="auto"/>
              </w:rPr>
              <w:t>(f)  for unlawful detriment under the Employment Rights Act 1996; and</w:t>
            </w:r>
          </w:p>
        </w:tc>
      </w:tr>
      <w:tr>
        <w:trPr>
          <w:trHeight w:val="419"/>
        </w:trPr>
        <w:tc>
          <w:tcPr>
            <w:tcW w:w="2180" w:type="dxa"/>
            <w:vAlign w:val="bottom"/>
          </w:tcPr>
          <w:p>
            <w:pPr>
              <w:spacing w:after="0"/>
              <w:rPr>
                <w:sz w:val="24"/>
                <w:szCs w:val="24"/>
                <w:color w:val="auto"/>
              </w:rPr>
            </w:pPr>
          </w:p>
        </w:tc>
        <w:tc>
          <w:tcPr>
            <w:tcW w:w="7560" w:type="dxa"/>
            <w:vAlign w:val="bottom"/>
            <w:gridSpan w:val="2"/>
          </w:tcPr>
          <w:p>
            <w:pPr>
              <w:ind w:left="560"/>
              <w:spacing w:after="0"/>
              <w:rPr>
                <w:sz w:val="20"/>
                <w:szCs w:val="20"/>
                <w:color w:val="auto"/>
              </w:rPr>
            </w:pPr>
            <w:r>
              <w:rPr>
                <w:rFonts w:ascii="Arial" w:cs="Arial" w:eastAsia="Arial" w:hAnsi="Arial"/>
                <w:sz w:val="20"/>
                <w:szCs w:val="20"/>
                <w:color w:val="auto"/>
              </w:rPr>
              <w:t>(g)  under the Public Interest Disclosure Act 1998.</w:t>
            </w:r>
          </w:p>
        </w:tc>
      </w:tr>
      <w:tr>
        <w:trPr>
          <w:trHeight w:val="452"/>
        </w:trPr>
        <w:tc>
          <w:tcPr>
            <w:tcW w:w="218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w:t>
            </w:r>
            <w:r>
              <w:rPr>
                <w:rFonts w:ascii="Arial" w:cs="Arial" w:eastAsia="Arial" w:hAnsi="Arial"/>
                <w:sz w:val="20"/>
                <w:szCs w:val="20"/>
                <w:color w:val="auto"/>
              </w:rPr>
              <w:t>”</w:t>
            </w:r>
          </w:p>
        </w:tc>
        <w:tc>
          <w:tcPr>
            <w:tcW w:w="7560" w:type="dxa"/>
            <w:vAlign w:val="bottom"/>
            <w:gridSpan w:val="2"/>
          </w:tcPr>
          <w:p>
            <w:pPr>
              <w:ind w:left="580"/>
              <w:spacing w:after="0"/>
              <w:rPr>
                <w:sz w:val="20"/>
                <w:szCs w:val="20"/>
                <w:color w:val="auto"/>
              </w:rPr>
            </w:pPr>
            <w:r>
              <w:rPr>
                <w:rFonts w:ascii="Arial" w:cs="Arial" w:eastAsia="Arial" w:hAnsi="Arial"/>
                <w:sz w:val="20"/>
                <w:szCs w:val="20"/>
                <w:color w:val="auto"/>
                <w:w w:val="91"/>
              </w:rPr>
              <w:t>means the Company, any presently existing or future holding company or undertaking</w:t>
            </w:r>
          </w:p>
        </w:tc>
      </w:tr>
      <w:tr>
        <w:trPr>
          <w:trHeight w:val="230"/>
        </w:trPr>
        <w:tc>
          <w:tcPr>
            <w:tcW w:w="2180" w:type="dxa"/>
            <w:vAlign w:val="bottom"/>
          </w:tcPr>
          <w:p>
            <w:pPr>
              <w:spacing w:after="0"/>
              <w:rPr>
                <w:sz w:val="19"/>
                <w:szCs w:val="19"/>
                <w:color w:val="auto"/>
              </w:rPr>
            </w:pPr>
          </w:p>
        </w:tc>
        <w:tc>
          <w:tcPr>
            <w:tcW w:w="7560" w:type="dxa"/>
            <w:vAlign w:val="bottom"/>
            <w:gridSpan w:val="2"/>
          </w:tcPr>
          <w:p>
            <w:pPr>
              <w:ind w:left="580"/>
              <w:spacing w:after="0"/>
              <w:rPr>
                <w:sz w:val="20"/>
                <w:szCs w:val="20"/>
                <w:color w:val="auto"/>
              </w:rPr>
            </w:pPr>
            <w:r>
              <w:rPr>
                <w:rFonts w:ascii="Arial" w:cs="Arial" w:eastAsia="Arial" w:hAnsi="Arial"/>
                <w:sz w:val="20"/>
                <w:szCs w:val="20"/>
                <w:color w:val="auto"/>
                <w:w w:val="98"/>
              </w:rPr>
              <w:t>of the Company and any presently existing or future subsidiaries and subsidiary</w:t>
            </w:r>
          </w:p>
        </w:tc>
      </w:tr>
      <w:tr>
        <w:trPr>
          <w:trHeight w:val="230"/>
        </w:trPr>
        <w:tc>
          <w:tcPr>
            <w:tcW w:w="2180" w:type="dxa"/>
            <w:vAlign w:val="bottom"/>
          </w:tcPr>
          <w:p>
            <w:pPr>
              <w:spacing w:after="0"/>
              <w:rPr>
                <w:sz w:val="19"/>
                <w:szCs w:val="19"/>
                <w:color w:val="auto"/>
              </w:rPr>
            </w:pPr>
          </w:p>
        </w:tc>
        <w:tc>
          <w:tcPr>
            <w:tcW w:w="7560" w:type="dxa"/>
            <w:vAlign w:val="bottom"/>
            <w:gridSpan w:val="2"/>
          </w:tcPr>
          <w:p>
            <w:pPr>
              <w:ind w:left="580"/>
              <w:spacing w:after="0"/>
              <w:rPr>
                <w:sz w:val="20"/>
                <w:szCs w:val="20"/>
                <w:color w:val="auto"/>
              </w:rPr>
            </w:pPr>
            <w:r>
              <w:rPr>
                <w:rFonts w:ascii="Arial" w:cs="Arial" w:eastAsia="Arial" w:hAnsi="Arial"/>
                <w:sz w:val="20"/>
                <w:szCs w:val="20"/>
                <w:color w:val="auto"/>
                <w:w w:val="91"/>
              </w:rPr>
              <w:t>undertakings of the Company or such holding company or undertaking (and the words</w:t>
            </w:r>
          </w:p>
        </w:tc>
      </w:tr>
      <w:tr>
        <w:trPr>
          <w:trHeight w:val="230"/>
        </w:trPr>
        <w:tc>
          <w:tcPr>
            <w:tcW w:w="2180" w:type="dxa"/>
            <w:vAlign w:val="bottom"/>
          </w:tcPr>
          <w:p>
            <w:pPr>
              <w:spacing w:after="0"/>
              <w:rPr>
                <w:sz w:val="19"/>
                <w:szCs w:val="19"/>
                <w:color w:val="auto"/>
              </w:rPr>
            </w:pPr>
          </w:p>
        </w:tc>
        <w:tc>
          <w:tcPr>
            <w:tcW w:w="7560" w:type="dxa"/>
            <w:vAlign w:val="bottom"/>
            <w:gridSpan w:val="2"/>
          </w:tcPr>
          <w:p>
            <w:pPr>
              <w:ind w:left="580"/>
              <w:spacing w:after="0"/>
              <w:rPr>
                <w:sz w:val="20"/>
                <w:szCs w:val="20"/>
                <w:color w:val="auto"/>
              </w:rPr>
            </w:pPr>
            <w:r>
              <w:rPr>
                <w:rFonts w:ascii="Arial" w:cs="Arial" w:eastAsia="Arial" w:hAnsi="Arial"/>
                <w:sz w:val="20"/>
                <w:szCs w:val="20"/>
                <w:color w:val="auto"/>
                <w:w w:val="92"/>
              </w:rPr>
              <w:t>“subsidiary” and “holding company” shall have the meanings given to them in section</w:t>
            </w:r>
          </w:p>
        </w:tc>
      </w:tr>
      <w:tr>
        <w:trPr>
          <w:trHeight w:val="250"/>
        </w:trPr>
        <w:tc>
          <w:tcPr>
            <w:tcW w:w="2180" w:type="dxa"/>
            <w:vAlign w:val="bottom"/>
          </w:tcPr>
          <w:p>
            <w:pPr>
              <w:spacing w:after="0"/>
              <w:rPr>
                <w:sz w:val="21"/>
                <w:szCs w:val="21"/>
                <w:color w:val="auto"/>
              </w:rPr>
            </w:pPr>
          </w:p>
        </w:tc>
        <w:tc>
          <w:tcPr>
            <w:tcW w:w="7560" w:type="dxa"/>
            <w:vAlign w:val="bottom"/>
            <w:gridSpan w:val="2"/>
          </w:tcPr>
          <w:p>
            <w:pPr>
              <w:ind w:left="580"/>
              <w:spacing w:after="0"/>
              <w:rPr>
                <w:sz w:val="20"/>
                <w:szCs w:val="20"/>
                <w:color w:val="auto"/>
              </w:rPr>
            </w:pPr>
            <w:r>
              <w:rPr>
                <w:rFonts w:ascii="Arial" w:cs="Arial" w:eastAsia="Arial" w:hAnsi="Arial"/>
                <w:sz w:val="20"/>
                <w:szCs w:val="20"/>
                <w:color w:val="auto"/>
              </w:rPr>
              <w:t>1159 in the Companies Act 2006).</w:t>
            </w:r>
          </w:p>
        </w:tc>
      </w:tr>
      <w:tr>
        <w:trPr>
          <w:trHeight w:val="473"/>
        </w:trPr>
        <w:tc>
          <w:tcPr>
            <w:tcW w:w="218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Company</w:t>
            </w:r>
            <w:r>
              <w:rPr>
                <w:rFonts w:ascii="Arial" w:cs="Arial" w:eastAsia="Arial" w:hAnsi="Arial"/>
                <w:sz w:val="20"/>
                <w:szCs w:val="20"/>
                <w:color w:val="auto"/>
              </w:rPr>
              <w:t>”</w:t>
            </w:r>
          </w:p>
        </w:tc>
        <w:tc>
          <w:tcPr>
            <w:tcW w:w="7560" w:type="dxa"/>
            <w:vAlign w:val="bottom"/>
            <w:gridSpan w:val="2"/>
          </w:tcPr>
          <w:p>
            <w:pPr>
              <w:ind w:left="580"/>
              <w:spacing w:after="0"/>
              <w:rPr>
                <w:sz w:val="20"/>
                <w:szCs w:val="20"/>
                <w:color w:val="auto"/>
              </w:rPr>
            </w:pPr>
            <w:r>
              <w:rPr>
                <w:rFonts w:ascii="Arial" w:cs="Arial" w:eastAsia="Arial" w:hAnsi="Arial"/>
                <w:sz w:val="20"/>
                <w:szCs w:val="20"/>
                <w:color w:val="auto"/>
              </w:rPr>
              <w:t>means any company within the Group.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36" w:name="page137"/>
    <w:bookmarkEnd w:id="136"/>
    <w:p>
      <w:pPr>
        <w:ind w:left="620" w:hanging="612"/>
        <w:spacing w:after="0"/>
        <w:tabs>
          <w:tab w:leader="none" w:pos="62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WARRANTIES</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The Executive warrants that:</w:t>
      </w:r>
    </w:p>
    <w:p>
      <w:pPr>
        <w:spacing w:after="0" w:line="189" w:lineRule="exact"/>
        <w:rPr>
          <w:sz w:val="20"/>
          <w:szCs w:val="20"/>
          <w:color w:val="auto"/>
        </w:rPr>
      </w:pPr>
    </w:p>
    <w:p>
      <w:pPr>
        <w:ind w:left="1280" w:right="20" w:hanging="624"/>
        <w:spacing w:after="0" w:line="260" w:lineRule="auto"/>
        <w:tabs>
          <w:tab w:leader="none" w:pos="1262" w:val="left"/>
        </w:tabs>
        <w:numPr>
          <w:ilvl w:val="0"/>
          <w:numId w:val="52"/>
        </w:numPr>
        <w:rPr>
          <w:rFonts w:ascii="Arial" w:cs="Arial" w:eastAsia="Arial" w:hAnsi="Arial"/>
          <w:sz w:val="20"/>
          <w:szCs w:val="20"/>
          <w:color w:val="auto"/>
        </w:rPr>
      </w:pPr>
      <w:r>
        <w:rPr>
          <w:rFonts w:ascii="Arial" w:cs="Arial" w:eastAsia="Arial" w:hAnsi="Arial"/>
          <w:sz w:val="20"/>
          <w:szCs w:val="20"/>
          <w:color w:val="auto"/>
        </w:rPr>
        <w:t>he has not raised any legal proceedings against the Company or any Group Company or against any of its or their respective shareholders, officers, employees or agents; and</w:t>
      </w:r>
    </w:p>
    <w:p>
      <w:pPr>
        <w:spacing w:after="0" w:line="149" w:lineRule="exact"/>
        <w:rPr>
          <w:rFonts w:ascii="Arial" w:cs="Arial" w:eastAsia="Arial" w:hAnsi="Arial"/>
          <w:sz w:val="20"/>
          <w:szCs w:val="20"/>
          <w:color w:val="auto"/>
        </w:rPr>
      </w:pPr>
    </w:p>
    <w:p>
      <w:pPr>
        <w:jc w:val="both"/>
        <w:ind w:left="1280" w:hanging="624"/>
        <w:spacing w:after="0" w:line="243" w:lineRule="auto"/>
        <w:tabs>
          <w:tab w:leader="none" w:pos="1262" w:val="left"/>
        </w:tabs>
        <w:numPr>
          <w:ilvl w:val="0"/>
          <w:numId w:val="52"/>
        </w:numPr>
        <w:rPr>
          <w:rFonts w:ascii="Arial" w:cs="Arial" w:eastAsia="Arial" w:hAnsi="Arial"/>
          <w:sz w:val="20"/>
          <w:szCs w:val="20"/>
          <w:color w:val="auto"/>
        </w:rPr>
      </w:pPr>
      <w:r>
        <w:rPr>
          <w:rFonts w:ascii="Arial" w:cs="Arial" w:eastAsia="Arial" w:hAnsi="Arial"/>
          <w:sz w:val="20"/>
          <w:szCs w:val="20"/>
          <w:color w:val="auto"/>
        </w:rPr>
        <w:t>other than the Claims, as of the date of this Release, he has no further or outstanding claims or rights of action, being any further or outstanding claims or rights of action, whether under statute or common law (including contractual, tortious or other claims) and whether before an Employment Tribunal, court or otherwise and whether in the UK or any other jurisdiction in the world against the Company or any Group Company or any of its or their respective shareholders, officers, employees or agents including in respect of or arising out of his employment, or the holding of any office with or investment in the Company or any Group Company or the termination of that employment or office (such claims or rights of action referred to as “</w:t>
      </w:r>
      <w:r>
        <w:rPr>
          <w:rFonts w:ascii="Arial" w:cs="Arial" w:eastAsia="Arial" w:hAnsi="Arial"/>
          <w:sz w:val="20"/>
          <w:szCs w:val="20"/>
          <w:b w:val="1"/>
          <w:bCs w:val="1"/>
          <w:color w:val="auto"/>
        </w:rPr>
        <w:t>Further</w:t>
      </w:r>
      <w:r>
        <w:rPr>
          <w:rFonts w:ascii="Arial" w:cs="Arial" w:eastAsia="Arial" w:hAnsi="Arial"/>
          <w:sz w:val="20"/>
          <w:szCs w:val="20"/>
          <w:color w:val="auto"/>
        </w:rPr>
        <w:t xml:space="preserve"> </w:t>
      </w:r>
      <w:r>
        <w:rPr>
          <w:rFonts w:ascii="Arial" w:cs="Arial" w:eastAsia="Arial" w:hAnsi="Arial"/>
          <w:sz w:val="20"/>
          <w:szCs w:val="20"/>
          <w:b w:val="1"/>
          <w:bCs w:val="1"/>
          <w:color w:val="auto"/>
        </w:rPr>
        <w:t>Claims</w:t>
      </w:r>
      <w:r>
        <w:rPr>
          <w:rFonts w:ascii="Arial" w:cs="Arial" w:eastAsia="Arial" w:hAnsi="Arial"/>
          <w:sz w:val="20"/>
          <w:szCs w:val="20"/>
          <w:color w:val="auto"/>
        </w:rPr>
        <w:t>”).</w:t>
      </w:r>
    </w:p>
    <w:p>
      <w:pPr>
        <w:spacing w:after="0" w:line="166"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The Executive warrants as a strict condition of the Company's obligation to honour the terms of clause 3 of the Agreement under this Release that there are no circumstances of which he is aware or of which he ought to be aware which could constitute a repudiatory breach by him of his contract of employment which would entitle or have entitled the Company to terminate his employment without notice.</w:t>
      </w:r>
    </w:p>
    <w:p>
      <w:pPr>
        <w:spacing w:after="0" w:line="159" w:lineRule="exact"/>
        <w:rPr>
          <w:sz w:val="20"/>
          <w:szCs w:val="20"/>
          <w:color w:val="auto"/>
        </w:rPr>
      </w:pPr>
    </w:p>
    <w:p>
      <w:pPr>
        <w:ind w:left="620" w:hanging="612"/>
        <w:spacing w:after="0"/>
        <w:tabs>
          <w:tab w:leader="none" w:pos="62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SETTLEMENT</w:t>
      </w:r>
    </w:p>
    <w:p>
      <w:pPr>
        <w:spacing w:after="0" w:line="195" w:lineRule="exact"/>
        <w:rPr>
          <w:sz w:val="20"/>
          <w:szCs w:val="20"/>
          <w:color w:val="auto"/>
        </w:rPr>
      </w:pPr>
    </w:p>
    <w:p>
      <w:pPr>
        <w:jc w:val="both"/>
        <w:ind w:left="620" w:hanging="620"/>
        <w:spacing w:after="0" w:line="278" w:lineRule="auto"/>
        <w:tabs>
          <w:tab w:leader="none" w:pos="6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Subject to clause 3.3, the Executive accepts the terms of this Release in full and final settlement of the Claims and all and any Further Claims, whether such claims are known or unknown to the parties and whether or not they are or could be in the contemplation of the parties at the date of this Release, which are waived and released in full. Executive acknowledges that the conditions relating to settlement agreements under the Acts have been satisfied and that he has taken independent legal advice and shall deliver on execution of this Release a confirmation of advice certificate signed by his independent legal adviser in the form attached hereto.</w:t>
      </w:r>
    </w:p>
    <w:p>
      <w:pPr>
        <w:spacing w:after="0" w:line="138"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The Executive undertakes not to institute or pursue any proceedings against the Company or any Group Company or against any of its or their respective shareholders, officers, employees or agents before an Employment Tribunal, court or any other judicial body anywhere in the world in respect of the Claims or for any remedy arising from any Further Claims.</w:t>
      </w:r>
    </w:p>
    <w:p>
      <w:pPr>
        <w:spacing w:after="0" w:line="159"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color w:val="auto"/>
        </w:rPr>
        <w:t>The waiver in clause 3.1 above does not apply to: (a) any claims for personal injury other than (a) where Executive is currently aware of any facts or circumstances which do or may give rise to the claim and (b) those which may be brought under any discrimination legislation; (b) any claims by Executive to enforce this Agreement; or (c) any claims for any accrued pension rights. In respect of latent personal injuries and/or any latent industrial disease arising out of the course of his employment with the Company and/or the Group that are currently unknown to him, the Executive warrants that he is not aware of having any such personal injuries. These exceptions are the only claims which have not been settled by this Release.</w:t>
      </w:r>
    </w:p>
    <w:p>
      <w:pPr>
        <w:spacing w:after="0" w:line="152"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Subject to the terms of Clause 3.3, if any other claim emerges in law or in fact anywhere in the world based on anything done or omitted to be done during the period of the Executive’s employment by the Company which was not previously known or foreseeable by the Executive, then the Executive agrees that there should be no recourse to any remedy for the claim against the Company or any Group Company. The Executive acknowledges and accepts that in agreeing to the severance arrangements set out in Clause 3 of the Separation and Settlement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79" w:right="239" w:bottom="1440" w:gutter="0" w:footer="0" w:header="0"/>
        </w:sectPr>
      </w:pPr>
    </w:p>
    <w:bookmarkStart w:id="137" w:name="page138"/>
    <w:bookmarkEnd w:id="137"/>
    <w:p>
      <w:pPr>
        <w:ind w:left="620"/>
        <w:spacing w:after="0" w:line="246" w:lineRule="auto"/>
        <w:rPr>
          <w:sz w:val="20"/>
          <w:szCs w:val="20"/>
          <w:color w:val="auto"/>
        </w:rPr>
      </w:pPr>
      <w:r>
        <w:rPr>
          <w:rFonts w:ascii="Arial" w:cs="Arial" w:eastAsia="Arial" w:hAnsi="Arial"/>
          <w:sz w:val="20"/>
          <w:szCs w:val="20"/>
          <w:color w:val="auto"/>
        </w:rPr>
        <w:t>he has taken into account that he has waived the right to pursue any such claims, whether foreseeable or not previously known, against the Company or any Group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Confirmation of advice for Reaffirmation Waiver and Release of Claims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________________________ whose address is ______________________________________ confirm that I gave independent legal advice</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to Alistair Simpson of 37 Sydney Road, Richmond, TW9 1UB as to the terms and effect of the above Release to which this certificate is attached in particular as to its effect on his ability to pursue his rights, in particular the Claims and Further Claims specified in clause 3.1 above before a Court of competent jurisdiction or Employment Tribunal.</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 confirm that I am a solicitor of the Senior Courts holding a current practising certificate and that the statutory requirements relating to settlement agreements set out in the Acts (as defined in the Agreement) have been met. I confirm further, that there was in force at the time I gave the advice referred to above a policy of insurance covering the risk of a claim by Alistair Simpson in respect of any loss arising in consequence of that advice.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Signed: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5" w:right="23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b w:val="1"/>
          <w:bCs w:val="1"/>
          <w:color w:val="auto"/>
        </w:rPr>
        <w:t xml:space="preserve">IN WITNESS </w:t>
      </w:r>
      <w:r>
        <w:rPr>
          <w:rFonts w:ascii="Arial" w:cs="Arial" w:eastAsia="Arial" w:hAnsi="Arial"/>
          <w:sz w:val="16"/>
          <w:szCs w:val="16"/>
          <w:color w:val="auto"/>
        </w:rPr>
        <w:t>of which this Release has been executed and delivered as a deed on the first date written above.</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color w:val="auto"/>
        </w:rPr>
        <w:t>EXECUTED as a Deed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b w:val="1"/>
          <w:bCs w:val="1"/>
          <w:color w:val="auto"/>
        </w:rPr>
        <w:t>ALISTAIR SIMPSON</w:t>
      </w:r>
    </w:p>
    <w:tbl>
      <w:tblPr>
        <w:tblLayout w:type="fixed"/>
        <w:tblInd w:w="0" w:type="dxa"/>
        <w:tblCellMar>
          <w:top w:w="0" w:type="dxa"/>
          <w:left w:w="0" w:type="dxa"/>
          <w:bottom w:w="0" w:type="dxa"/>
          <w:right w:w="0" w:type="dxa"/>
        </w:tblCellMar>
      </w:tblPr>
      <w:tr>
        <w:trPr>
          <w:trHeight w:val="214"/>
        </w:trPr>
        <w:tc>
          <w:tcPr>
            <w:tcW w:w="2360" w:type="dxa"/>
            <w:vAlign w:val="bottom"/>
          </w:tcPr>
          <w:p>
            <w:pPr>
              <w:spacing w:after="0"/>
              <w:rPr>
                <w:sz w:val="18"/>
                <w:szCs w:val="18"/>
                <w:color w:val="auto"/>
              </w:rPr>
            </w:pPr>
          </w:p>
        </w:tc>
        <w:tc>
          <w:tcPr>
            <w:tcW w:w="4840" w:type="dxa"/>
            <w:vAlign w:val="bottom"/>
          </w:tcPr>
          <w:p>
            <w:pPr>
              <w:jc w:val="right"/>
              <w:ind w:right="561"/>
              <w:spacing w:after="0" w:line="213" w:lineRule="exact"/>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250"/>
        </w:trPr>
        <w:tc>
          <w:tcPr>
            <w:tcW w:w="2360" w:type="dxa"/>
            <w:vAlign w:val="bottom"/>
            <w:vMerge w:val="restart"/>
          </w:tcPr>
          <w:p>
            <w:pPr>
              <w:spacing w:after="0"/>
              <w:rPr>
                <w:sz w:val="20"/>
                <w:szCs w:val="20"/>
                <w:color w:val="auto"/>
              </w:rPr>
            </w:pPr>
            <w:r>
              <w:rPr>
                <w:rFonts w:ascii="Arial" w:cs="Arial" w:eastAsia="Arial" w:hAnsi="Arial"/>
                <w:sz w:val="20"/>
                <w:szCs w:val="20"/>
                <w:color w:val="auto"/>
              </w:rPr>
              <w:t>in the presence of:</w:t>
            </w:r>
          </w:p>
        </w:tc>
        <w:tc>
          <w:tcPr>
            <w:tcW w:w="4840" w:type="dxa"/>
            <w:vAlign w:val="bottom"/>
          </w:tcPr>
          <w:p>
            <w:pPr>
              <w:ind w:left="1560"/>
              <w:spacing w:after="0"/>
              <w:rPr>
                <w:sz w:val="20"/>
                <w:szCs w:val="20"/>
                <w:color w:val="auto"/>
              </w:rPr>
            </w:pPr>
            <w:r>
              <w:rPr>
                <w:rFonts w:ascii="Arial" w:cs="Arial" w:eastAsia="Arial" w:hAnsi="Arial"/>
                <w:sz w:val="20"/>
                <w:szCs w:val="20"/>
                <w:color w:val="auto"/>
              </w:rPr>
              <w:t>Alistair Simpson</w:t>
            </w:r>
          </w:p>
        </w:tc>
        <w:tc>
          <w:tcPr>
            <w:tcW w:w="0" w:type="dxa"/>
            <w:vAlign w:val="bottom"/>
          </w:tcPr>
          <w:p>
            <w:pPr>
              <w:spacing w:after="0"/>
              <w:rPr>
                <w:sz w:val="1"/>
                <w:szCs w:val="1"/>
                <w:color w:val="auto"/>
              </w:rPr>
            </w:pPr>
          </w:p>
        </w:tc>
      </w:tr>
      <w:tr>
        <w:trPr>
          <w:trHeight w:val="230"/>
        </w:trPr>
        <w:tc>
          <w:tcPr>
            <w:tcW w:w="2360" w:type="dxa"/>
            <w:vAlign w:val="bottom"/>
            <w:vMerge w:val="continue"/>
          </w:tcPr>
          <w:p>
            <w:pPr>
              <w:spacing w:after="0"/>
              <w:rPr>
                <w:sz w:val="19"/>
                <w:szCs w:val="19"/>
                <w:color w:val="auto"/>
              </w:rPr>
            </w:pPr>
          </w:p>
        </w:tc>
        <w:tc>
          <w:tcPr>
            <w:tcW w:w="4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2360" w:type="dxa"/>
            <w:vAlign w:val="bottom"/>
          </w:tcPr>
          <w:p>
            <w:pPr>
              <w:spacing w:after="0"/>
              <w:rPr>
                <w:sz w:val="20"/>
                <w:szCs w:val="20"/>
                <w:color w:val="auto"/>
              </w:rPr>
            </w:pPr>
            <w:r>
              <w:rPr>
                <w:rFonts w:ascii="Arial" w:cs="Arial" w:eastAsia="Arial" w:hAnsi="Arial"/>
                <w:sz w:val="20"/>
                <w:szCs w:val="20"/>
                <w:color w:val="auto"/>
              </w:rPr>
              <w:t>Witness’s</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360" w:type="dxa"/>
            <w:vAlign w:val="bottom"/>
          </w:tcPr>
          <w:p>
            <w:pPr>
              <w:spacing w:after="0"/>
              <w:rPr>
                <w:sz w:val="20"/>
                <w:szCs w:val="20"/>
                <w:color w:val="auto"/>
              </w:rPr>
            </w:pPr>
            <w:r>
              <w:rPr>
                <w:rFonts w:ascii="Arial" w:cs="Arial" w:eastAsia="Arial" w:hAnsi="Arial"/>
                <w:sz w:val="20"/>
                <w:szCs w:val="20"/>
                <w:color w:val="auto"/>
              </w:rPr>
              <w:t>Signature:</w:t>
            </w:r>
          </w:p>
        </w:tc>
        <w:tc>
          <w:tcPr>
            <w:tcW w:w="4840" w:type="dxa"/>
            <w:vAlign w:val="bottom"/>
          </w:tcPr>
          <w:p>
            <w:pPr>
              <w:jc w:val="right"/>
              <w:ind w:right="561"/>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446"/>
        </w:trPr>
        <w:tc>
          <w:tcPr>
            <w:tcW w:w="2360" w:type="dxa"/>
            <w:vAlign w:val="bottom"/>
          </w:tcPr>
          <w:p>
            <w:pPr>
              <w:spacing w:after="0"/>
              <w:rPr>
                <w:sz w:val="20"/>
                <w:szCs w:val="20"/>
                <w:color w:val="auto"/>
              </w:rPr>
            </w:pPr>
            <w:r>
              <w:rPr>
                <w:rFonts w:ascii="Arial" w:cs="Arial" w:eastAsia="Arial" w:hAnsi="Arial"/>
                <w:sz w:val="20"/>
                <w:szCs w:val="20"/>
                <w:color w:val="auto"/>
              </w:rPr>
              <w:t>Full Name:</w:t>
            </w:r>
          </w:p>
        </w:tc>
        <w:tc>
          <w:tcPr>
            <w:tcW w:w="4840" w:type="dxa"/>
            <w:vAlign w:val="bottom"/>
          </w:tcPr>
          <w:p>
            <w:pPr>
              <w:jc w:val="right"/>
              <w:ind w:right="561"/>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446"/>
        </w:trPr>
        <w:tc>
          <w:tcPr>
            <w:tcW w:w="2360" w:type="dxa"/>
            <w:vAlign w:val="bottom"/>
          </w:tcPr>
          <w:p>
            <w:pPr>
              <w:spacing w:after="0"/>
              <w:rPr>
                <w:sz w:val="20"/>
                <w:szCs w:val="20"/>
                <w:color w:val="auto"/>
              </w:rPr>
            </w:pPr>
            <w:r>
              <w:rPr>
                <w:rFonts w:ascii="Arial" w:cs="Arial" w:eastAsia="Arial" w:hAnsi="Arial"/>
                <w:sz w:val="20"/>
                <w:szCs w:val="20"/>
                <w:color w:val="auto"/>
              </w:rPr>
              <w:t>Address:</w:t>
            </w:r>
          </w:p>
        </w:tc>
        <w:tc>
          <w:tcPr>
            <w:tcW w:w="4840" w:type="dxa"/>
            <w:vAlign w:val="bottom"/>
          </w:tcPr>
          <w:p>
            <w:pPr>
              <w:jc w:val="right"/>
              <w:ind w:right="561"/>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446"/>
        </w:trPr>
        <w:tc>
          <w:tcPr>
            <w:tcW w:w="2360" w:type="dxa"/>
            <w:vAlign w:val="bottom"/>
          </w:tcPr>
          <w:p>
            <w:pPr>
              <w:spacing w:after="0"/>
              <w:rPr>
                <w:sz w:val="24"/>
                <w:szCs w:val="24"/>
                <w:color w:val="auto"/>
              </w:rPr>
            </w:pPr>
          </w:p>
        </w:tc>
        <w:tc>
          <w:tcPr>
            <w:tcW w:w="4840" w:type="dxa"/>
            <w:vAlign w:val="bottom"/>
          </w:tcPr>
          <w:p>
            <w:pPr>
              <w:ind w:left="156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446"/>
        </w:trPr>
        <w:tc>
          <w:tcPr>
            <w:tcW w:w="2360" w:type="dxa"/>
            <w:vAlign w:val="bottom"/>
          </w:tcPr>
          <w:p>
            <w:pPr>
              <w:spacing w:after="0"/>
              <w:rPr>
                <w:sz w:val="24"/>
                <w:szCs w:val="24"/>
                <w:color w:val="auto"/>
              </w:rPr>
            </w:pPr>
          </w:p>
        </w:tc>
        <w:tc>
          <w:tcPr>
            <w:tcW w:w="4840" w:type="dxa"/>
            <w:vAlign w:val="bottom"/>
          </w:tcPr>
          <w:p>
            <w:pPr>
              <w:ind w:left="156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008" w:right="1440"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of which this Agreement has been executed and delivered as a deed on the first date written above.</w:t>
      </w:r>
    </w:p>
    <w:p>
      <w:pPr>
        <w:sectPr>
          <w:pgSz w:w="11900" w:h="16838" w:orient="portrait"/>
          <w:cols w:equalWidth="0" w:num="1">
            <w:col w:w="10219"/>
          </w:cols>
          <w:pgMar w:left="240" w:top="10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EXECUTED </w:t>
      </w:r>
      <w:r>
        <w:rPr>
          <w:rFonts w:ascii="Arial" w:cs="Arial" w:eastAsia="Arial" w:hAnsi="Arial"/>
          <w:sz w:val="19"/>
          <w:szCs w:val="19"/>
          <w:color w:val="auto"/>
        </w:rPr>
        <w:t>as a Deed by</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DAMIEN McDONALD</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for and on behalf of</w:t>
      </w:r>
    </w:p>
    <w:p>
      <w:pPr>
        <w:spacing w:after="0"/>
        <w:rPr>
          <w:sz w:val="20"/>
          <w:szCs w:val="20"/>
          <w:color w:val="auto"/>
        </w:rPr>
      </w:pPr>
      <w:r>
        <w:rPr>
          <w:rFonts w:ascii="Arial" w:cs="Arial" w:eastAsia="Arial" w:hAnsi="Arial"/>
          <w:sz w:val="20"/>
          <w:szCs w:val="20"/>
          <w:b w:val="1"/>
          <w:bCs w:val="1"/>
          <w:color w:val="auto"/>
        </w:rPr>
        <w:t>LIVANOVA PLC</w:t>
      </w:r>
    </w:p>
    <w:p>
      <w:pPr>
        <w:spacing w:after="0"/>
        <w:rPr>
          <w:sz w:val="20"/>
          <w:szCs w:val="20"/>
          <w:color w:val="auto"/>
        </w:rPr>
      </w:pPr>
      <w:r>
        <w:rPr>
          <w:rFonts w:ascii="Arial" w:cs="Arial" w:eastAsia="Arial" w:hAnsi="Arial"/>
          <w:sz w:val="16"/>
          <w:szCs w:val="16"/>
          <w:color w:val="auto"/>
        </w:rPr>
        <w:t>in the presence of a 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Damien McDonald</w:t>
      </w:r>
    </w:p>
    <w:p>
      <w:pPr>
        <w:spacing w:after="0" w:line="1072" w:lineRule="exact"/>
        <w:rPr>
          <w:sz w:val="20"/>
          <w:szCs w:val="20"/>
          <w:color w:val="auto"/>
        </w:rPr>
      </w:pPr>
    </w:p>
    <w:p>
      <w:pPr>
        <w:sectPr>
          <w:pgSz w:w="11900" w:h="16838" w:orient="portrait"/>
          <w:cols w:equalWidth="0" w:num="2">
            <w:col w:w="2560" w:space="720"/>
            <w:col w:w="6939"/>
          </w:cols>
          <w:pgMar w:left="240" w:top="1008" w:right="1440" w:bottom="1440" w:gutter="0" w:footer="0" w:header="0"/>
          <w:type w:val="continuous"/>
        </w:sectPr>
      </w:pPr>
    </w:p>
    <w:p>
      <w:pPr>
        <w:spacing w:after="0" w:line="289"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_________________________________</w:t>
      </w:r>
    </w:p>
    <w:p>
      <w:pPr>
        <w:spacing w:after="0" w:line="62"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Witness</w:t>
      </w:r>
    </w:p>
    <w:p>
      <w:pPr>
        <w:sectPr>
          <w:pgSz w:w="11900" w:h="16838" w:orient="portrait"/>
          <w:cols w:equalWidth="0" w:num="1">
            <w:col w:w="10219"/>
          </w:cols>
          <w:pgMar w:left="240" w:top="1008" w:right="1440"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Full Name: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w:t>
      </w:r>
    </w:p>
    <w:p>
      <w:pPr>
        <w:spacing w:after="0" w:line="153" w:lineRule="exact"/>
        <w:rPr>
          <w:sz w:val="20"/>
          <w:szCs w:val="20"/>
          <w:color w:val="auto"/>
        </w:rPr>
      </w:pPr>
    </w:p>
    <w:p>
      <w:pPr>
        <w:sectPr>
          <w:pgSz w:w="11900" w:h="16838" w:orient="portrait"/>
          <w:cols w:equalWidth="0" w:num="2">
            <w:col w:w="2560" w:space="720"/>
            <w:col w:w="6939"/>
          </w:cols>
          <w:pgMar w:left="240" w:top="1008"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_________________________________</w:t>
      </w:r>
    </w:p>
    <w:p>
      <w:pPr>
        <w:spacing w:after="0" w:line="153" w:lineRule="exact"/>
        <w:rPr>
          <w:sz w:val="20"/>
          <w:szCs w:val="20"/>
          <w:color w:val="auto"/>
        </w:rPr>
      </w:pPr>
    </w:p>
    <w:p>
      <w:pPr>
        <w:sectPr>
          <w:pgSz w:w="11900" w:h="16838" w:orient="portrait"/>
          <w:cols w:equalWidth="0" w:num="2">
            <w:col w:w="2560" w:space="720"/>
            <w:col w:w="6939"/>
          </w:cols>
          <w:pgMar w:left="240" w:top="1008" w:right="1440" w:bottom="1440" w:gutter="0" w:footer="0" w:header="0"/>
          <w:type w:val="continuous"/>
        </w:sectPr>
      </w:pPr>
    </w:p>
    <w:p>
      <w:pPr>
        <w:ind w:left="3920"/>
        <w:spacing w:after="0"/>
        <w:rPr>
          <w:sz w:val="20"/>
          <w:szCs w:val="20"/>
          <w:color w:val="auto"/>
        </w:rPr>
      </w:pPr>
      <w:r>
        <w:rPr>
          <w:rFonts w:ascii="Arial" w:cs="Arial" w:eastAsia="Arial" w:hAnsi="Arial"/>
          <w:sz w:val="16"/>
          <w:szCs w:val="16"/>
          <w:color w:val="auto"/>
        </w:rPr>
        <w:t>_________________________________</w:t>
      </w:r>
    </w:p>
    <w:p>
      <w:pPr>
        <w:spacing w:after="0" w:line="154"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_________________________________</w:t>
      </w:r>
    </w:p>
    <w:p>
      <w:pPr>
        <w:sectPr>
          <w:pgSz w:w="11900" w:h="16838" w:orient="portrait"/>
          <w:cols w:equalWidth="0" w:num="1">
            <w:col w:w="10219"/>
          </w:cols>
          <w:pgMar w:left="240" w:top="100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EXECUTED </w:t>
      </w:r>
      <w:r>
        <w:rPr>
          <w:rFonts w:ascii="Arial" w:cs="Arial" w:eastAsia="Arial" w:hAnsi="Arial"/>
          <w:sz w:val="19"/>
          <w:szCs w:val="19"/>
          <w:color w:val="auto"/>
        </w:rPr>
        <w:t>as a Deed by</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ALISTAIR SIMPSON</w:t>
      </w:r>
    </w:p>
    <w:p>
      <w:pPr>
        <w:spacing w:after="0"/>
        <w:rPr>
          <w:sz w:val="20"/>
          <w:szCs w:val="20"/>
          <w:color w:val="auto"/>
        </w:rPr>
      </w:pPr>
      <w:r>
        <w:rPr>
          <w:rFonts w:ascii="Arial" w:cs="Arial" w:eastAsia="Arial" w:hAnsi="Arial"/>
          <w:sz w:val="16"/>
          <w:szCs w:val="16"/>
          <w:color w:val="auto"/>
        </w:rPr>
        <w:t>in the presence of a 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Alistair Simpson</w:t>
      </w:r>
    </w:p>
    <w:p>
      <w:pPr>
        <w:spacing w:after="0" w:line="200" w:lineRule="exact"/>
        <w:rPr>
          <w:sz w:val="20"/>
          <w:szCs w:val="20"/>
          <w:color w:val="auto"/>
        </w:rPr>
      </w:pPr>
    </w:p>
    <w:p>
      <w:pPr>
        <w:sectPr>
          <w:pgSz w:w="11900" w:h="16838" w:orient="portrait"/>
          <w:cols w:equalWidth="0" w:num="2">
            <w:col w:w="2560" w:space="720"/>
            <w:col w:w="6939"/>
          </w:cols>
          <w:pgMar w:left="240" w:top="1008" w:right="1440"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_________________________________</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Witness</w:t>
      </w:r>
    </w:p>
    <w:p>
      <w:pPr>
        <w:sectPr>
          <w:pgSz w:w="11900" w:h="16838" w:orient="portrait"/>
          <w:cols w:equalWidth="0" w:num="1">
            <w:col w:w="10219"/>
          </w:cols>
          <w:pgMar w:left="240" w:top="1008" w:right="1440"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Full Name: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w:t>
      </w:r>
    </w:p>
    <w:p>
      <w:pPr>
        <w:spacing w:after="0" w:line="153" w:lineRule="exact"/>
        <w:rPr>
          <w:sz w:val="20"/>
          <w:szCs w:val="20"/>
          <w:color w:val="auto"/>
        </w:rPr>
      </w:pPr>
    </w:p>
    <w:p>
      <w:pPr>
        <w:sectPr>
          <w:pgSz w:w="11900" w:h="16838" w:orient="portrait"/>
          <w:cols w:equalWidth="0" w:num="2">
            <w:col w:w="2560" w:space="720"/>
            <w:col w:w="6939"/>
          </w:cols>
          <w:pgMar w:left="240" w:top="1008"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_________________________________</w:t>
      </w:r>
    </w:p>
    <w:p>
      <w:pPr>
        <w:spacing w:after="0" w:line="153" w:lineRule="exact"/>
        <w:rPr>
          <w:sz w:val="20"/>
          <w:szCs w:val="20"/>
          <w:color w:val="auto"/>
        </w:rPr>
      </w:pPr>
    </w:p>
    <w:p>
      <w:pPr>
        <w:sectPr>
          <w:pgSz w:w="11900" w:h="16838" w:orient="portrait"/>
          <w:cols w:equalWidth="0" w:num="2">
            <w:col w:w="2560" w:space="720"/>
            <w:col w:w="6939"/>
          </w:cols>
          <w:pgMar w:left="240" w:top="1008" w:right="1440" w:bottom="1440" w:gutter="0" w:footer="0" w:header="0"/>
          <w:type w:val="continuous"/>
        </w:sectPr>
      </w:pPr>
    </w:p>
    <w:p>
      <w:pPr>
        <w:ind w:left="3920"/>
        <w:spacing w:after="0"/>
        <w:rPr>
          <w:sz w:val="20"/>
          <w:szCs w:val="20"/>
          <w:color w:val="auto"/>
        </w:rPr>
      </w:pPr>
      <w:r>
        <w:rPr>
          <w:rFonts w:ascii="Arial" w:cs="Arial" w:eastAsia="Arial" w:hAnsi="Arial"/>
          <w:sz w:val="16"/>
          <w:szCs w:val="16"/>
          <w:color w:val="auto"/>
        </w:rPr>
        <w:t>_________________________________</w:t>
      </w:r>
    </w:p>
    <w:p>
      <w:pPr>
        <w:spacing w:after="0" w:line="154"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008" w:right="1440" w:bottom="1440" w:gutter="0" w:footer="0" w:header="0"/>
          <w:type w:val="continuous"/>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t>Exhibit 10.47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Agreement</w:t>
      </w:r>
    </w:p>
    <w:p>
      <w:pPr>
        <w:spacing w:after="0" w:line="220" w:lineRule="exact"/>
        <w:rPr>
          <w:sz w:val="20"/>
          <w:szCs w:val="20"/>
          <w:color w:val="auto"/>
        </w:rPr>
      </w:pPr>
    </w:p>
    <w:p>
      <w:pPr>
        <w:ind w:right="60" w:firstLine="648"/>
        <w:spacing w:after="0" w:line="256" w:lineRule="auto"/>
        <w:rPr>
          <w:sz w:val="20"/>
          <w:szCs w:val="20"/>
          <w:color w:val="auto"/>
        </w:rPr>
      </w:pPr>
      <w:r>
        <w:rPr>
          <w:rFonts w:ascii="Arial" w:cs="Arial" w:eastAsia="Arial" w:hAnsi="Arial"/>
          <w:sz w:val="22"/>
          <w:szCs w:val="22"/>
          <w:color w:val="auto"/>
        </w:rPr>
        <w:t xml:space="preserve">This Agreement by and between </w:t>
      </w:r>
      <w:r>
        <w:rPr>
          <w:rFonts w:ascii="Arial" w:cs="Arial" w:eastAsia="Arial" w:hAnsi="Arial"/>
          <w:sz w:val="22"/>
          <w:szCs w:val="22"/>
          <w:b w:val="1"/>
          <w:bCs w:val="1"/>
          <w:color w:val="auto"/>
        </w:rPr>
        <w:t>Edward S. Andrle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xml:space="preserve">”), a resident of Houston, Texas, and </w:t>
      </w:r>
      <w:r>
        <w:rPr>
          <w:rFonts w:ascii="Arial" w:cs="Arial" w:eastAsia="Arial" w:hAnsi="Arial"/>
          <w:sz w:val="22"/>
          <w:szCs w:val="22"/>
          <w:b w:val="1"/>
          <w:bCs w:val="1"/>
          <w:color w:val="auto"/>
        </w:rPr>
        <w:t>LivaNova USA, Inc.</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LivaNova</w:t>
      </w:r>
      <w:r>
        <w:rPr>
          <w:rFonts w:ascii="Arial" w:cs="Arial" w:eastAsia="Arial" w:hAnsi="Arial"/>
          <w:sz w:val="22"/>
          <w:szCs w:val="22"/>
          <w:color w:val="auto"/>
        </w:rPr>
        <w:t>” or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 Delaware corporation, is made and effective on the day of December, 2019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collectively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49" w:lineRule="exact"/>
        <w:rPr>
          <w:sz w:val="20"/>
          <w:szCs w:val="20"/>
          <w:color w:val="auto"/>
        </w:rPr>
      </w:pPr>
    </w:p>
    <w:p>
      <w:pPr>
        <w:ind w:left="800" w:hanging="792"/>
        <w:spacing w:after="0"/>
        <w:tabs>
          <w:tab w:leader="none" w:pos="80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RECITALS</w:t>
      </w:r>
      <w:r>
        <w:rPr>
          <w:rFonts w:ascii="Arial" w:cs="Arial" w:eastAsia="Arial" w:hAnsi="Arial"/>
          <w:sz w:val="22"/>
          <w:szCs w:val="22"/>
          <w:color w:val="auto"/>
        </w:rPr>
        <w:t>:</w:t>
      </w:r>
    </w:p>
    <w:p>
      <w:pPr>
        <w:spacing w:after="0" w:line="206" w:lineRule="exact"/>
        <w:rPr>
          <w:sz w:val="20"/>
          <w:szCs w:val="20"/>
          <w:color w:val="auto"/>
        </w:rPr>
      </w:pPr>
    </w:p>
    <w:p>
      <w:pPr>
        <w:ind w:right="6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 of the Effective Date, Executive is employed by LivaNova as General Manager, Neuromodulation based in</w:t>
      </w:r>
      <w:r>
        <w:rPr>
          <w:rFonts w:ascii="Arial" w:cs="Arial" w:eastAsia="Arial" w:hAnsi="Arial"/>
          <w:sz w:val="22"/>
          <w:szCs w:val="22"/>
          <w:b w:val="1"/>
          <w:bCs w:val="1"/>
          <w:color w:val="auto"/>
        </w:rPr>
        <w:t xml:space="preserve"> </w:t>
      </w:r>
      <w:r>
        <w:rPr>
          <w:rFonts w:ascii="Arial" w:cs="Arial" w:eastAsia="Arial" w:hAnsi="Arial"/>
          <w:sz w:val="22"/>
          <w:szCs w:val="22"/>
          <w:color w:val="auto"/>
        </w:rPr>
        <w:t>Houston, Texas;</w:t>
      </w:r>
    </w:p>
    <w:p>
      <w:pPr>
        <w:spacing w:after="0" w:line="162" w:lineRule="exact"/>
        <w:rPr>
          <w:sz w:val="20"/>
          <w:szCs w:val="20"/>
          <w:color w:val="auto"/>
        </w:rPr>
      </w:pPr>
    </w:p>
    <w:p>
      <w:pPr>
        <w:ind w:right="1060" w:firstLine="648"/>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Executive’s employment relationship with the Company is governed by the terms of the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documentation (collectively, the “</w:t>
      </w:r>
      <w:r>
        <w:rPr>
          <w:rFonts w:ascii="Arial" w:cs="Arial" w:eastAsia="Arial" w:hAnsi="Arial"/>
          <w:sz w:val="21"/>
          <w:szCs w:val="21"/>
          <w:b w:val="1"/>
          <w:bCs w:val="1"/>
          <w:i w:val="1"/>
          <w:iCs w:val="1"/>
          <w:color w:val="auto"/>
        </w:rPr>
        <w:t>Employment Documentation</w:t>
      </w:r>
      <w:r>
        <w:rPr>
          <w:rFonts w:ascii="Arial" w:cs="Arial" w:eastAsia="Arial" w:hAnsi="Arial"/>
          <w:sz w:val="21"/>
          <w:szCs w:val="21"/>
          <w:color w:val="auto"/>
        </w:rPr>
        <w:t>”) to the extent currently applicable:</w:t>
      </w:r>
    </w:p>
    <w:p>
      <w:pPr>
        <w:spacing w:after="0" w:line="146"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Letter Agreement dated August 30, 2010 between Executive and Sorin Group USA, Inc.;</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Expatriate Assignment Letter dated December 29, 2010 between Executive and Sorin S.p.a.;</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Expatriate Assignment Extension Letter dated July 23, 2014 between Executive and Sorin S.p.a.;</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Severance Agreement dated February 26, 2015 between Executive and Sorin S.p.a.;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Repatriation Letter Agreement dated December 22, 2015 between Executive and LivaNova Plc;</w:t>
      </w:r>
    </w:p>
    <w:p>
      <w:pPr>
        <w:spacing w:after="0" w:line="214" w:lineRule="exact"/>
        <w:rPr>
          <w:sz w:val="20"/>
          <w:szCs w:val="20"/>
          <w:color w:val="auto"/>
        </w:rPr>
      </w:pPr>
    </w:p>
    <w:p>
      <w:pPr>
        <w:ind w:right="10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and the Company desire to plan for Executive’s transition to a new position with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for Executive’s eventual separation from the Company</w:t>
      </w:r>
      <w:r>
        <w:rPr>
          <w:rFonts w:ascii="Arial" w:cs="Arial" w:eastAsia="Arial" w:hAnsi="Arial"/>
          <w:sz w:val="19"/>
          <w:szCs w:val="19"/>
          <w:color w:val="auto"/>
        </w:rPr>
        <w:t>;</w:t>
      </w:r>
    </w:p>
    <w:p>
      <w:pPr>
        <w:spacing w:after="0" w:line="176" w:lineRule="exact"/>
        <w:rPr>
          <w:sz w:val="20"/>
          <w:szCs w:val="20"/>
          <w:color w:val="auto"/>
        </w:rPr>
      </w:pPr>
    </w:p>
    <w:p>
      <w:pPr>
        <w:ind w:left="420" w:hanging="412"/>
        <w:spacing w:after="0"/>
        <w:tabs>
          <w:tab w:leader="none" w:pos="42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SPECIFIC TERMS</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for a good and valuable consideration, the receipt and sufficiency of which is hereby acknowledged,</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Executive and LivaNova agree as follows:</w:t>
      </w:r>
    </w:p>
    <w:p>
      <w:pPr>
        <w:spacing w:after="0" w:line="202" w:lineRule="exact"/>
        <w:rPr>
          <w:sz w:val="20"/>
          <w:szCs w:val="20"/>
          <w:color w:val="auto"/>
        </w:rPr>
      </w:pPr>
    </w:p>
    <w:p>
      <w:pPr>
        <w:ind w:left="1040" w:hanging="384"/>
        <w:spacing w:after="0"/>
        <w:tabs>
          <w:tab w:leader="none" w:pos="1040" w:val="left"/>
        </w:tabs>
        <w:numPr>
          <w:ilvl w:val="0"/>
          <w:numId w:val="57"/>
        </w:numPr>
        <w:rPr>
          <w:rFonts w:ascii="Arial" w:cs="Arial" w:eastAsia="Arial" w:hAnsi="Arial"/>
          <w:sz w:val="22"/>
          <w:szCs w:val="22"/>
          <w:b w:val="1"/>
          <w:bCs w:val="1"/>
          <w:color w:val="auto"/>
        </w:rPr>
      </w:pPr>
      <w:r>
        <w:rPr>
          <w:rFonts w:ascii="Arial" w:cs="Arial" w:eastAsia="Arial" w:hAnsi="Arial"/>
          <w:sz w:val="22"/>
          <w:szCs w:val="22"/>
          <w:u w:val="single" w:color="auto"/>
          <w:color w:val="auto"/>
        </w:rPr>
        <w:t>Terms of Employment During Transition Period</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1960" w:right="280" w:hanging="655"/>
        <w:spacing w:after="0" w:line="263" w:lineRule="auto"/>
        <w:tabs>
          <w:tab w:leader="none" w:pos="1960" w:val="left"/>
        </w:tabs>
        <w:numPr>
          <w:ilvl w:val="1"/>
          <w:numId w:val="57"/>
        </w:numPr>
        <w:rPr>
          <w:rFonts w:ascii="Arial" w:cs="Arial" w:eastAsia="Arial" w:hAnsi="Arial"/>
          <w:sz w:val="21"/>
          <w:szCs w:val="21"/>
          <w:color w:val="auto"/>
        </w:rPr>
      </w:pPr>
      <w:r>
        <w:rPr>
          <w:rFonts w:ascii="Arial" w:cs="Arial" w:eastAsia="Arial" w:hAnsi="Arial"/>
          <w:sz w:val="21"/>
          <w:szCs w:val="21"/>
          <w:u w:val="single" w:color="auto"/>
          <w:color w:val="auto"/>
        </w:rPr>
        <w:t>Transition to New Position</w:t>
      </w:r>
      <w:r>
        <w:rPr>
          <w:rFonts w:ascii="Arial" w:cs="Arial" w:eastAsia="Arial" w:hAnsi="Arial"/>
          <w:sz w:val="21"/>
          <w:szCs w:val="21"/>
          <w:color w:val="auto"/>
        </w:rPr>
        <w:t>. Effective at 12:01 a.m. on January 1, 2020, and pursuant to the Executive’s execution of this Agreement, the Executive will resign his position as General Manager, Neuromodulation and assume the position as Senior Advisor, continuing to be employed by the Company. Between the Effective Date and January 1, 2020, Executive agrees to assist with the transition of his current responsibilities to a successor appointed by LivaNova Plc.</w:t>
      </w:r>
    </w:p>
    <w:p>
      <w:pPr>
        <w:sectPr>
          <w:pgSz w:w="11900" w:h="16838" w:orient="portrait"/>
          <w:cols w:equalWidth="0" w:num="1">
            <w:col w:w="11420"/>
          </w:cols>
          <w:pgMar w:left="240" w:top="126" w:right="239" w:bottom="1440" w:gutter="0" w:footer="0" w:header="0"/>
        </w:sectPr>
      </w:pPr>
    </w:p>
    <w:bookmarkStart w:id="141" w:name="page142"/>
    <w:bookmarkEnd w:id="141"/>
    <w:p>
      <w:pPr>
        <w:ind w:left="1944" w:right="140" w:hanging="647"/>
        <w:spacing w:after="0" w:line="253" w:lineRule="auto"/>
        <w:tabs>
          <w:tab w:leader="none" w:pos="1944" w:val="left"/>
        </w:tabs>
        <w:numPr>
          <w:ilvl w:val="2"/>
          <w:numId w:val="58"/>
        </w:numPr>
        <w:rPr>
          <w:rFonts w:ascii="Arial" w:cs="Arial" w:eastAsia="Arial" w:hAnsi="Arial"/>
          <w:sz w:val="22"/>
          <w:szCs w:val="22"/>
          <w:color w:val="auto"/>
        </w:rPr>
      </w:pPr>
      <w:r>
        <w:rPr>
          <w:rFonts w:ascii="Arial" w:cs="Arial" w:eastAsia="Arial" w:hAnsi="Arial"/>
          <w:sz w:val="22"/>
          <w:szCs w:val="22"/>
          <w:color w:val="auto"/>
        </w:rPr>
        <w:t>For fiscal year 2019, Executive shall receive his annual bonus, the target amount of which is 65% of his annual base salary, no later than April 30, 2020 according to the terms of the 2019 ELT Short-Term Incentive Plan.</w:t>
      </w:r>
    </w:p>
    <w:p>
      <w:pPr>
        <w:spacing w:after="0" w:line="185" w:lineRule="exact"/>
        <w:rPr>
          <w:rFonts w:ascii="Arial" w:cs="Arial" w:eastAsia="Arial" w:hAnsi="Arial"/>
          <w:sz w:val="22"/>
          <w:szCs w:val="22"/>
          <w:color w:val="auto"/>
        </w:rPr>
      </w:pPr>
    </w:p>
    <w:p>
      <w:pPr>
        <w:ind w:left="1304" w:right="20" w:hanging="655"/>
        <w:spacing w:after="0" w:line="263" w:lineRule="auto"/>
        <w:tabs>
          <w:tab w:leader="none" w:pos="1304"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Employment as Senior Advisor</w:t>
      </w:r>
      <w:r>
        <w:rPr>
          <w:rFonts w:ascii="Arial" w:cs="Arial" w:eastAsia="Arial" w:hAnsi="Arial"/>
          <w:sz w:val="22"/>
          <w:szCs w:val="22"/>
          <w:color w:val="auto"/>
        </w:rPr>
        <w:t>. As Senior Advisor, Executive shall report to Damien McDonald or someone designated by Mr. McDonald (“</w:t>
      </w:r>
      <w:r>
        <w:rPr>
          <w:rFonts w:ascii="Arial" w:cs="Arial" w:eastAsia="Arial" w:hAnsi="Arial"/>
          <w:sz w:val="22"/>
          <w:szCs w:val="22"/>
          <w:b w:val="1"/>
          <w:bCs w:val="1"/>
          <w:i w:val="1"/>
          <w:iCs w:val="1"/>
          <w:color w:val="auto"/>
        </w:rPr>
        <w:t>Manager</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944" w:right="280" w:hanging="647"/>
        <w:spacing w:after="0" w:line="253" w:lineRule="auto"/>
        <w:tabs>
          <w:tab w:leader="none" w:pos="1944" w:val="left"/>
        </w:tabs>
        <w:numPr>
          <w:ilvl w:val="2"/>
          <w:numId w:val="59"/>
        </w:numPr>
        <w:rPr>
          <w:rFonts w:ascii="Arial" w:cs="Arial" w:eastAsia="Arial" w:hAnsi="Arial"/>
          <w:sz w:val="22"/>
          <w:szCs w:val="22"/>
          <w:color w:val="auto"/>
        </w:rPr>
      </w:pPr>
      <w:r>
        <w:rPr>
          <w:rFonts w:ascii="Arial" w:cs="Arial" w:eastAsia="Arial" w:hAnsi="Arial"/>
          <w:sz w:val="22"/>
          <w:szCs w:val="22"/>
          <w:color w:val="auto"/>
        </w:rPr>
        <w:t>Executive’s annual base salary as Senior Advisor shall be $440,000, payable bi-weekly, less withholding for federal, state or local taxes as may be required by law or applicable regulation and deductions as requested or agreed by Executive.</w:t>
      </w:r>
    </w:p>
    <w:p>
      <w:pPr>
        <w:spacing w:after="0" w:line="185" w:lineRule="exact"/>
        <w:rPr>
          <w:rFonts w:ascii="Arial" w:cs="Arial" w:eastAsia="Arial" w:hAnsi="Arial"/>
          <w:sz w:val="22"/>
          <w:szCs w:val="22"/>
          <w:color w:val="auto"/>
        </w:rPr>
      </w:pPr>
    </w:p>
    <w:p>
      <w:pPr>
        <w:ind w:left="1944" w:right="80" w:hanging="647"/>
        <w:spacing w:after="0" w:line="297" w:lineRule="auto"/>
        <w:tabs>
          <w:tab w:leader="none" w:pos="1944" w:val="left"/>
        </w:tabs>
        <w:numPr>
          <w:ilvl w:val="2"/>
          <w:numId w:val="59"/>
        </w:numPr>
        <w:rPr>
          <w:rFonts w:ascii="Arial" w:cs="Arial" w:eastAsia="Arial" w:hAnsi="Arial"/>
          <w:sz w:val="19"/>
          <w:szCs w:val="19"/>
          <w:color w:val="auto"/>
        </w:rPr>
      </w:pPr>
      <w:r>
        <w:rPr>
          <w:rFonts w:ascii="Arial" w:cs="Arial" w:eastAsia="Arial" w:hAnsi="Arial"/>
          <w:sz w:val="19"/>
          <w:szCs w:val="19"/>
          <w:color w:val="auto"/>
        </w:rPr>
        <w:t>Executive shall receive an annual bonus for fiscal year 2020, prorated for the period of his employment during 2020, the target amount of which is 65% of his annual base salary. Executive’s fiscal year 2020 bonus shall be payable in April, 2021 according to the terms of the 2020 ELT Short-Term Incentive Plan, which is subject to the approval of the Compensation Committee of the LivaNova Plc Board of Directors in the first quarter of fiscal year 2020.</w:t>
      </w:r>
    </w:p>
    <w:p>
      <w:pPr>
        <w:spacing w:after="0" w:line="147" w:lineRule="exact"/>
        <w:rPr>
          <w:rFonts w:ascii="Arial" w:cs="Arial" w:eastAsia="Arial" w:hAnsi="Arial"/>
          <w:sz w:val="19"/>
          <w:szCs w:val="19"/>
          <w:color w:val="auto"/>
        </w:rPr>
      </w:pPr>
    </w:p>
    <w:p>
      <w:pPr>
        <w:ind w:left="1944" w:right="200" w:hanging="647"/>
        <w:spacing w:after="0" w:line="263" w:lineRule="auto"/>
        <w:tabs>
          <w:tab w:leader="none" w:pos="1944" w:val="left"/>
        </w:tabs>
        <w:numPr>
          <w:ilvl w:val="2"/>
          <w:numId w:val="59"/>
        </w:numPr>
        <w:rPr>
          <w:rFonts w:ascii="Arial" w:cs="Arial" w:eastAsia="Arial" w:hAnsi="Arial"/>
          <w:sz w:val="22"/>
          <w:szCs w:val="22"/>
          <w:color w:val="auto"/>
        </w:rPr>
      </w:pPr>
      <w:r>
        <w:rPr>
          <w:rFonts w:ascii="Arial" w:cs="Arial" w:eastAsia="Arial" w:hAnsi="Arial"/>
          <w:sz w:val="22"/>
          <w:szCs w:val="22"/>
          <w:color w:val="auto"/>
        </w:rPr>
        <w:t>Executive shall not be eligible to receive any equity awards under the LivaNova Plc 2015 Incentive Award Plan after the Effective Date of this Agreement.</w:t>
      </w:r>
    </w:p>
    <w:p>
      <w:pPr>
        <w:spacing w:after="0" w:line="174" w:lineRule="exact"/>
        <w:rPr>
          <w:rFonts w:ascii="Arial" w:cs="Arial" w:eastAsia="Arial" w:hAnsi="Arial"/>
          <w:sz w:val="22"/>
          <w:szCs w:val="22"/>
          <w:color w:val="auto"/>
        </w:rPr>
      </w:pPr>
    </w:p>
    <w:p>
      <w:pPr>
        <w:ind w:left="1304" w:right="160" w:hanging="655"/>
        <w:spacing w:after="0" w:line="263" w:lineRule="auto"/>
        <w:tabs>
          <w:tab w:leader="none" w:pos="1304"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Termination Date</w:t>
      </w:r>
      <w:r>
        <w:rPr>
          <w:rFonts w:ascii="Arial" w:cs="Arial" w:eastAsia="Arial" w:hAnsi="Arial"/>
          <w:sz w:val="22"/>
          <w:szCs w:val="22"/>
          <w:color w:val="auto"/>
        </w:rPr>
        <w:t>. Executive’s last day of employment with the Company and its affiliates shall be June 30, 2020 (“Termination Date”).</w:t>
      </w:r>
    </w:p>
    <w:p>
      <w:pPr>
        <w:spacing w:after="0" w:line="174" w:lineRule="exact"/>
        <w:rPr>
          <w:rFonts w:ascii="Arial" w:cs="Arial" w:eastAsia="Arial" w:hAnsi="Arial"/>
          <w:sz w:val="22"/>
          <w:szCs w:val="22"/>
          <w:color w:val="auto"/>
        </w:rPr>
      </w:pPr>
    </w:p>
    <w:p>
      <w:pPr>
        <w:ind w:left="1304" w:hanging="655"/>
        <w:spacing w:after="0" w:line="259" w:lineRule="auto"/>
        <w:tabs>
          <w:tab w:leader="none" w:pos="1304" w:val="left"/>
        </w:tabs>
        <w:numPr>
          <w:ilvl w:val="1"/>
          <w:numId w:val="59"/>
        </w:numPr>
        <w:rPr>
          <w:rFonts w:ascii="Arial" w:cs="Arial" w:eastAsia="Arial" w:hAnsi="Arial"/>
          <w:sz w:val="21"/>
          <w:szCs w:val="21"/>
          <w:color w:val="auto"/>
        </w:rPr>
      </w:pPr>
      <w:r>
        <w:rPr>
          <w:rFonts w:ascii="Arial" w:cs="Arial" w:eastAsia="Arial" w:hAnsi="Arial"/>
          <w:sz w:val="21"/>
          <w:szCs w:val="21"/>
          <w:u w:val="single" w:color="auto"/>
          <w:color w:val="auto"/>
        </w:rPr>
        <w:t>Restriction on Competition</w:t>
      </w:r>
      <w:r>
        <w:rPr>
          <w:rFonts w:ascii="Arial" w:cs="Arial" w:eastAsia="Arial" w:hAnsi="Arial"/>
          <w:sz w:val="21"/>
          <w:szCs w:val="21"/>
          <w:color w:val="auto"/>
        </w:rPr>
        <w:t>. The Executive agrees that he will not, prior to February 15, 2021, serve as an employee, consultant, board member, or non-executive director for any entity that is engaged in the development, manufacture, distribution, marketing, or sale of any product or service that is or seeks to be in competition with a product or service offered or under development by the Company during the term of Executive’s employment by the Company. The Executive acknowledges that all unvested equity awards shall be forfeited immediately for no additional consideration if the Executive engages in any employment or business activities for himself or on behalf of any enterprise in any capacity which violates the restrictions set forth in this section of the Agreement.</w:t>
      </w:r>
    </w:p>
    <w:p>
      <w:pPr>
        <w:spacing w:after="0" w:line="184" w:lineRule="exact"/>
        <w:rPr>
          <w:rFonts w:ascii="Arial" w:cs="Arial" w:eastAsia="Arial" w:hAnsi="Arial"/>
          <w:sz w:val="21"/>
          <w:szCs w:val="21"/>
          <w:color w:val="auto"/>
        </w:rPr>
      </w:pPr>
    </w:p>
    <w:p>
      <w:pPr>
        <w:ind w:left="644" w:hanging="644"/>
        <w:spacing w:after="0"/>
        <w:tabs>
          <w:tab w:leader="none" w:pos="644" w:val="left"/>
        </w:tabs>
        <w:numPr>
          <w:ilvl w:val="0"/>
          <w:numId w:val="60"/>
        </w:numPr>
        <w:rPr>
          <w:rFonts w:ascii="Arial" w:cs="Arial" w:eastAsia="Arial" w:hAnsi="Arial"/>
          <w:sz w:val="22"/>
          <w:szCs w:val="22"/>
          <w:b w:val="1"/>
          <w:bCs w:val="1"/>
          <w:color w:val="auto"/>
        </w:rPr>
      </w:pPr>
      <w:r>
        <w:rPr>
          <w:rFonts w:ascii="Arial" w:cs="Arial" w:eastAsia="Arial" w:hAnsi="Arial"/>
          <w:sz w:val="22"/>
          <w:szCs w:val="22"/>
          <w:u w:val="single" w:color="auto"/>
          <w:color w:val="auto"/>
        </w:rPr>
        <w:t>Consideration</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1304" w:right="80" w:hanging="655"/>
        <w:spacing w:after="0" w:line="263" w:lineRule="auto"/>
        <w:tabs>
          <w:tab w:leader="none" w:pos="1304"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Executive shall receive a severance payment in the gross amount of $440,000.00 on the first payroll date following June 30, 2020.</w:t>
      </w:r>
    </w:p>
    <w:p>
      <w:pPr>
        <w:spacing w:after="0" w:line="391"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44"/>
          </w:cols>
          <w:pgMar w:left="896" w:top="348" w:right="259" w:bottom="1440" w:gutter="0" w:footer="0" w:header="0"/>
        </w:sectPr>
      </w:pPr>
    </w:p>
    <w:bookmarkStart w:id="142" w:name="page143"/>
    <w:bookmarkEnd w:id="142"/>
    <w:p>
      <w:pPr>
        <w:ind w:left="760" w:right="200" w:hanging="655"/>
        <w:spacing w:after="0" w:line="253" w:lineRule="auto"/>
        <w:tabs>
          <w:tab w:leader="none" w:pos="76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Payment for Restriction on Competition</w:t>
      </w:r>
      <w:r>
        <w:rPr>
          <w:rFonts w:ascii="Arial" w:cs="Arial" w:eastAsia="Arial" w:hAnsi="Arial"/>
          <w:sz w:val="22"/>
          <w:szCs w:val="22"/>
          <w:color w:val="auto"/>
        </w:rPr>
        <w:t>. Executive shall receive a payment in consideration of the Restriction on Competition in the gross amount of $453,750.00 on the first payroll date following February 15, 2021.</w:t>
      </w:r>
    </w:p>
    <w:p>
      <w:pPr>
        <w:spacing w:after="0" w:line="185" w:lineRule="exact"/>
        <w:rPr>
          <w:rFonts w:ascii="Arial" w:cs="Arial" w:eastAsia="Arial" w:hAnsi="Arial"/>
          <w:sz w:val="22"/>
          <w:szCs w:val="22"/>
          <w:color w:val="auto"/>
        </w:rPr>
      </w:pPr>
    </w:p>
    <w:p>
      <w:pPr>
        <w:ind w:left="760" w:right="20" w:hanging="655"/>
        <w:spacing w:after="0" w:line="259" w:lineRule="auto"/>
        <w:tabs>
          <w:tab w:leader="none" w:pos="760"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COBRA Benefit</w:t>
      </w:r>
      <w:r>
        <w:rPr>
          <w:rFonts w:ascii="Arial" w:cs="Arial" w:eastAsia="Arial" w:hAnsi="Arial"/>
          <w:sz w:val="21"/>
          <w:szCs w:val="21"/>
          <w:color w:val="auto"/>
        </w:rPr>
        <w:t>. Provided Executive and/or his eligible dependents timely elects to continue their healthcare coverage under the Company’s group health plan pursuant to the Consolidated Omnibus Reconciliation Act (“COBRA”), the Company shall reimburse Executive monthly for the costs he incurs to obtain such continued coverage for himself and his eligible dependents for a period of eight (8) months measured from Executive’s Termination Date. To the extent the coverage costs paid by the Company constitute taxable income to Executive, the Company shall report the reimbursement as taxable W-2 wages and collect the applicable withholding taxes, and any remaining tax liability shall be Executive’s sole responsibility, provided that the reimbursed coverage costs shall not be considered as taxable income to Executive if such treatment is permissible under applicable law.</w:t>
      </w:r>
    </w:p>
    <w:p>
      <w:pPr>
        <w:spacing w:after="0" w:line="180" w:lineRule="exact"/>
        <w:rPr>
          <w:rFonts w:ascii="Arial" w:cs="Arial" w:eastAsia="Arial" w:hAnsi="Arial"/>
          <w:sz w:val="21"/>
          <w:szCs w:val="21"/>
          <w:color w:val="auto"/>
        </w:rPr>
      </w:pPr>
    </w:p>
    <w:p>
      <w:pPr>
        <w:ind w:left="760" w:right="120" w:hanging="655"/>
        <w:spacing w:after="0" w:line="289" w:lineRule="auto"/>
        <w:tabs>
          <w:tab w:leader="none" w:pos="76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Expatriate Tax Support</w:t>
      </w:r>
      <w:r>
        <w:rPr>
          <w:rFonts w:ascii="Arial" w:cs="Arial" w:eastAsia="Arial" w:hAnsi="Arial"/>
          <w:sz w:val="19"/>
          <w:szCs w:val="19"/>
          <w:color w:val="auto"/>
        </w:rPr>
        <w:t>. Executive and the Company anticipate that Executive’s tax obligations to Italy for the period of Executive’s expatriate service from 2011 through 2015 have been satisfied through the Company’s tax equalization program. In the event, however, that Executive requires assistance after the Termination Date with tax filings for the years of his expatriate service in Italy, the Company agrees to pay consulting fees up to $12,000 each year for expenses incurred by Executive in each of the years 2019, 2020, and 2021 for Executive’s required assistance. Executive agrees that any tax obligation to Italy for tax years 2011 through 2015 first demanded after the Termination Date shall be borne solely by Executive, with no recourse against the Company, and the Company hereby waives its right to reimbursement for any foreign tax credit due Executive as a consequence of any such tax obligation paid by Executive.</w:t>
      </w:r>
    </w:p>
    <w:p>
      <w:pPr>
        <w:spacing w:after="0" w:line="157" w:lineRule="exact"/>
        <w:rPr>
          <w:rFonts w:ascii="Arial" w:cs="Arial" w:eastAsia="Arial" w:hAnsi="Arial"/>
          <w:sz w:val="19"/>
          <w:szCs w:val="19"/>
          <w:color w:val="auto"/>
        </w:rPr>
      </w:pPr>
    </w:p>
    <w:p>
      <w:pPr>
        <w:ind w:left="760" w:right="40" w:hanging="655"/>
        <w:spacing w:after="0" w:line="263" w:lineRule="auto"/>
        <w:tabs>
          <w:tab w:leader="none" w:pos="760"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Equity Awards</w:t>
      </w:r>
      <w:r>
        <w:rPr>
          <w:rFonts w:ascii="Arial" w:cs="Arial" w:eastAsia="Arial" w:hAnsi="Arial"/>
          <w:sz w:val="21"/>
          <w:szCs w:val="21"/>
          <w:color w:val="auto"/>
        </w:rPr>
        <w:t>. Executive’s equity awards unvested as of the Effective Date shall continue to vest through the Termination Date. All equity awards not vested as of the Termination Date shall lapse, with the exception of the Performance Stock Units granted on March 15, 2018 and March 30, 2019, which will vest or lapse according to the terms of the awards. The Stock Appreciation Rights granted on October 19, 2015 are fully vested and exercisable until their expiration on October 19, 2020.</w:t>
      </w:r>
    </w:p>
    <w:p>
      <w:pPr>
        <w:spacing w:after="0" w:line="175" w:lineRule="exact"/>
        <w:rPr>
          <w:rFonts w:ascii="Arial" w:cs="Arial" w:eastAsia="Arial" w:hAnsi="Arial"/>
          <w:sz w:val="21"/>
          <w:szCs w:val="21"/>
          <w:color w:val="auto"/>
        </w:rPr>
      </w:pPr>
    </w:p>
    <w:p>
      <w:pPr>
        <w:ind w:left="760" w:hanging="655"/>
        <w:spacing w:after="0" w:line="253" w:lineRule="auto"/>
        <w:tabs>
          <w:tab w:leader="none" w:pos="76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Relocation Expenses</w:t>
      </w:r>
      <w:r>
        <w:rPr>
          <w:rFonts w:ascii="Arial" w:cs="Arial" w:eastAsia="Arial" w:hAnsi="Arial"/>
          <w:sz w:val="22"/>
          <w:szCs w:val="22"/>
          <w:color w:val="auto"/>
        </w:rPr>
        <w:t>. The Company will pay, or reimburse the Executive for, reasonable relocation expenses, incurred by the Executive in 2019 and 2020, not to exceed $25,000 in each such year, relating to his relocation</w:t>
      </w:r>
    </w:p>
    <w:p>
      <w:pPr>
        <w:spacing w:after="0" w:line="200" w:lineRule="exact"/>
        <w:rPr>
          <w:sz w:val="20"/>
          <w:szCs w:val="20"/>
          <w:color w:val="auto"/>
        </w:rPr>
      </w:pPr>
    </w:p>
    <w:p>
      <w:pPr>
        <w:spacing w:after="0" w:line="20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20"/>
          </w:cols>
          <w:pgMar w:left="1440" w:top="348" w:right="239" w:bottom="1440" w:gutter="0" w:footer="0" w:header="0"/>
        </w:sectPr>
      </w:pPr>
    </w:p>
    <w:bookmarkStart w:id="143" w:name="page144"/>
    <w:bookmarkEnd w:id="143"/>
    <w:p>
      <w:pPr>
        <w:ind w:left="1300"/>
        <w:spacing w:after="0"/>
        <w:rPr>
          <w:sz w:val="20"/>
          <w:szCs w:val="20"/>
          <w:color w:val="auto"/>
        </w:rPr>
      </w:pPr>
      <w:r>
        <w:rPr>
          <w:rFonts w:ascii="Arial" w:cs="Arial" w:eastAsia="Arial" w:hAnsi="Arial"/>
          <w:sz w:val="22"/>
          <w:szCs w:val="22"/>
          <w:color w:val="auto"/>
        </w:rPr>
        <w:t>from Houston, Texas to Sarasota, Florida, subject to the terms described below.</w:t>
      </w:r>
    </w:p>
    <w:p>
      <w:pPr>
        <w:spacing w:after="0" w:line="206" w:lineRule="exact"/>
        <w:rPr>
          <w:sz w:val="20"/>
          <w:szCs w:val="20"/>
          <w:color w:val="auto"/>
        </w:rPr>
      </w:pPr>
    </w:p>
    <w:p>
      <w:pPr>
        <w:ind w:left="1940" w:right="440" w:hanging="647"/>
        <w:spacing w:after="0" w:line="271" w:lineRule="auto"/>
        <w:tabs>
          <w:tab w:leader="none" w:pos="1940" w:val="left"/>
        </w:tabs>
        <w:numPr>
          <w:ilvl w:val="2"/>
          <w:numId w:val="62"/>
        </w:numPr>
        <w:rPr>
          <w:rFonts w:ascii="Arial" w:cs="Arial" w:eastAsia="Arial" w:hAnsi="Arial"/>
          <w:sz w:val="21"/>
          <w:szCs w:val="21"/>
          <w:color w:val="auto"/>
        </w:rPr>
      </w:pPr>
      <w:r>
        <w:rPr>
          <w:rFonts w:ascii="Arial" w:cs="Arial" w:eastAsia="Arial" w:hAnsi="Arial"/>
          <w:sz w:val="21"/>
          <w:szCs w:val="21"/>
          <w:color w:val="auto"/>
        </w:rPr>
        <w:t>Relocation expenses are the direct payment or reimbursement of costs directly related to moving Executive’s (and his family’s) personal and household goods and furniture from the family’s residence in Texas to the family’s residence in Florida (the “Moving Costs”).</w:t>
      </w:r>
    </w:p>
    <w:p>
      <w:pPr>
        <w:spacing w:after="0" w:line="167" w:lineRule="exact"/>
        <w:rPr>
          <w:rFonts w:ascii="Arial" w:cs="Arial" w:eastAsia="Arial" w:hAnsi="Arial"/>
          <w:sz w:val="21"/>
          <w:szCs w:val="21"/>
          <w:color w:val="auto"/>
        </w:rPr>
      </w:pPr>
    </w:p>
    <w:p>
      <w:pPr>
        <w:ind w:left="1940" w:right="80" w:hanging="647"/>
        <w:spacing w:after="0" w:line="250" w:lineRule="auto"/>
        <w:tabs>
          <w:tab w:leader="none" w:pos="1940" w:val="left"/>
        </w:tabs>
        <w:numPr>
          <w:ilvl w:val="2"/>
          <w:numId w:val="62"/>
        </w:numPr>
        <w:rPr>
          <w:rFonts w:ascii="Arial" w:cs="Arial" w:eastAsia="Arial" w:hAnsi="Arial"/>
          <w:sz w:val="22"/>
          <w:szCs w:val="22"/>
          <w:color w:val="auto"/>
        </w:rPr>
      </w:pPr>
      <w:r>
        <w:rPr>
          <w:rFonts w:ascii="Arial" w:cs="Arial" w:eastAsia="Arial" w:hAnsi="Arial"/>
          <w:sz w:val="22"/>
          <w:szCs w:val="22"/>
          <w:color w:val="auto"/>
        </w:rPr>
        <w:t>Executive must submit any request for payment or reimbursement of Moving Costs to the Company, no later than December 1, 2020. Moving Costs requests will be paid directly to the vendor or reimbursed to Executive as soon as reasonably practicable after approval by the Company, but in no event later than December 31, 2020.</w:t>
      </w:r>
    </w:p>
    <w:p>
      <w:pPr>
        <w:spacing w:after="0" w:line="188" w:lineRule="exact"/>
        <w:rPr>
          <w:rFonts w:ascii="Arial" w:cs="Arial" w:eastAsia="Arial" w:hAnsi="Arial"/>
          <w:sz w:val="22"/>
          <w:szCs w:val="22"/>
          <w:color w:val="auto"/>
        </w:rPr>
      </w:pPr>
    </w:p>
    <w:p>
      <w:pPr>
        <w:ind w:left="1300" w:right="80" w:hanging="655"/>
        <w:spacing w:after="0" w:line="312" w:lineRule="auto"/>
        <w:tabs>
          <w:tab w:leader="none" w:pos="1300"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Attorney Fees</w:t>
      </w:r>
      <w:r>
        <w:rPr>
          <w:rFonts w:ascii="Arial" w:cs="Arial" w:eastAsia="Arial" w:hAnsi="Arial"/>
          <w:sz w:val="19"/>
          <w:szCs w:val="19"/>
          <w:color w:val="auto"/>
        </w:rPr>
        <w:t>. The Company shall pay or the Executive shall be reimbursed for up to $15,000 of properly documented attorneys’ fees and costs incurred by Executive in connection with the negotiation, drafting and review of this Agreement, provided that any such payment will be made as soon as reasonably practicable.</w:t>
      </w:r>
    </w:p>
    <w:p>
      <w:pPr>
        <w:spacing w:after="0" w:line="133" w:lineRule="exact"/>
        <w:rPr>
          <w:rFonts w:ascii="Arial" w:cs="Arial" w:eastAsia="Arial" w:hAnsi="Arial"/>
          <w:sz w:val="19"/>
          <w:szCs w:val="19"/>
          <w:color w:val="auto"/>
        </w:rPr>
      </w:pPr>
    </w:p>
    <w:p>
      <w:pPr>
        <w:jc w:val="both"/>
        <w:ind w:left="1300" w:right="220" w:hanging="655"/>
        <w:spacing w:after="0" w:line="343" w:lineRule="auto"/>
        <w:tabs>
          <w:tab w:leader="none" w:pos="1300"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Future Inquiries</w:t>
      </w:r>
      <w:r>
        <w:rPr>
          <w:rFonts w:ascii="Arial" w:cs="Arial" w:eastAsia="Arial" w:hAnsi="Arial"/>
          <w:sz w:val="19"/>
          <w:szCs w:val="19"/>
          <w:color w:val="auto"/>
        </w:rPr>
        <w:t>. Executive shall direct all inquiries from prospective employers to Human Resources who will advise said prospective employers of Executive’s dates of service, positions held, and last salary only.</w:t>
      </w:r>
    </w:p>
    <w:p>
      <w:pPr>
        <w:spacing w:after="0" w:line="9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 xml:space="preserve">C.  </w:t>
      </w:r>
      <w:r>
        <w:rPr>
          <w:rFonts w:ascii="Arial" w:cs="Arial" w:eastAsia="Arial" w:hAnsi="Arial"/>
          <w:sz w:val="22"/>
          <w:szCs w:val="22"/>
          <w:b w:val="1"/>
          <w:bCs w:val="1"/>
          <w:u w:val="single" w:color="auto"/>
          <w:color w:val="auto"/>
        </w:rPr>
        <w:t>Protection of Company Interests and Miscellaneous Terms</w:t>
      </w:r>
      <w:r>
        <w:rPr>
          <w:rFonts w:ascii="Arial" w:cs="Arial" w:eastAsia="Arial" w:hAnsi="Arial"/>
          <w:sz w:val="22"/>
          <w:szCs w:val="22"/>
          <w:color w:val="auto"/>
        </w:rPr>
        <w:t>:</w:t>
      </w:r>
    </w:p>
    <w:p>
      <w:pPr>
        <w:spacing w:after="0" w:line="239" w:lineRule="exact"/>
        <w:rPr>
          <w:rFonts w:ascii="Arial" w:cs="Arial" w:eastAsia="Arial" w:hAnsi="Arial"/>
          <w:sz w:val="19"/>
          <w:szCs w:val="19"/>
          <w:color w:val="auto"/>
        </w:rPr>
      </w:pPr>
    </w:p>
    <w:p>
      <w:pPr>
        <w:ind w:left="1300" w:hanging="655"/>
        <w:spacing w:after="0"/>
        <w:tabs>
          <w:tab w:leader="none" w:pos="1300"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647"/>
        <w:spacing w:after="0" w:line="288" w:lineRule="auto"/>
        <w:tabs>
          <w:tab w:leader="none" w:pos="1940" w:val="left"/>
        </w:tabs>
        <w:numPr>
          <w:ilvl w:val="2"/>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any information that is not generally known or publicly disclosed by the Company relating to the Company’s existing or reasonably foreseeable business, such as information relating to business methods, personnel data, products and services, suppliers, customers, accounts, prospective customers and accounts, marketing and merchandising proposals and techniques, billing and pricing procedures, financial information, trade secrets, processes, discoveries, ideas, compilations, inventions and other information and improvements related to the Company’s business. Whether or not included in the foregoing definition, “Confidential Information” also includes, but is not limited to, the Company’s sales, clinical and engineering information, information about new or future products, the Company’s marketing plans and goals, lists of the Company’s customers, information regarding research and development, clinical trials, manufacturing processes, management systems,</w:t>
      </w:r>
    </w:p>
    <w:p>
      <w:pPr>
        <w:spacing w:after="0" w:line="37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20"/>
          </w:cols>
          <w:pgMar w:left="900" w:top="321" w:right="279" w:bottom="1440" w:gutter="0" w:footer="0" w:header="0"/>
        </w:sectPr>
      </w:pPr>
    </w:p>
    <w:bookmarkStart w:id="144" w:name="page145"/>
    <w:bookmarkEnd w:id="144"/>
    <w:p>
      <w:pPr>
        <w:ind w:left="1400" w:right="380"/>
        <w:spacing w:after="0" w:line="232" w:lineRule="auto"/>
        <w:rPr>
          <w:sz w:val="20"/>
          <w:szCs w:val="20"/>
          <w:color w:val="auto"/>
        </w:rPr>
      </w:pPr>
      <w:r>
        <w:rPr>
          <w:rFonts w:ascii="Arial" w:cs="Arial" w:eastAsia="Arial" w:hAnsi="Arial"/>
          <w:sz w:val="22"/>
          <w:szCs w:val="22"/>
          <w:color w:val="auto"/>
        </w:rPr>
        <w:t>computer software and programs, algorithms, hardware configurations and any other confidential information which provides the Company with a competitive advantage.</w:t>
      </w:r>
    </w:p>
    <w:p>
      <w:pPr>
        <w:spacing w:after="0" w:line="186" w:lineRule="exact"/>
        <w:rPr>
          <w:sz w:val="20"/>
          <w:szCs w:val="20"/>
          <w:color w:val="auto"/>
        </w:rPr>
      </w:pPr>
    </w:p>
    <w:p>
      <w:pPr>
        <w:ind w:left="1400" w:right="120" w:hanging="647"/>
        <w:spacing w:after="0" w:line="292" w:lineRule="auto"/>
        <w:tabs>
          <w:tab w:leader="none" w:pos="1400" w:val="left"/>
        </w:tabs>
        <w:numPr>
          <w:ilvl w:val="1"/>
          <w:numId w:val="65"/>
        </w:numPr>
        <w:rPr>
          <w:rFonts w:ascii="Arial" w:cs="Arial" w:eastAsia="Arial" w:hAnsi="Arial"/>
          <w:sz w:val="19"/>
          <w:szCs w:val="19"/>
          <w:color w:val="auto"/>
        </w:rPr>
      </w:pPr>
      <w:r>
        <w:rPr>
          <w:rFonts w:ascii="Arial" w:cs="Arial" w:eastAsia="Arial" w:hAnsi="Arial"/>
          <w:sz w:val="19"/>
          <w:szCs w:val="19"/>
          <w:color w:val="auto"/>
        </w:rPr>
        <w:t>Executive agrees that the Company has disclosed Confidential Information to Executive, and that Executive had access to the Company’s Confidential Information during his employment. Executive acknowledges and agrees that such Confidential Information is a business asset of the Company, the value of which can only be protected by maintaining the secrecy of such Confidential Information. Executive acknowledges that in the course of Executive’s engagement with the Company, Executive has established personal and professional contacts and relationships with the Company’s customers which represent valuable business assets of the Company.</w:t>
      </w:r>
    </w:p>
    <w:p>
      <w:pPr>
        <w:spacing w:after="0" w:line="151" w:lineRule="exact"/>
        <w:rPr>
          <w:rFonts w:ascii="Arial" w:cs="Arial" w:eastAsia="Arial" w:hAnsi="Arial"/>
          <w:sz w:val="19"/>
          <w:szCs w:val="19"/>
          <w:color w:val="auto"/>
        </w:rPr>
      </w:pPr>
    </w:p>
    <w:p>
      <w:pPr>
        <w:ind w:left="1400" w:right="120" w:hanging="647"/>
        <w:spacing w:after="0" w:line="253" w:lineRule="auto"/>
        <w:tabs>
          <w:tab w:leader="none" w:pos="1400" w:val="left"/>
        </w:tabs>
        <w:numPr>
          <w:ilvl w:val="1"/>
          <w:numId w:val="65"/>
        </w:numPr>
        <w:rPr>
          <w:rFonts w:ascii="Arial" w:cs="Arial" w:eastAsia="Arial" w:hAnsi="Arial"/>
          <w:sz w:val="22"/>
          <w:szCs w:val="22"/>
          <w:color w:val="auto"/>
        </w:rPr>
      </w:pPr>
      <w:r>
        <w:rPr>
          <w:rFonts w:ascii="Arial" w:cs="Arial" w:eastAsia="Arial" w:hAnsi="Arial"/>
          <w:sz w:val="22"/>
          <w:szCs w:val="22"/>
          <w:color w:val="auto"/>
        </w:rPr>
        <w:t>Executive shall not directly or indirectly use or disclose to any person any Confidential Information. Executive also will refrain from any act or omission that is reasonably likely to reduce the value to the Company of any Confidential Information.</w:t>
      </w:r>
    </w:p>
    <w:p>
      <w:pPr>
        <w:spacing w:after="0" w:line="185" w:lineRule="exact"/>
        <w:rPr>
          <w:rFonts w:ascii="Arial" w:cs="Arial" w:eastAsia="Arial" w:hAnsi="Arial"/>
          <w:sz w:val="22"/>
          <w:szCs w:val="22"/>
          <w:color w:val="auto"/>
        </w:rPr>
      </w:pPr>
    </w:p>
    <w:p>
      <w:pPr>
        <w:ind w:left="1400" w:right="100" w:hanging="647"/>
        <w:spacing w:after="0" w:line="250" w:lineRule="auto"/>
        <w:tabs>
          <w:tab w:leader="none" w:pos="1400" w:val="left"/>
        </w:tabs>
        <w:numPr>
          <w:ilvl w:val="1"/>
          <w:numId w:val="65"/>
        </w:numPr>
        <w:rPr>
          <w:rFonts w:ascii="Arial" w:cs="Arial" w:eastAsia="Arial" w:hAnsi="Arial"/>
          <w:sz w:val="22"/>
          <w:szCs w:val="22"/>
          <w:color w:val="auto"/>
        </w:rPr>
      </w:pPr>
      <w:r>
        <w:rPr>
          <w:rFonts w:ascii="Arial" w:cs="Arial" w:eastAsia="Arial" w:hAnsi="Arial"/>
          <w:sz w:val="22"/>
          <w:szCs w:val="22"/>
          <w:color w:val="auto"/>
        </w:rPr>
        <w:t>All records, files, documents, lists and other items containing Confidential Information which Executive prepared, used, or came in contact with during the term of his employment are the Company’s property. All such materials and any other the Company property shall be returned to the Company.</w:t>
      </w:r>
    </w:p>
    <w:p>
      <w:pPr>
        <w:spacing w:after="0" w:line="188" w:lineRule="exact"/>
        <w:rPr>
          <w:rFonts w:ascii="Arial" w:cs="Arial" w:eastAsia="Arial" w:hAnsi="Arial"/>
          <w:sz w:val="22"/>
          <w:szCs w:val="22"/>
          <w:color w:val="auto"/>
        </w:rPr>
      </w:pPr>
    </w:p>
    <w:p>
      <w:pPr>
        <w:ind w:left="1400" w:right="80" w:hanging="647"/>
        <w:spacing w:after="0" w:line="302" w:lineRule="auto"/>
        <w:tabs>
          <w:tab w:leader="none" w:pos="1400" w:val="left"/>
        </w:tabs>
        <w:numPr>
          <w:ilvl w:val="1"/>
          <w:numId w:val="65"/>
        </w:numPr>
        <w:rPr>
          <w:rFonts w:ascii="Arial" w:cs="Arial" w:eastAsia="Arial" w:hAnsi="Arial"/>
          <w:sz w:val="19"/>
          <w:szCs w:val="19"/>
          <w:color w:val="auto"/>
        </w:rPr>
      </w:pPr>
      <w:r>
        <w:rPr>
          <w:rFonts w:ascii="Arial" w:cs="Arial" w:eastAsia="Arial" w:hAnsi="Arial"/>
          <w:sz w:val="19"/>
          <w:szCs w:val="19"/>
          <w:color w:val="auto"/>
        </w:rPr>
        <w:t>Executive agrees to maintain the confidentiality of the existence and terms of this Release, and will not disclose the existence and terms of this Release except to the extent for the preparation and filing of his tax returns, or to other professional advisor(s). Executive shall advise such persons that the terms of this Release are confidential and must be treated as such by these persons.</w:t>
      </w:r>
    </w:p>
    <w:p>
      <w:pPr>
        <w:spacing w:after="0" w:line="142" w:lineRule="exact"/>
        <w:rPr>
          <w:rFonts w:ascii="Arial" w:cs="Arial" w:eastAsia="Arial" w:hAnsi="Arial"/>
          <w:sz w:val="19"/>
          <w:szCs w:val="19"/>
          <w:color w:val="auto"/>
        </w:rPr>
      </w:pPr>
    </w:p>
    <w:p>
      <w:pPr>
        <w:ind w:left="760" w:right="80" w:hanging="655"/>
        <w:spacing w:after="0" w:line="253" w:lineRule="auto"/>
        <w:tabs>
          <w:tab w:leader="none" w:pos="76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Waiver and Release of Claims</w:t>
      </w:r>
      <w:r>
        <w:rPr>
          <w:rFonts w:ascii="Arial" w:cs="Arial" w:eastAsia="Arial" w:hAnsi="Arial"/>
          <w:sz w:val="22"/>
          <w:szCs w:val="22"/>
          <w:color w:val="auto"/>
        </w:rPr>
        <w:t xml:space="preserve">. Executive agrees to execute the Waiver and Release of Claims, attached hereto as </w:t>
      </w:r>
      <w:r>
        <w:rPr>
          <w:rFonts w:ascii="Arial" w:cs="Arial" w:eastAsia="Arial" w:hAnsi="Arial"/>
          <w:sz w:val="22"/>
          <w:szCs w:val="22"/>
          <w:i w:val="1"/>
          <w:iCs w:val="1"/>
          <w:color w:val="auto"/>
        </w:rPr>
        <w:t>Exhibit A</w:t>
      </w:r>
      <w:r>
        <w:rPr>
          <w:rFonts w:ascii="Arial" w:cs="Arial" w:eastAsia="Arial" w:hAnsi="Arial"/>
          <w:sz w:val="22"/>
          <w:szCs w:val="22"/>
          <w:color w:val="auto"/>
        </w:rPr>
        <w:t>, and deliver the executed document to the Company’s Senior Vice President and General Counsel within the 30-day period preceding the Termination Date.</w:t>
      </w:r>
    </w:p>
    <w:p>
      <w:pPr>
        <w:spacing w:after="0" w:line="185" w:lineRule="exact"/>
        <w:rPr>
          <w:rFonts w:ascii="Arial" w:cs="Arial" w:eastAsia="Arial" w:hAnsi="Arial"/>
          <w:sz w:val="22"/>
          <w:szCs w:val="22"/>
          <w:color w:val="auto"/>
        </w:rPr>
      </w:pPr>
    </w:p>
    <w:p>
      <w:pPr>
        <w:ind w:left="760" w:hanging="655"/>
        <w:spacing w:after="0" w:line="253" w:lineRule="auto"/>
        <w:tabs>
          <w:tab w:leader="none" w:pos="76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Mutual Non-disparagement</w:t>
      </w:r>
      <w:r>
        <w:rPr>
          <w:rFonts w:ascii="Arial" w:cs="Arial" w:eastAsia="Arial" w:hAnsi="Arial"/>
          <w:sz w:val="22"/>
          <w:szCs w:val="22"/>
          <w:color w:val="auto"/>
        </w:rPr>
        <w:t>. Executive agrees not to disparage, demean or defame the Company or its affiliates, their products, services or employees in any way. The Company agrees not to disparage, demean or defame Executive in any way.</w:t>
      </w:r>
    </w:p>
    <w:p>
      <w:pPr>
        <w:spacing w:after="0" w:line="185" w:lineRule="exact"/>
        <w:rPr>
          <w:rFonts w:ascii="Arial" w:cs="Arial" w:eastAsia="Arial" w:hAnsi="Arial"/>
          <w:sz w:val="22"/>
          <w:szCs w:val="22"/>
          <w:color w:val="auto"/>
        </w:rPr>
      </w:pPr>
    </w:p>
    <w:p>
      <w:pPr>
        <w:ind w:left="760" w:hanging="655"/>
        <w:spacing w:after="0"/>
        <w:tabs>
          <w:tab w:leader="none" w:pos="76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Indemnification.</w:t>
      </w:r>
    </w:p>
    <w:p>
      <w:pPr>
        <w:spacing w:after="0" w:line="200" w:lineRule="exact"/>
        <w:rPr>
          <w:sz w:val="20"/>
          <w:szCs w:val="20"/>
          <w:color w:val="auto"/>
        </w:rPr>
      </w:pPr>
    </w:p>
    <w:p>
      <w:pPr>
        <w:spacing w:after="0" w:line="23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00"/>
          </w:cols>
          <w:pgMar w:left="1440" w:top="321" w:right="259" w:bottom="1440" w:gutter="0" w:footer="0" w:header="0"/>
        </w:sectPr>
      </w:pPr>
    </w:p>
    <w:bookmarkStart w:id="145" w:name="page146"/>
    <w:bookmarkEnd w:id="145"/>
    <w:p>
      <w:pPr>
        <w:jc w:val="both"/>
        <w:ind w:left="1400" w:hanging="647"/>
        <w:spacing w:after="0" w:line="284" w:lineRule="auto"/>
        <w:tabs>
          <w:tab w:leader="none" w:pos="1400" w:val="left"/>
        </w:tabs>
        <w:numPr>
          <w:ilvl w:val="1"/>
          <w:numId w:val="67"/>
        </w:numPr>
        <w:rPr>
          <w:rFonts w:ascii="Arial" w:cs="Arial" w:eastAsia="Arial" w:hAnsi="Arial"/>
          <w:sz w:val="19"/>
          <w:szCs w:val="19"/>
          <w:color w:val="auto"/>
        </w:rPr>
      </w:pPr>
      <w:r>
        <w:rPr>
          <w:rFonts w:ascii="Arial" w:cs="Arial" w:eastAsia="Arial" w:hAnsi="Arial"/>
          <w:sz w:val="19"/>
          <w:szCs w:val="19"/>
          <w:color w:val="auto"/>
        </w:rPr>
        <w:t>In the event that the Executive is made a party or threatened to be made a party to any action, suit or proceeding, whether civil, criminal, administrative or investigative (a “Proceeding”), other than any Proceeding initiated by the Executive or the Company related to any contest or dispute between the Executive and the Company with respect to this Agreement or the Executive’s employment hereunder, by reason of the fact that the Executive is or was a director or officer of the Company or any entity related to the Company, or is or was serving at the request of the Company as a director, officer, member, employee or agent of another corporation, a partnership, joint venture, trust or other enterprise related to the Company, the Executive shall be indemnified and held harmless by the Company to the maximum extent permitted under applicable law and the Company’s bylaws from and against any liabilities, costs, claims and expenses, including all costs and expenses incurred in defense of any Proceeding (including attorneys’ fees). To trigger these indemnity obligations of the Company, Executive shall notify the Company in writing within 20 days after Executive receives notice of the commencement of any action or other proceeding in respect to which indemnification may be sought hereunder, or within such lesser times as maybe provided by law for the defense of such action or proceeding. The Company shall, upon notice given within a reasonable time following the receipt by the Company of such notice from Executive, be entitled to assume the defense of such action or proceeding with counsel chosen by the Company, which may include counsel for the Company. Executive shall not, without the prior written consent of the Company, settle or compromise or consent to the entry of any judgment in any pending or threatened claim, action or proceeding to which Executive is a party. In the event the Company elects not to assume such defense, then the Company shall reimburse Executive for the reasonable costs and expenses incurred by the Executive in defense of such Proceeding (including attorneys’ fees) in advance of the final disposition of such litigation upon receipt by the Company of: (i) a written request for payment; (ii) appropriate documentation evidencing the incurrence, amount and nature of the costs and expenses for which payment is being sought; and (iii) an undertaking adequate under applicable law made by or on behalf of the Executive to repay the amounts so paid if it shall ultimately be determined that the Executive is not entitled to be indemnified by the Company under this Agreement.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760" w:right="240" w:hanging="655"/>
        <w:spacing w:after="0" w:line="287" w:lineRule="auto"/>
        <w:tabs>
          <w:tab w:leader="none" w:pos="760"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Mutual Release of Claims</w:t>
      </w:r>
      <w:r>
        <w:rPr>
          <w:rFonts w:ascii="Arial" w:cs="Arial" w:eastAsia="Arial" w:hAnsi="Arial"/>
          <w:sz w:val="21"/>
          <w:szCs w:val="21"/>
          <w:color w:val="auto"/>
        </w:rPr>
        <w:t>. By entering into this Agreement, the Company releases the Executive from any and all claims against the Executive which the Company might otherwise assert.</w:t>
      </w:r>
    </w:p>
    <w:p>
      <w:pPr>
        <w:spacing w:after="0" w:line="151" w:lineRule="exact"/>
        <w:rPr>
          <w:rFonts w:ascii="Arial" w:cs="Arial" w:eastAsia="Arial" w:hAnsi="Arial"/>
          <w:sz w:val="21"/>
          <w:szCs w:val="21"/>
          <w:color w:val="auto"/>
        </w:rPr>
      </w:pPr>
    </w:p>
    <w:p>
      <w:pPr>
        <w:ind w:left="760" w:right="740" w:hanging="655"/>
        <w:spacing w:after="0" w:line="263" w:lineRule="auto"/>
        <w:tabs>
          <w:tab w:leader="none" w:pos="76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and enforced, in all respects, in accordance with the laws of the State of Texas</w:t>
      </w:r>
    </w:p>
    <w:p>
      <w:pPr>
        <w:spacing w:after="0" w:line="39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20"/>
          </w:cols>
          <w:pgMar w:left="1440" w:top="348" w:right="239" w:bottom="1440" w:gutter="0" w:footer="0" w:header="0"/>
        </w:sectPr>
      </w:pPr>
    </w:p>
    <w:bookmarkStart w:id="146" w:name="page147"/>
    <w:bookmarkEnd w:id="146"/>
    <w:p>
      <w:pPr>
        <w:ind w:left="760" w:right="60"/>
        <w:spacing w:after="0" w:line="232" w:lineRule="auto"/>
        <w:rPr>
          <w:sz w:val="20"/>
          <w:szCs w:val="20"/>
          <w:color w:val="auto"/>
        </w:rPr>
      </w:pPr>
      <w:r>
        <w:rPr>
          <w:rFonts w:ascii="Arial" w:cs="Arial" w:eastAsia="Arial" w:hAnsi="Arial"/>
          <w:sz w:val="22"/>
          <w:szCs w:val="22"/>
          <w:color w:val="auto"/>
        </w:rPr>
        <w:t>without regard to conflict of law principles unless preempted by federal law, in which case federal law shall govern.</w:t>
      </w:r>
    </w:p>
    <w:p>
      <w:pPr>
        <w:spacing w:after="0" w:line="186" w:lineRule="exact"/>
        <w:rPr>
          <w:sz w:val="20"/>
          <w:szCs w:val="20"/>
          <w:color w:val="auto"/>
        </w:rPr>
      </w:pPr>
    </w:p>
    <w:p>
      <w:pPr>
        <w:ind w:left="760" w:hanging="655"/>
        <w:spacing w:after="0" w:line="292" w:lineRule="auto"/>
        <w:tabs>
          <w:tab w:leader="none" w:pos="76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supersedes, replaces, and merges all previous agreements and discussions relating to Executive’s employment relationship with the Company and its subsidiaries, including the Employment Documentation and constitutes the entire agreement between Executive and the Company. The parties execute this Agreement without reliance on any representation or promise, of any kind or character, not expressly set forth herein. This Agreement may not be changed or terminated orally, and no change, termination, or waiver of this Agreement or any of the provisions herein contained shall be binding unless made in writing and signed by all parties, and in the case of the Company, by an authorized officer.</w:t>
      </w:r>
    </w:p>
    <w:p>
      <w:pPr>
        <w:spacing w:after="0" w:line="151" w:lineRule="exact"/>
        <w:rPr>
          <w:rFonts w:ascii="Arial" w:cs="Arial" w:eastAsia="Arial" w:hAnsi="Arial"/>
          <w:sz w:val="19"/>
          <w:szCs w:val="19"/>
          <w:color w:val="auto"/>
        </w:rPr>
      </w:pPr>
    </w:p>
    <w:p>
      <w:pPr>
        <w:ind w:left="760" w:right="80" w:hanging="655"/>
        <w:spacing w:after="0" w:line="294" w:lineRule="auto"/>
        <w:tabs>
          <w:tab w:leader="none" w:pos="76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required or permitted to be given under this Agreement shall be in writing and shall be deemed effectively given: (i) upon personal delivery to the party to be notified; (ii) when sent by confirmed facsimile if sent during normal business hours of the recipient, if not, then on the next business day; or (iii) on delivery by an internationally recognized overnight courier, with written verification of receipt. All communications shall be sent to the address set forth below or at such other address as the Company or Executive may designate by ten (10) days advance written notice to the other party.</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In the case of the Company to:</w:t>
      </w:r>
    </w:p>
    <w:p>
      <w:pPr>
        <w:spacing w:after="0" w:line="220"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20 Eastbourne Terrace</w:t>
      </w:r>
    </w:p>
    <w:p>
      <w:pPr>
        <w:spacing w:after="0" w:line="22"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London, W2 6LG</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United Kingdom</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Attention: Senior Vice President &amp; General Counsel</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Facsimile: +44 20 3325 0696</w:t>
      </w:r>
    </w:p>
    <w:p>
      <w:pPr>
        <w:spacing w:after="0" w:line="24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In the case of Executive to:</w:t>
      </w:r>
    </w:p>
    <w:p>
      <w:pPr>
        <w:spacing w:after="0" w:line="220"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100 Cyberonics Blvd</w:t>
      </w:r>
    </w:p>
    <w:p>
      <w:pPr>
        <w:spacing w:after="0" w:line="22"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Houston, TX 77058</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United States of America</w:t>
      </w:r>
    </w:p>
    <w:p>
      <w:pPr>
        <w:spacing w:after="0" w:line="4" w:lineRule="exact"/>
        <w:rPr>
          <w:sz w:val="20"/>
          <w:szCs w:val="20"/>
          <w:color w:val="auto"/>
        </w:rPr>
      </w:pPr>
    </w:p>
    <w:p>
      <w:pPr>
        <w:ind w:left="1400"/>
        <w:spacing w:after="0"/>
        <w:tabs>
          <w:tab w:leader="none" w:pos="2840" w:val="left"/>
        </w:tabs>
        <w:rPr>
          <w:sz w:val="20"/>
          <w:szCs w:val="20"/>
          <w:color w:val="auto"/>
        </w:rPr>
      </w:pPr>
      <w:r>
        <w:rPr>
          <w:rFonts w:ascii="Arial" w:cs="Arial" w:eastAsia="Arial" w:hAnsi="Arial"/>
          <w:sz w:val="22"/>
          <w:szCs w:val="22"/>
          <w:color w:val="auto"/>
        </w:rPr>
        <w:t>Facsimile: +1</w:t>
      </w:r>
      <w:r>
        <w:rPr>
          <w:sz w:val="20"/>
          <w:szCs w:val="20"/>
          <w:color w:val="auto"/>
        </w:rPr>
        <w:tab/>
      </w:r>
      <w:r>
        <w:rPr>
          <w:rFonts w:ascii="Arial" w:cs="Arial" w:eastAsia="Arial" w:hAnsi="Arial"/>
          <w:sz w:val="19"/>
          <w:szCs w:val="19"/>
          <w:color w:val="auto"/>
        </w:rPr>
        <w:t>(281) 853-1332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1675765</wp:posOffset>
            </wp:positionH>
            <wp:positionV relativeFrom="paragraph">
              <wp:posOffset>-29210</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Edward Andrle</w:t>
      </w:r>
    </w:p>
    <w:p>
      <w:pPr>
        <w:spacing w:after="0" w:line="22"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1400 EL Camino Village Dr., #2302</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Houston, TX 77058</w:t>
      </w:r>
    </w:p>
    <w:p>
      <w:pPr>
        <w:spacing w:after="0" w:line="200" w:lineRule="exact"/>
        <w:rPr>
          <w:sz w:val="20"/>
          <w:szCs w:val="20"/>
          <w:color w:val="auto"/>
        </w:rPr>
      </w:pPr>
    </w:p>
    <w:p>
      <w:pPr>
        <w:spacing w:after="0" w:line="258"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120"/>
          </w:cols>
          <w:pgMar w:left="1440" w:top="320" w:right="339" w:bottom="1440" w:gutter="0" w:footer="0" w:header="0"/>
        </w:sectPr>
      </w:pPr>
    </w:p>
    <w:bookmarkStart w:id="147" w:name="page148"/>
    <w:bookmarkEnd w:id="147"/>
    <w:p>
      <w:pPr>
        <w:ind w:left="76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Robert C. Castle, Esq.</w:t>
      </w:r>
    </w:p>
    <w:p>
      <w:pPr>
        <w:spacing w:after="0" w:line="22"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Fox Rothschild LLP</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Two22, Suite 2000</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222 S. 9th Street</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Minneapolis, MN 55402-3338</w:t>
      </w:r>
    </w:p>
    <w:p>
      <w:pPr>
        <w:spacing w:after="0" w:line="242" w:lineRule="exact"/>
        <w:rPr>
          <w:sz w:val="20"/>
          <w:szCs w:val="20"/>
          <w:color w:val="auto"/>
        </w:rPr>
      </w:pPr>
    </w:p>
    <w:p>
      <w:pPr>
        <w:ind w:left="760" w:hanging="655"/>
        <w:spacing w:after="0" w:line="312" w:lineRule="auto"/>
        <w:tabs>
          <w:tab w:leader="none" w:pos="76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payments and benefits under this Agreement are intended to be exempt from, or to the extent not so exempt, to comply with the requirements of Section 409A of the Internal Revenue Code (the “Code”) and this Agreement shall be construed and administered to give full effect to such intention. Further:</w:t>
      </w:r>
    </w:p>
    <w:p>
      <w:pPr>
        <w:spacing w:after="0" w:line="133" w:lineRule="exact"/>
        <w:rPr>
          <w:rFonts w:ascii="Arial" w:cs="Arial" w:eastAsia="Arial" w:hAnsi="Arial"/>
          <w:sz w:val="19"/>
          <w:szCs w:val="19"/>
          <w:color w:val="auto"/>
        </w:rPr>
      </w:pPr>
    </w:p>
    <w:p>
      <w:pPr>
        <w:ind w:left="1400" w:right="20" w:hanging="647"/>
        <w:spacing w:after="0" w:line="294" w:lineRule="auto"/>
        <w:tabs>
          <w:tab w:leader="none" w:pos="1400" w:val="left"/>
        </w:tabs>
        <w:numPr>
          <w:ilvl w:val="1"/>
          <w:numId w:val="70"/>
        </w:numPr>
        <w:rPr>
          <w:rFonts w:ascii="Arial" w:cs="Arial" w:eastAsia="Arial" w:hAnsi="Arial"/>
          <w:sz w:val="19"/>
          <w:szCs w:val="19"/>
          <w:color w:val="auto"/>
        </w:rPr>
      </w:pPr>
      <w:r>
        <w:rPr>
          <w:rFonts w:ascii="Arial" w:cs="Arial" w:eastAsia="Arial" w:hAnsi="Arial"/>
          <w:sz w:val="19"/>
          <w:szCs w:val="19"/>
          <w:color w:val="auto"/>
        </w:rPr>
        <w:t>All reimbursement or in-kind benefits under this Agreement (i) shall be payable in accordance with the Company’s policies in effect from time to time, but in any event shall be made on or prior to the last day of the taxable year following the taxable year such expenses were incurred by Executive; (ii) no such reimbursement or expenses eligible for reimbursement in any taxable year shall in any way affect the expenses eligible for reimbursement in any other taxable year; and (iii) the right to reimbursement or in-kind benefits shall not be subject to liquidation or exchanged for another benefit.</w:t>
      </w:r>
    </w:p>
    <w:p>
      <w:pPr>
        <w:spacing w:after="0" w:line="149" w:lineRule="exact"/>
        <w:rPr>
          <w:rFonts w:ascii="Arial" w:cs="Arial" w:eastAsia="Arial" w:hAnsi="Arial"/>
          <w:sz w:val="19"/>
          <w:szCs w:val="19"/>
          <w:color w:val="auto"/>
        </w:rPr>
      </w:pPr>
    </w:p>
    <w:p>
      <w:pPr>
        <w:ind w:left="1400" w:right="40" w:hanging="647"/>
        <w:spacing w:after="0" w:line="288" w:lineRule="auto"/>
        <w:tabs>
          <w:tab w:leader="none" w:pos="1400" w:val="left"/>
        </w:tabs>
        <w:numPr>
          <w:ilvl w:val="1"/>
          <w:numId w:val="70"/>
        </w:numPr>
        <w:rPr>
          <w:rFonts w:ascii="Arial" w:cs="Arial" w:eastAsia="Arial" w:hAnsi="Arial"/>
          <w:sz w:val="19"/>
          <w:szCs w:val="19"/>
          <w:color w:val="auto"/>
        </w:rPr>
      </w:pPr>
      <w:r>
        <w:rPr>
          <w:rFonts w:ascii="Arial" w:cs="Arial" w:eastAsia="Arial" w:hAnsi="Arial"/>
          <w:sz w:val="19"/>
          <w:szCs w:val="19"/>
          <w:color w:val="auto"/>
        </w:rPr>
        <w:t>If Executive is deemed on the date of termination to be a “specified employee” within the meaning of that term under Section 409A(a)(2)(B) of the Code, then notwithstanding any other provision herein, with regard to any payment or the provision of any benefit that is consider nonqualified deferred compensation under Section 409A payable on account of the Executive’s “separation from service,” such payment or benefit shall not be made or provided prior to the expiration of the six-month period measured from the date of such “separation from service” of Executive, and such earlier date permitted under Section 409A of the Code without the imposition of any penalties thereunder (the “Delay Period”). All payments and benefits delayed pursuant to this paragraph shall be paid to Executive in a lump sum on the first business day following the Delay Period, and any remaining payments and benefits due under this Agreement shall be paid or provided in accordance with the normal payment dates specified for them in this Agreement.</w:t>
      </w:r>
    </w:p>
    <w:p>
      <w:pPr>
        <w:spacing w:after="0" w:line="154" w:lineRule="exact"/>
        <w:rPr>
          <w:rFonts w:ascii="Arial" w:cs="Arial" w:eastAsia="Arial" w:hAnsi="Arial"/>
          <w:sz w:val="19"/>
          <w:szCs w:val="19"/>
          <w:color w:val="auto"/>
        </w:rPr>
      </w:pPr>
    </w:p>
    <w:p>
      <w:pPr>
        <w:ind w:left="760" w:right="220" w:hanging="655"/>
        <w:spacing w:after="0" w:line="343" w:lineRule="auto"/>
        <w:tabs>
          <w:tab w:leader="none" w:pos="76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This Agreement shall be for the benefit of and binding upon the parties and their respective heirs, personal representatives, legal representatives, successors and, as to the Company, assigns, including</w:t>
      </w:r>
    </w:p>
    <w:p>
      <w:pPr>
        <w:spacing w:after="0" w:line="32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20"/>
          </w:cols>
          <w:pgMar w:left="1440" w:top="347" w:right="239" w:bottom="1440" w:gutter="0" w:footer="0" w:header="0"/>
        </w:sectPr>
      </w:pPr>
    </w:p>
    <w:bookmarkStart w:id="148" w:name="page149"/>
    <w:bookmarkEnd w:id="148"/>
    <w:p>
      <w:pPr>
        <w:ind w:left="1960" w:right="480"/>
        <w:spacing w:after="0" w:line="232" w:lineRule="auto"/>
        <w:rPr>
          <w:sz w:val="20"/>
          <w:szCs w:val="20"/>
          <w:color w:val="auto"/>
        </w:rPr>
      </w:pPr>
      <w:r>
        <w:rPr>
          <w:rFonts w:ascii="Arial" w:cs="Arial" w:eastAsia="Arial" w:hAnsi="Arial"/>
          <w:sz w:val="22"/>
          <w:szCs w:val="22"/>
          <w:color w:val="auto"/>
        </w:rPr>
        <w:t>without limitation, any successor to the Company by merger, consolidation, sale of stock or assets, or otherwise.</w:t>
      </w:r>
    </w:p>
    <w:p>
      <w:pPr>
        <w:spacing w:after="0" w:line="186"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IN WITNESS WHEREOF, the parties have caused this Agreement to be executed in multiple counterparts, each of which shall be deemed an original, but all of which together shall constitute one instrument, at Houston, Harris County, Texas on the Effective Date.</w:t>
      </w:r>
    </w:p>
    <w:p>
      <w:pPr>
        <w:spacing w:after="0" w:line="328"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2"/>
          <w:szCs w:val="22"/>
          <w:b w:val="1"/>
          <w:bCs w:val="1"/>
          <w:color w:val="auto"/>
        </w:rPr>
        <w:t>EXECUTIVE</w:t>
      </w:r>
      <w:r>
        <w:rPr>
          <w:rFonts w:ascii="Arial" w:cs="Arial" w:eastAsia="Arial" w:hAnsi="Arial"/>
          <w:sz w:val="22"/>
          <w:szCs w:val="22"/>
          <w:color w:val="auto"/>
        </w:rPr>
        <w:t>:</w:t>
      </w:r>
      <w:r>
        <w:rPr>
          <w:sz w:val="20"/>
          <w:szCs w:val="20"/>
          <w:color w:val="auto"/>
        </w:rPr>
        <w:tab/>
      </w:r>
      <w:r>
        <w:rPr>
          <w:rFonts w:ascii="Arial" w:cs="Arial" w:eastAsia="Arial" w:hAnsi="Arial"/>
          <w:sz w:val="21"/>
          <w:szCs w:val="21"/>
          <w:b w:val="1"/>
          <w:bCs w:val="1"/>
          <w:color w:val="auto"/>
        </w:rPr>
        <w:t>COMPANY</w:t>
      </w:r>
      <w:r>
        <w:rPr>
          <w:rFonts w:ascii="Arial" w:cs="Arial" w:eastAsia="Arial" w:hAnsi="Arial"/>
          <w:sz w:val="21"/>
          <w:szCs w:val="21"/>
          <w:color w:val="auto"/>
        </w:rPr>
        <w:t>:</w:t>
      </w:r>
    </w:p>
    <w:p>
      <w:pPr>
        <w:spacing w:after="0" w:line="233"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LivaNova USA, Inc.</w:t>
      </w:r>
    </w:p>
    <w:p>
      <w:pPr>
        <w:spacing w:after="0" w:line="239"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102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-17780</wp:posOffset>
            </wp:positionV>
            <wp:extent cx="102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40"/>
        <w:spacing w:after="0"/>
        <w:tabs>
          <w:tab w:leader="none" w:pos="5720" w:val="left"/>
        </w:tabs>
        <w:rPr>
          <w:sz w:val="20"/>
          <w:szCs w:val="20"/>
          <w:color w:val="auto"/>
        </w:rPr>
      </w:pPr>
      <w:r>
        <w:rPr>
          <w:rFonts w:ascii="Arial" w:cs="Arial" w:eastAsia="Arial" w:hAnsi="Arial"/>
          <w:sz w:val="22"/>
          <w:szCs w:val="22"/>
          <w:color w:val="auto"/>
        </w:rPr>
        <w:t>Edward S. Andrle</w:t>
      </w:r>
      <w:r>
        <w:rPr>
          <w:sz w:val="20"/>
          <w:szCs w:val="20"/>
          <w:color w:val="auto"/>
        </w:rPr>
        <w:tab/>
      </w: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-22860</wp:posOffset>
            </wp:positionV>
            <wp:extent cx="102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3976370</wp:posOffset>
            </wp:positionH>
            <wp:positionV relativeFrom="paragraph">
              <wp:posOffset>-29210</wp:posOffset>
            </wp:positionV>
            <wp:extent cx="102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95"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-17780</wp:posOffset>
            </wp:positionV>
            <wp:extent cx="102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-17780</wp:posOffset>
            </wp:positionV>
            <wp:extent cx="102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80"/>
          </w:cols>
          <w:pgMar w:left="240" w:top="321" w:right="47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b w:val="1"/>
          <w:bCs w:val="1"/>
          <w:color w:val="auto"/>
        </w:rPr>
        <w:t>Exhibit 10.47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EXHIBIT A</w:t>
      </w:r>
    </w:p>
    <w:p>
      <w:pPr>
        <w:spacing w:after="0" w:line="242" w:lineRule="exact"/>
        <w:rPr>
          <w:sz w:val="20"/>
          <w:szCs w:val="20"/>
          <w:color w:val="auto"/>
        </w:rPr>
      </w:pPr>
    </w:p>
    <w:p>
      <w:pPr>
        <w:ind w:left="2020"/>
        <w:spacing w:after="0"/>
        <w:rPr>
          <w:sz w:val="20"/>
          <w:szCs w:val="20"/>
          <w:color w:val="auto"/>
        </w:rPr>
      </w:pPr>
      <w:r>
        <w:rPr>
          <w:rFonts w:ascii="Arial" w:cs="Arial" w:eastAsia="Arial" w:hAnsi="Arial"/>
          <w:sz w:val="29"/>
          <w:szCs w:val="29"/>
          <w:b w:val="1"/>
          <w:bCs w:val="1"/>
          <w:color w:val="auto"/>
        </w:rPr>
        <w:t>WAIVER AND RELEASE OF CLAIMS</w:t>
      </w:r>
    </w:p>
    <w:p>
      <w:pPr>
        <w:spacing w:after="0" w:line="360" w:lineRule="exact"/>
        <w:rPr>
          <w:sz w:val="20"/>
          <w:szCs w:val="20"/>
          <w:color w:val="auto"/>
        </w:rPr>
      </w:pPr>
    </w:p>
    <w:p>
      <w:pPr>
        <w:ind w:left="9740"/>
        <w:spacing w:after="0"/>
        <w:rPr>
          <w:sz w:val="20"/>
          <w:szCs w:val="20"/>
          <w:color w:val="auto"/>
        </w:rPr>
      </w:pPr>
      <w:r>
        <w:rPr>
          <w:rFonts w:ascii="Arial" w:cs="Arial" w:eastAsia="Arial" w:hAnsi="Arial"/>
          <w:sz w:val="22"/>
          <w:szCs w:val="22"/>
          <w:b w:val="1"/>
          <w:bCs w:val="1"/>
          <w:color w:val="auto"/>
        </w:rPr>
        <w:t>III.</w:t>
      </w:r>
    </w:p>
    <w:p>
      <w:pPr>
        <w:sectPr>
          <w:pgSz w:w="11900" w:h="16838" w:orient="portrait"/>
          <w:cols w:equalWidth="0" w:num="1">
            <w:col w:w="10220"/>
          </w:cols>
          <w:pgMar w:left="1440" w:top="126" w:right="239" w:bottom="1440" w:gutter="0" w:footer="0" w:header="0"/>
        </w:sectPr>
      </w:pPr>
    </w:p>
    <w:bookmarkStart w:id="150" w:name="page151"/>
    <w:bookmarkEnd w:id="150"/>
    <w:p>
      <w:pPr>
        <w:ind w:left="10200"/>
        <w:spacing w:after="0"/>
        <w:rPr>
          <w:sz w:val="20"/>
          <w:szCs w:val="20"/>
          <w:color w:val="auto"/>
        </w:rPr>
      </w:pPr>
      <w:r>
        <w:rPr>
          <w:rFonts w:ascii="Arial" w:cs="Arial" w:eastAsia="Arial" w:hAnsi="Arial"/>
          <w:sz w:val="19"/>
          <w:szCs w:val="19"/>
          <w:b w:val="1"/>
          <w:bCs w:val="1"/>
          <w:color w:val="auto"/>
        </w:rPr>
        <w:t>Exhibit 10.47</w:t>
      </w:r>
    </w:p>
    <w:p>
      <w:pPr>
        <w:spacing w:after="0" w:line="62" w:lineRule="exact"/>
        <w:rPr>
          <w:sz w:val="20"/>
          <w:szCs w:val="20"/>
          <w:color w:val="auto"/>
        </w:rPr>
      </w:pPr>
    </w:p>
    <w:p>
      <w:pPr>
        <w:ind w:left="9940"/>
        <w:spacing w:after="0"/>
        <w:rPr>
          <w:sz w:val="20"/>
          <w:szCs w:val="20"/>
          <w:color w:val="auto"/>
        </w:rPr>
      </w:pPr>
      <w:r>
        <w:rPr>
          <w:rFonts w:ascii="Arial" w:cs="Arial" w:eastAsia="Arial" w:hAnsi="Arial"/>
          <w:sz w:val="19"/>
          <w:szCs w:val="19"/>
          <w:b w:val="1"/>
          <w:bCs w:val="1"/>
          <w:color w:val="auto"/>
        </w:rPr>
        <w:t>Execution Copy</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Waiver and Release of Claims</w:t>
      </w:r>
    </w:p>
    <w:p>
      <w:pPr>
        <w:spacing w:after="0" w:line="179" w:lineRule="exact"/>
        <w:rPr>
          <w:sz w:val="20"/>
          <w:szCs w:val="20"/>
          <w:color w:val="auto"/>
        </w:rPr>
      </w:pPr>
    </w:p>
    <w:p>
      <w:pPr>
        <w:ind w:left="660"/>
        <w:spacing w:after="0"/>
        <w:tabs>
          <w:tab w:leader="none" w:pos="1180" w:val="left"/>
          <w:tab w:leader="none" w:pos="1980" w:val="left"/>
          <w:tab w:leader="none" w:pos="2460" w:val="left"/>
          <w:tab w:leader="none" w:pos="3300" w:val="left"/>
          <w:tab w:leader="none" w:pos="3640" w:val="left"/>
          <w:tab w:leader="none" w:pos="4420" w:val="left"/>
          <w:tab w:leader="none" w:pos="5620" w:val="left"/>
          <w:tab w:leader="none" w:pos="5940" w:val="left"/>
          <w:tab w:leader="none" w:pos="6580" w:val="left"/>
          <w:tab w:leader="none" w:pos="6960" w:val="left"/>
        </w:tabs>
        <w:rPr>
          <w:sz w:val="20"/>
          <w:szCs w:val="20"/>
          <w:color w:val="auto"/>
        </w:rPr>
      </w:pPr>
      <w:r>
        <w:rPr>
          <w:rFonts w:ascii="Arial" w:cs="Arial" w:eastAsia="Arial" w:hAnsi="Arial"/>
          <w:sz w:val="22"/>
          <w:szCs w:val="22"/>
          <w:color w:val="auto"/>
        </w:rPr>
        <w:t>This</w:t>
        <w:tab/>
        <w:t>Waiver</w:t>
        <w:tab/>
        <w:t>and</w:t>
        <w:tab/>
        <w:t>Release</w:t>
        <w:tab/>
        <w:t>of</w:t>
        <w:tab/>
        <w:t>Claims</w:t>
        <w:tab/>
        <w:t>(“</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w:t>
        <w:tab/>
        <w:t>is</w:t>
        <w:tab/>
        <w:t>made</w:t>
        <w:tab/>
        <w:t>by</w:t>
      </w:r>
      <w:r>
        <w:rPr>
          <w:sz w:val="20"/>
          <w:szCs w:val="20"/>
          <w:color w:val="auto"/>
        </w:rPr>
        <w:tab/>
      </w:r>
      <w:r>
        <w:rPr>
          <w:rFonts w:ascii="Arial" w:cs="Arial" w:eastAsia="Arial" w:hAnsi="Arial"/>
          <w:sz w:val="21"/>
          <w:szCs w:val="21"/>
          <w:b w:val="1"/>
          <w:bCs w:val="1"/>
          <w:color w:val="auto"/>
        </w:rPr>
        <w:t xml:space="preserve">Edward  S.  Andrle  </w:t>
      </w:r>
      <w:r>
        <w:rPr>
          <w:rFonts w:ascii="Arial" w:cs="Arial" w:eastAsia="Arial" w:hAnsi="Arial"/>
          <w:sz w:val="21"/>
          <w:szCs w:val="21"/>
          <w:color w:val="auto"/>
        </w:rPr>
        <w:t>(“</w:t>
      </w:r>
      <w:r>
        <w:rPr>
          <w:rFonts w:ascii="Arial" w:cs="Arial" w:eastAsia="Arial" w:hAnsi="Arial"/>
          <w:sz w:val="21"/>
          <w:szCs w:val="21"/>
          <w:b w:val="1"/>
          <w:bCs w:val="1"/>
          <w:i w:val="1"/>
          <w:iCs w:val="1"/>
          <w:color w:val="auto"/>
        </w:rPr>
        <w:t>Employee</w:t>
      </w:r>
      <w:r>
        <w:rPr>
          <w:rFonts w:ascii="Arial" w:cs="Arial" w:eastAsia="Arial" w:hAnsi="Arial"/>
          <w:sz w:val="21"/>
          <w:szCs w:val="21"/>
          <w:color w:val="auto"/>
        </w:rPr>
        <w:t>”)  as  of  the</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in connection with the Employee’s separation from employment on June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30, 2020.</w:t>
      </w:r>
    </w:p>
    <w:p>
      <w:pPr>
        <w:spacing w:after="0" w:line="377"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NOW THEREFORE, in consideration of the mutual promises described in the Separation Agreement dated December , 2019 (“</w:t>
      </w:r>
      <w:r>
        <w:rPr>
          <w:rFonts w:ascii="Arial" w:cs="Arial" w:eastAsia="Arial" w:hAnsi="Arial"/>
          <w:sz w:val="19"/>
          <w:szCs w:val="19"/>
          <w:b w:val="1"/>
          <w:bCs w:val="1"/>
          <w:i w:val="1"/>
          <w:iCs w:val="1"/>
          <w:color w:val="auto"/>
        </w:rPr>
        <w:t>Separation Agreement</w:t>
      </w:r>
      <w:r>
        <w:rPr>
          <w:rFonts w:ascii="Arial" w:cs="Arial" w:eastAsia="Arial" w:hAnsi="Arial"/>
          <w:sz w:val="19"/>
          <w:szCs w:val="19"/>
          <w:color w:val="auto"/>
        </w:rPr>
        <w:t xml:space="preserve">”), to which this Release is appended as </w:t>
      </w:r>
      <w:r>
        <w:rPr>
          <w:rFonts w:ascii="Arial" w:cs="Arial" w:eastAsia="Arial" w:hAnsi="Arial"/>
          <w:sz w:val="19"/>
          <w:szCs w:val="19"/>
          <w:i w:val="1"/>
          <w:iCs w:val="1"/>
          <w:color w:val="auto"/>
        </w:rPr>
        <w:t>Exhibit A</w:t>
      </w:r>
      <w:r>
        <w:rPr>
          <w:rFonts w:ascii="Arial" w:cs="Arial" w:eastAsia="Arial" w:hAnsi="Arial"/>
          <w:sz w:val="19"/>
          <w:szCs w:val="19"/>
          <w:color w:val="auto"/>
        </w:rPr>
        <w:t>, Employee agrees as follows:</w:t>
      </w:r>
    </w:p>
    <w:p>
      <w:pPr>
        <w:spacing w:after="0" w:line="78" w:lineRule="exact"/>
        <w:rPr>
          <w:sz w:val="20"/>
          <w:szCs w:val="20"/>
          <w:color w:val="auto"/>
        </w:rPr>
      </w:pPr>
    </w:p>
    <w:p>
      <w:pPr>
        <w:jc w:val="both"/>
        <w:ind w:firstLine="656"/>
        <w:spacing w:after="0" w:line="244" w:lineRule="auto"/>
        <w:tabs>
          <w:tab w:leader="none" w:pos="1507"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Waiver and Release of Claims by Employee</w:t>
      </w:r>
      <w:r>
        <w:rPr>
          <w:rFonts w:ascii="Arial" w:cs="Arial" w:eastAsia="Arial" w:hAnsi="Arial"/>
          <w:sz w:val="19"/>
          <w:szCs w:val="19"/>
          <w:color w:val="auto"/>
        </w:rPr>
        <w:t>. Except for the obligations created or acknowledged under this Release, Employee, on behalf of Employee and his heirs, personal representatives, successors and assigns, (collectively the “</w:t>
      </w:r>
      <w:r>
        <w:rPr>
          <w:rFonts w:ascii="Arial" w:cs="Arial" w:eastAsia="Arial" w:hAnsi="Arial"/>
          <w:sz w:val="19"/>
          <w:szCs w:val="19"/>
          <w:b w:val="1"/>
          <w:bCs w:val="1"/>
          <w:i w:val="1"/>
          <w:iCs w:val="1"/>
          <w:color w:val="auto"/>
        </w:rPr>
        <w:t>Employee Releasors</w:t>
      </w:r>
      <w:r>
        <w:rPr>
          <w:rFonts w:ascii="Arial" w:cs="Arial" w:eastAsia="Arial" w:hAnsi="Arial"/>
          <w:sz w:val="19"/>
          <w:szCs w:val="19"/>
          <w:color w:val="auto"/>
        </w:rPr>
        <w:t>”), hereby jointly and severally fully and forever release, acquit and discharge LivaNova USA, Inc.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its successors, and the Company’s affiliates (including but not limited to LivaNova Plc and its subsidiaries), partners, employees and agents, and their respective heirs, personal representatives, successors, assigns and any and all other persons, firms or corporations that might be liable through the Company (each an “</w:t>
      </w:r>
      <w:r>
        <w:rPr>
          <w:rFonts w:ascii="Arial" w:cs="Arial" w:eastAsia="Arial" w:hAnsi="Arial"/>
          <w:sz w:val="19"/>
          <w:szCs w:val="19"/>
          <w:b w:val="1"/>
          <w:bCs w:val="1"/>
          <w:i w:val="1"/>
          <w:iCs w:val="1"/>
          <w:color w:val="auto"/>
        </w:rPr>
        <w:t>Employee Releasee</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Employee Releasees</w:t>
      </w:r>
      <w:r>
        <w:rPr>
          <w:rFonts w:ascii="Arial" w:cs="Arial" w:eastAsia="Arial" w:hAnsi="Arial"/>
          <w:sz w:val="19"/>
          <w:szCs w:val="19"/>
          <w:color w:val="auto"/>
        </w:rPr>
        <w:t>”), of and from any and all claims, counterclaims and causes of action whatsoever which the Employee Releasors, jointly and severally, ever had, now have, or thereafter can, shall or may have against the Employee Releasees, jointly and severally, arising out of or in connection with the Employee’s employment with the Company, including the resignation of said employment (including without limitation Employee’s Claims as defined below).</w:t>
      </w:r>
    </w:p>
    <w:p>
      <w:pPr>
        <w:spacing w:after="0" w:line="155" w:lineRule="exact"/>
        <w:rPr>
          <w:rFonts w:ascii="Arial" w:cs="Arial" w:eastAsia="Arial" w:hAnsi="Arial"/>
          <w:sz w:val="19"/>
          <w:szCs w:val="19"/>
          <w:color w:val="auto"/>
        </w:rPr>
      </w:pPr>
    </w:p>
    <w:p>
      <w:pPr>
        <w:jc w:val="both"/>
        <w:ind w:firstLine="656"/>
        <w:spacing w:after="0" w:line="223" w:lineRule="auto"/>
        <w:tabs>
          <w:tab w:leader="none" w:pos="1495"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Employee’s Claims</w:t>
      </w:r>
      <w:r>
        <w:rPr>
          <w:rFonts w:ascii="Arial" w:cs="Arial" w:eastAsia="Arial" w:hAnsi="Arial"/>
          <w:sz w:val="22"/>
          <w:szCs w:val="22"/>
          <w:color w:val="auto"/>
        </w:rPr>
        <w:t>. “</w:t>
      </w:r>
      <w:r>
        <w:rPr>
          <w:rFonts w:ascii="Arial" w:cs="Arial" w:eastAsia="Arial" w:hAnsi="Arial"/>
          <w:sz w:val="22"/>
          <w:szCs w:val="22"/>
          <w:b w:val="1"/>
          <w:bCs w:val="1"/>
          <w:i w:val="1"/>
          <w:iCs w:val="1"/>
          <w:color w:val="auto"/>
        </w:rPr>
        <w:t>Employee’s Claims</w:t>
      </w:r>
      <w:r>
        <w:rPr>
          <w:rFonts w:ascii="Arial" w:cs="Arial" w:eastAsia="Arial" w:hAnsi="Arial"/>
          <w:sz w:val="22"/>
          <w:szCs w:val="22"/>
          <w:color w:val="auto"/>
        </w:rPr>
        <w:t>” means all of the rights that Employee had, may have had, or now has arising out of or in connection with the Employee’s employment with the Company, whether known or unknown, to any relief of any kind from the Company, including without limitation:</w:t>
      </w:r>
    </w:p>
    <w:p>
      <w:pPr>
        <w:spacing w:after="0" w:line="186" w:lineRule="exact"/>
        <w:rPr>
          <w:sz w:val="20"/>
          <w:szCs w:val="20"/>
          <w:color w:val="auto"/>
        </w:rPr>
      </w:pPr>
    </w:p>
    <w:p>
      <w:pPr>
        <w:ind w:left="1300" w:hanging="644"/>
        <w:spacing w:after="0" w:line="263" w:lineRule="auto"/>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claims arising out of or relating to Employee’s employment with the Company or separation from employment with the Company;</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claims arising out of or relating to any statements, actions, or omissions of the Employee Releasees;</w:t>
      </w:r>
    </w:p>
    <w:p>
      <w:pPr>
        <w:spacing w:after="0" w:line="219"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claims arising out of or relating to any agreements (whether express or implied) to which Employee and the Company are parties (except as otherwise provided or acknowledged herein); all claims for any alleged unlawful discrimination, harassment, retaliation or reprisal, or other alleged unlawful practices arising under any federal, state, or local statute, ordinance, or regulation, including without limitation, claims under Title VII of the Civil Rights Act of 1964 and 1991, the Americans with Disabilities Act, the Americans with Disabilities Amendments Act, the Rehabilitation Act of 1973, the Age Discrimination in Employment Act, 42 U.S.C. § 1981, the Employee Retirement Income Security Act, the Equal Pay Act,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126" w:right="239" w:bottom="1440" w:gutter="0" w:footer="0" w:header="0"/>
        </w:sectPr>
      </w:pPr>
    </w:p>
    <w:bookmarkStart w:id="151" w:name="page152"/>
    <w:bookmarkEnd w:id="151"/>
    <w:p>
      <w:pPr>
        <w:ind w:left="1300" w:right="20"/>
        <w:spacing w:after="0" w:line="232" w:lineRule="auto"/>
        <w:rPr>
          <w:sz w:val="20"/>
          <w:szCs w:val="20"/>
          <w:color w:val="auto"/>
        </w:rPr>
      </w:pPr>
      <w:r>
        <w:rPr>
          <w:rFonts w:ascii="Arial" w:cs="Arial" w:eastAsia="Arial" w:hAnsi="Arial"/>
          <w:sz w:val="22"/>
          <w:szCs w:val="22"/>
          <w:color w:val="auto"/>
        </w:rPr>
        <w:t>the Worker Adjustment and Retraining Notification Act, the Fair Credit Reporting Act and workers’ compensation non- interference or non-retaliation statutes;</w:t>
      </w:r>
    </w:p>
    <w:p>
      <w:pPr>
        <w:spacing w:after="0" w:line="186" w:lineRule="exact"/>
        <w:rPr>
          <w:sz w:val="20"/>
          <w:szCs w:val="20"/>
          <w:color w:val="auto"/>
        </w:rPr>
      </w:pPr>
    </w:p>
    <w:p>
      <w:pPr>
        <w:jc w:val="both"/>
        <w:ind w:left="1300" w:hanging="644"/>
        <w:spacing w:after="0" w:line="247" w:lineRule="auto"/>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claims for alleged wrongful discharge; breach of contract; breach of implied contract; failure to keep any promise; breach of a covenant of good faith and fair dealing; breach of fiduciary duty; estoppel; activities, if any, as a whistleblower; defamation; infliction of emotional distress; fraud; misrepresentation; negligence; harassment; retaliation or reprisal; constructive discharge; assault; battery; false imprisonment; invasion of privacy; interference with contractual or business relationships; any other wrongful employment practices; and violation of any other principle of common law;</w:t>
      </w:r>
    </w:p>
    <w:p>
      <w:pPr>
        <w:spacing w:after="0" w:line="193"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all claims for compensation of any kind, including without limitation, salary, bonuses, overtime, commissions, draw on commissions, stock-based compensation or stock options, vacation pay, and expense reimbursements, as well as any alleged claims arising out of or relating to any applicable state or local wage acts or wage orders, the Fair Labor Standards Act, or similar federal, state or local statutes, regulations or ordinances;</w:t>
      </w:r>
    </w:p>
    <w:p>
      <w:pPr>
        <w:spacing w:after="0" w:line="142"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claims for back pay, front pay, reinstatement, other equitable relief, compensatory damages, damages for alleged personal injury, liquidated damages, and punitive damages; and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claims for attorneys’ fees, costs, and interest.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However, “Employee’s Claims” do not include: (a) any claims that the law does not allow to be waived, (b) arising from the Company’s violation of the Employee’s Separation Agreement with the Company, or (c) any claims that may arise after the date on which Employee signs this Release, including any claims Employee may have under the Age Discrimination in Employment Act that may arise after the date on which Employee signs this Release.</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Employee acknowledges and agrees that nothing in this Agreement is intended to or does prevent him from filing a charge or complaint with any governmental agency or regulatory body (including, but not limited to, the Equal Employment Opportunity Commission, the National Labor Relations Board, the Occupational Safety and Health Administration, or the Securities and Exchange Commission), but he forever waives any right to recover and will not request or accept, anything of value from any of the Employee Releasees as compensation or damages growing out of, resulting from, or connected in any way with his employment, the ending of his employment, or with any other act, conduct, or omission of any of the Employee Releasees, other than as provided for in this Agreement, whether sought directly by him or by any governmental agency or other public authority, individual, or group of individuals on his behalf. Employee disclaims any right to money damages or individual relief in connection with the foregoing.</w:t>
      </w:r>
    </w:p>
    <w:p>
      <w:pPr>
        <w:spacing w:after="0" w:line="165" w:lineRule="exact"/>
        <w:rPr>
          <w:sz w:val="20"/>
          <w:szCs w:val="20"/>
          <w:color w:val="auto"/>
        </w:rPr>
      </w:pPr>
    </w:p>
    <w:p>
      <w:pPr>
        <w:ind w:firstLine="656"/>
        <w:spacing w:after="0" w:line="232" w:lineRule="auto"/>
        <w:tabs>
          <w:tab w:leader="none" w:pos="1495"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As of the date of the signing of this Release, the Employee represents that he has made no assignment of any claims against any persons or organizations described in paragraph B above.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320" w:right="239" w:bottom="1440" w:gutter="0" w:footer="0" w:header="0"/>
        </w:sectPr>
      </w:pPr>
    </w:p>
    <w:bookmarkStart w:id="152" w:name="page153"/>
    <w:bookmarkEnd w:id="152"/>
    <w:p>
      <w:pPr>
        <w:jc w:val="both"/>
        <w:ind w:firstLine="656"/>
        <w:spacing w:after="0" w:line="216" w:lineRule="auto"/>
        <w:tabs>
          <w:tab w:leader="none" w:pos="1507"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Older Worker Benefit Protection Act Requirements</w:t>
      </w:r>
      <w:r>
        <w:rPr>
          <w:rFonts w:ascii="Arial" w:cs="Arial" w:eastAsia="Arial" w:hAnsi="Arial"/>
          <w:sz w:val="22"/>
          <w:szCs w:val="22"/>
          <w:color w:val="auto"/>
        </w:rPr>
        <w:t>. Employee hereby acknowledges that he is waiving any claims he may have under the Age Discrimination in Employment Act (“</w:t>
      </w:r>
      <w:r>
        <w:rPr>
          <w:rFonts w:ascii="Arial" w:cs="Arial" w:eastAsia="Arial" w:hAnsi="Arial"/>
          <w:sz w:val="22"/>
          <w:szCs w:val="22"/>
          <w:b w:val="1"/>
          <w:bCs w:val="1"/>
          <w:i w:val="1"/>
          <w:iCs w:val="1"/>
          <w:color w:val="auto"/>
        </w:rPr>
        <w:t>ADEA</w:t>
      </w:r>
      <w:r>
        <w:rPr>
          <w:rFonts w:ascii="Arial" w:cs="Arial" w:eastAsia="Arial" w:hAnsi="Arial"/>
          <w:sz w:val="22"/>
          <w:szCs w:val="22"/>
          <w:color w:val="auto"/>
        </w:rPr>
        <w:t>”) or the Older Workers Benefit Protection Act (“</w:t>
      </w:r>
      <w:r>
        <w:rPr>
          <w:rFonts w:ascii="Arial" w:cs="Arial" w:eastAsia="Arial" w:hAnsi="Arial"/>
          <w:sz w:val="22"/>
          <w:szCs w:val="22"/>
          <w:b w:val="1"/>
          <w:bCs w:val="1"/>
          <w:i w:val="1"/>
          <w:iCs w:val="1"/>
          <w:color w:val="auto"/>
        </w:rPr>
        <w:t>OWBPA</w:t>
      </w:r>
      <w:r>
        <w:rPr>
          <w:rFonts w:ascii="Arial" w:cs="Arial" w:eastAsia="Arial" w:hAnsi="Arial"/>
          <w:sz w:val="22"/>
          <w:szCs w:val="22"/>
          <w:color w:val="auto"/>
        </w:rPr>
        <w:t xml:space="preserve">”), and that he has at least </w:t>
      </w:r>
      <w:r>
        <w:rPr>
          <w:rFonts w:ascii="Arial" w:cs="Arial" w:eastAsia="Arial" w:hAnsi="Arial"/>
          <w:sz w:val="22"/>
          <w:szCs w:val="22"/>
          <w:b w:val="1"/>
          <w:bCs w:val="1"/>
          <w:u w:val="single" w:color="auto"/>
          <w:color w:val="auto"/>
        </w:rPr>
        <w:t>twenty-one (21) days</w:t>
      </w:r>
      <w:r>
        <w:rPr>
          <w:rFonts w:ascii="Arial" w:cs="Arial" w:eastAsia="Arial" w:hAnsi="Arial"/>
          <w:sz w:val="22"/>
          <w:szCs w:val="22"/>
          <w:color w:val="auto"/>
        </w:rPr>
        <w:t xml:space="preserve"> in which to consider whether to sign this Release. Employee, however, is not waiving rights and claims that he may have under ADEA against the Company that may arise after the date on which this Release is executed.</w:t>
      </w:r>
    </w:p>
    <w:p>
      <w:pPr>
        <w:spacing w:after="0" w:line="158" w:lineRule="exact"/>
        <w:rPr>
          <w:rFonts w:ascii="Arial" w:cs="Arial" w:eastAsia="Arial" w:hAnsi="Arial"/>
          <w:sz w:val="22"/>
          <w:szCs w:val="22"/>
          <w:color w:val="auto"/>
        </w:rPr>
      </w:pPr>
    </w:p>
    <w:p>
      <w:pPr>
        <w:jc w:val="both"/>
        <w:ind w:firstLine="656"/>
        <w:spacing w:after="0" w:line="242" w:lineRule="auto"/>
        <w:tabs>
          <w:tab w:leader="none" w:pos="1482"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Review of Release</w:t>
      </w:r>
      <w:r>
        <w:rPr>
          <w:rFonts w:ascii="Arial" w:cs="Arial" w:eastAsia="Arial" w:hAnsi="Arial"/>
          <w:sz w:val="19"/>
          <w:szCs w:val="19"/>
          <w:color w:val="auto"/>
        </w:rPr>
        <w:t xml:space="preserve">. Employee acknowledges that this Release has been written in a manner calculated to be understood by Employee, and is in fact understood by Employee. Employee further acknowledges that he was advised and had the opportunity to consult with an attorney of Employee’s choice before signing this Release. Employee also acknowledges that he has been informed that he has </w:t>
      </w:r>
      <w:r>
        <w:rPr>
          <w:rFonts w:ascii="Arial" w:cs="Arial" w:eastAsia="Arial" w:hAnsi="Arial"/>
          <w:sz w:val="19"/>
          <w:szCs w:val="19"/>
          <w:b w:val="1"/>
          <w:bCs w:val="1"/>
          <w:u w:val="single" w:color="auto"/>
          <w:color w:val="auto"/>
        </w:rPr>
        <w:t>twenty-one (21) days</w:t>
      </w:r>
      <w:r>
        <w:rPr>
          <w:rFonts w:ascii="Arial" w:cs="Arial" w:eastAsia="Arial" w:hAnsi="Arial"/>
          <w:sz w:val="19"/>
          <w:szCs w:val="19"/>
          <w:color w:val="auto"/>
        </w:rPr>
        <w:t xml:space="preserve"> in which to consider whether he will sign this Release, and that he may sign this Release sooner if he wishes. The parties agree that changes, whether material or not material, do not restart the running of the 21-day period. Employee understands that he may revoke Employee’s acceptance of this Release and waiver of claims by delivering a written, signed statement of revocation to the Senior Vice President &amp; General Counsel of LivaNova Plc, 20 Eastbourne Terrace, London, W2 6LG, United Kingdom within seven (7) days of the date he has signed this Release. He understands that this Release will not become effective until the eighth day following Employee’s signing of this Release. He understands and intends that in the event that he does not revoke acceptance of this Release, within the seven (7)-day period described in this paragraph, this Release and the releases contained herein, will be legally binding and enforceable on Employee, his heirs, administrators, and assigns. The Employee further acknowledges that he will be eligible to receive certain consideration described in the Separation Agreement only upon expiration of the seven (7)-day time period described above.</w:t>
      </w:r>
    </w:p>
    <w:p>
      <w:pPr>
        <w:spacing w:after="0" w:line="161" w:lineRule="exact"/>
        <w:rPr>
          <w:rFonts w:ascii="Arial" w:cs="Arial" w:eastAsia="Arial" w:hAnsi="Arial"/>
          <w:sz w:val="19"/>
          <w:szCs w:val="19"/>
          <w:color w:val="auto"/>
        </w:rPr>
      </w:pPr>
    </w:p>
    <w:p>
      <w:pPr>
        <w:jc w:val="both"/>
        <w:ind w:firstLine="656"/>
        <w:spacing w:after="0" w:line="223" w:lineRule="auto"/>
        <w:tabs>
          <w:tab w:leader="none" w:pos="1453"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Release is declared by any court of competent jurisdiction to be invalid for any reason, such invalidity shall not affect the remaining provisions of this Release, which shall be fully severable, and given full force and effect.</w:t>
      </w:r>
    </w:p>
    <w:p>
      <w:pPr>
        <w:spacing w:after="0" w:line="159" w:lineRule="exact"/>
        <w:rPr>
          <w:rFonts w:ascii="Arial" w:cs="Arial" w:eastAsia="Arial" w:hAnsi="Arial"/>
          <w:sz w:val="22"/>
          <w:szCs w:val="22"/>
          <w:color w:val="auto"/>
        </w:rPr>
      </w:pPr>
    </w:p>
    <w:p>
      <w:pPr>
        <w:ind w:left="1520" w:hanging="864"/>
        <w:spacing w:after="0"/>
        <w:tabs>
          <w:tab w:leader="none" w:pos="1520"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Release shall be construed in accordance with the laws of the State of Texas.</w:t>
      </w:r>
    </w:p>
    <w:p>
      <w:pPr>
        <w:spacing w:after="0" w:line="206" w:lineRule="exact"/>
        <w:rPr>
          <w:rFonts w:ascii="Arial" w:cs="Arial" w:eastAsia="Arial" w:hAnsi="Arial"/>
          <w:sz w:val="22"/>
          <w:szCs w:val="22"/>
          <w:color w:val="auto"/>
        </w:rPr>
      </w:pPr>
    </w:p>
    <w:p>
      <w:pPr>
        <w:ind w:left="140" w:hanging="132"/>
        <w:spacing w:after="0"/>
        <w:tabs>
          <w:tab w:leader="none" w:pos="1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PLEASE READ ENTIRE DOCUMENT BEFORE SIGNING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607695</wp:posOffset>
            </wp:positionV>
            <wp:extent cx="137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Edward S. Andrle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 June ____, 2020</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321"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1"/>
          <w:szCs w:val="21"/>
          <w:color w:val="auto"/>
        </w:rPr>
        <w:t>A-4</w:t>
      </w:r>
    </w:p>
    <w:p>
      <w:pPr>
        <w:sectPr>
          <w:pgSz w:w="11900" w:h="16838" w:orient="portrait"/>
          <w:cols w:equalWidth="0" w:num="1">
            <w:col w:w="9019"/>
          </w:cols>
          <w:pgMar w:left="1440" w:top="1077" w:right="1440"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10"/>
        </w:trPr>
        <w:tc>
          <w:tcPr>
            <w:tcW w:w="8700" w:type="dxa"/>
            <w:vAlign w:val="bottom"/>
            <w:gridSpan w:val="2"/>
            <w:vMerge w:val="restart"/>
          </w:tcPr>
          <w:p>
            <w:pPr>
              <w:spacing w:after="0"/>
              <w:rPr>
                <w:sz w:val="20"/>
                <w:szCs w:val="20"/>
                <w:color w:val="auto"/>
              </w:rPr>
            </w:pPr>
            <w:r>
              <w:rPr>
                <w:rFonts w:ascii="Arial" w:cs="Arial" w:eastAsia="Arial" w:hAnsi="Arial"/>
                <w:sz w:val="16"/>
                <w:szCs w:val="16"/>
                <w:color w:val="auto"/>
              </w:rPr>
              <w:t>LIST OF SUBSIDIARIES</w:t>
            </w:r>
          </w:p>
        </w:tc>
        <w:tc>
          <w:tcPr>
            <w:tcW w:w="2720" w:type="dxa"/>
            <w:vAlign w:val="bottom"/>
          </w:tcPr>
          <w:p>
            <w:pPr>
              <w:ind w:left="1700"/>
              <w:spacing w:after="0"/>
              <w:rPr>
                <w:sz w:val="20"/>
                <w:szCs w:val="20"/>
                <w:color w:val="auto"/>
              </w:rPr>
            </w:pPr>
            <w:r>
              <w:rPr>
                <w:rFonts w:ascii="Arial" w:cs="Arial" w:eastAsia="Arial" w:hAnsi="Arial"/>
                <w:sz w:val="16"/>
                <w:szCs w:val="16"/>
                <w:b w:val="1"/>
                <w:bCs w:val="1"/>
                <w:color w:val="auto"/>
              </w:rPr>
              <w:t>EXHIBIT 21.1</w:t>
            </w:r>
          </w:p>
        </w:tc>
        <w:tc>
          <w:tcPr>
            <w:tcW w:w="0" w:type="dxa"/>
            <w:vAlign w:val="bottom"/>
          </w:tcPr>
          <w:p>
            <w:pPr>
              <w:spacing w:after="0"/>
              <w:rPr>
                <w:sz w:val="1"/>
                <w:szCs w:val="1"/>
                <w:color w:val="auto"/>
              </w:rPr>
            </w:pPr>
          </w:p>
        </w:tc>
      </w:tr>
      <w:tr>
        <w:trPr>
          <w:trHeight w:val="172"/>
        </w:trPr>
        <w:tc>
          <w:tcPr>
            <w:tcW w:w="8700" w:type="dxa"/>
            <w:vAlign w:val="bottom"/>
            <w:gridSpan w:val="2"/>
            <w:vMerge w:val="continue"/>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700" w:type="dxa"/>
            <w:vAlign w:val="bottom"/>
            <w:gridSpan w:val="2"/>
          </w:tcPr>
          <w:p>
            <w:pPr>
              <w:spacing w:after="0"/>
              <w:rPr>
                <w:sz w:val="20"/>
                <w:szCs w:val="20"/>
                <w:color w:val="auto"/>
              </w:rPr>
            </w:pPr>
            <w:r>
              <w:rPr>
                <w:rFonts w:ascii="Arial" w:cs="Arial" w:eastAsia="Arial" w:hAnsi="Arial"/>
                <w:sz w:val="16"/>
                <w:szCs w:val="16"/>
                <w:color w:val="auto"/>
              </w:rPr>
              <w:t>LivaNova PLC and Subsidiaries</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700" w:type="dxa"/>
            <w:vAlign w:val="bottom"/>
            <w:gridSpan w:val="2"/>
          </w:tcPr>
          <w:p>
            <w:pPr>
              <w:spacing w:after="0"/>
              <w:rPr>
                <w:sz w:val="20"/>
                <w:szCs w:val="20"/>
                <w:color w:val="auto"/>
              </w:rPr>
            </w:pPr>
            <w:r>
              <w:rPr>
                <w:rFonts w:ascii="Arial" w:cs="Arial" w:eastAsia="Arial" w:hAnsi="Arial"/>
                <w:sz w:val="16"/>
                <w:szCs w:val="16"/>
                <w:color w:val="auto"/>
              </w:rPr>
              <w:t>As of December 31, 2019</w:t>
            </w: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870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Company</w:t>
            </w:r>
          </w:p>
        </w:tc>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Jurisdiction of Formation</w:t>
            </w:r>
          </w:p>
        </w:tc>
        <w:tc>
          <w:tcPr>
            <w:tcW w:w="0" w:type="dxa"/>
            <w:vAlign w:val="bottom"/>
          </w:tcPr>
          <w:p>
            <w:pPr>
              <w:spacing w:after="0"/>
              <w:rPr>
                <w:sz w:val="1"/>
                <w:szCs w:val="1"/>
                <w:color w:val="auto"/>
              </w:rPr>
            </w:pPr>
          </w:p>
        </w:tc>
      </w:tr>
      <w:tr>
        <w:trPr>
          <w:trHeight w:val="33"/>
        </w:trPr>
        <w:tc>
          <w:tcPr>
            <w:tcW w:w="8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Plc</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5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Plc (Italian Branch)</w:t>
            </w:r>
          </w:p>
        </w:tc>
        <w:tc>
          <w:tcPr>
            <w:tcW w:w="2720" w:type="dxa"/>
            <w:vAlign w:val="bottom"/>
          </w:tcPr>
          <w:p>
            <w:pPr>
              <w:ind w:left="2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Caisson Interventional, LLC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CardiacAssist, Inc. Dba TandemLife</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Cyberonics Holdings, LLC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Cyberonics Latam SRL</w:t>
            </w:r>
          </w:p>
        </w:tc>
        <w:tc>
          <w:tcPr>
            <w:tcW w:w="2720" w:type="dxa"/>
            <w:vAlign w:val="bottom"/>
          </w:tcPr>
          <w:p>
            <w:pPr>
              <w:ind w:left="20"/>
              <w:spacing w:after="0"/>
              <w:rPr>
                <w:sz w:val="20"/>
                <w:szCs w:val="20"/>
                <w:color w:val="auto"/>
              </w:rPr>
            </w:pPr>
            <w:r>
              <w:rPr>
                <w:rFonts w:ascii="Arial" w:cs="Arial" w:eastAsia="Arial" w:hAnsi="Arial"/>
                <w:sz w:val="16"/>
                <w:szCs w:val="16"/>
                <w:color w:val="auto"/>
              </w:rPr>
              <w:t>Costa Rica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Cyberonics Netherlands CV</w:t>
            </w:r>
          </w:p>
        </w:tc>
        <w:tc>
          <w:tcPr>
            <w:tcW w:w="2720" w:type="dxa"/>
            <w:vAlign w:val="bottom"/>
          </w:tcPr>
          <w:p>
            <w:pPr>
              <w:ind w:left="2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Cyberonics Spain SL</w:t>
            </w:r>
          </w:p>
        </w:tc>
        <w:tc>
          <w:tcPr>
            <w:tcW w:w="2720" w:type="dxa"/>
            <w:vAlign w:val="bottom"/>
          </w:tcPr>
          <w:p>
            <w:pPr>
              <w:ind w:left="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ImThera Medical, Inc.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Australia PTY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Austria GmbH</w:t>
            </w:r>
          </w:p>
        </w:tc>
        <w:tc>
          <w:tcPr>
            <w:tcW w:w="2720" w:type="dxa"/>
            <w:vAlign w:val="bottom"/>
          </w:tcPr>
          <w:p>
            <w:pPr>
              <w:ind w:left="2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Belgium N.V.</w:t>
            </w:r>
          </w:p>
        </w:tc>
        <w:tc>
          <w:tcPr>
            <w:tcW w:w="2720" w:type="dxa"/>
            <w:vAlign w:val="bottom"/>
          </w:tcPr>
          <w:p>
            <w:pPr>
              <w:ind w:left="2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4"/>
                <w:szCs w:val="14"/>
                <w:color w:val="auto"/>
              </w:rPr>
              <w:t>LivaNova Brasil Comércio e Distribuição de Equipamentos Médico-hospitalares Ltda</w:t>
            </w:r>
          </w:p>
        </w:tc>
        <w:tc>
          <w:tcPr>
            <w:tcW w:w="2720" w:type="dxa"/>
            <w:vAlign w:val="bottom"/>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Canada Corp.</w:t>
            </w:r>
          </w:p>
        </w:tc>
        <w:tc>
          <w:tcPr>
            <w:tcW w:w="2720" w:type="dxa"/>
            <w:vAlign w:val="bottom"/>
          </w:tcPr>
          <w:p>
            <w:pPr>
              <w:ind w:left="2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Cayman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Cayman Islands</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Chile SpA</w:t>
            </w:r>
          </w:p>
        </w:tc>
        <w:tc>
          <w:tcPr>
            <w:tcW w:w="2720" w:type="dxa"/>
            <w:vAlign w:val="bottom"/>
          </w:tcPr>
          <w:p>
            <w:pPr>
              <w:ind w:left="20"/>
              <w:spacing w:after="0"/>
              <w:rPr>
                <w:sz w:val="20"/>
                <w:szCs w:val="20"/>
                <w:color w:val="auto"/>
              </w:rPr>
            </w:pPr>
            <w:r>
              <w:rPr>
                <w:rFonts w:ascii="Arial" w:cs="Arial" w:eastAsia="Arial" w:hAnsi="Arial"/>
                <w:sz w:val="16"/>
                <w:szCs w:val="16"/>
                <w:color w:val="auto"/>
              </w:rPr>
              <w:t>Chile</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(China) Medical Technology Co. Ltd</w:t>
            </w:r>
          </w:p>
        </w:tc>
        <w:tc>
          <w:tcPr>
            <w:tcW w:w="2720" w:type="dxa"/>
            <w:vAlign w:val="bottom"/>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Colombia Sas</w:t>
            </w:r>
          </w:p>
        </w:tc>
        <w:tc>
          <w:tcPr>
            <w:tcW w:w="2720" w:type="dxa"/>
            <w:vAlign w:val="bottom"/>
          </w:tcPr>
          <w:p>
            <w:pPr>
              <w:ind w:left="20"/>
              <w:spacing w:after="0"/>
              <w:rPr>
                <w:sz w:val="20"/>
                <w:szCs w:val="20"/>
                <w:color w:val="auto"/>
              </w:rPr>
            </w:pPr>
            <w:r>
              <w:rPr>
                <w:rFonts w:ascii="Arial" w:cs="Arial" w:eastAsia="Arial" w:hAnsi="Arial"/>
                <w:sz w:val="16"/>
                <w:szCs w:val="16"/>
                <w:color w:val="auto"/>
              </w:rPr>
              <w:t>Colombia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Deutschland GmbH</w:t>
            </w:r>
          </w:p>
        </w:tc>
        <w:tc>
          <w:tcPr>
            <w:tcW w:w="2720" w:type="dxa"/>
            <w:vAlign w:val="bottom"/>
          </w:tcPr>
          <w:p>
            <w:pPr>
              <w:ind w:left="2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Espana, S.L.</w:t>
            </w:r>
          </w:p>
        </w:tc>
        <w:tc>
          <w:tcPr>
            <w:tcW w:w="2720" w:type="dxa"/>
            <w:vAlign w:val="bottom"/>
          </w:tcPr>
          <w:p>
            <w:pPr>
              <w:ind w:left="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Finland Oy</w:t>
            </w:r>
          </w:p>
        </w:tc>
        <w:tc>
          <w:tcPr>
            <w:tcW w:w="2720" w:type="dxa"/>
            <w:vAlign w:val="bottom"/>
          </w:tcPr>
          <w:p>
            <w:pPr>
              <w:ind w:left="20"/>
              <w:spacing w:after="0"/>
              <w:rPr>
                <w:sz w:val="20"/>
                <w:szCs w:val="20"/>
                <w:color w:val="auto"/>
              </w:rPr>
            </w:pPr>
            <w:r>
              <w:rPr>
                <w:rFonts w:ascii="Arial" w:cs="Arial" w:eastAsia="Arial" w:hAnsi="Arial"/>
                <w:sz w:val="16"/>
                <w:szCs w:val="16"/>
                <w:color w:val="auto"/>
              </w:rPr>
              <w:t>Finland</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Holding S.r.l.</w:t>
            </w:r>
          </w:p>
        </w:tc>
        <w:tc>
          <w:tcPr>
            <w:tcW w:w="2720" w:type="dxa"/>
            <w:vAlign w:val="bottom"/>
          </w:tcPr>
          <w:p>
            <w:pPr>
              <w:ind w:left="2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Hong Kong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Hong Kong</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Hungary Limited Liability Company</w:t>
            </w:r>
          </w:p>
        </w:tc>
        <w:tc>
          <w:tcPr>
            <w:tcW w:w="2720" w:type="dxa"/>
            <w:vAlign w:val="bottom"/>
          </w:tcPr>
          <w:p>
            <w:pPr>
              <w:ind w:left="20"/>
              <w:spacing w:after="0"/>
              <w:rPr>
                <w:sz w:val="20"/>
                <w:szCs w:val="20"/>
                <w:color w:val="auto"/>
              </w:rPr>
            </w:pPr>
            <w:r>
              <w:rPr>
                <w:rFonts w:ascii="Arial" w:cs="Arial" w:eastAsia="Arial" w:hAnsi="Arial"/>
                <w:sz w:val="16"/>
                <w:szCs w:val="16"/>
                <w:color w:val="auto"/>
              </w:rPr>
              <w:t>Hungary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Inc.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India Private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IP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Japan K.K.</w:t>
            </w:r>
          </w:p>
        </w:tc>
        <w:tc>
          <w:tcPr>
            <w:tcW w:w="2720" w:type="dxa"/>
            <w:vAlign w:val="bottom"/>
          </w:tcPr>
          <w:p>
            <w:pPr>
              <w:ind w:left="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Malaysia Sbn. Bhd.</w:t>
            </w:r>
          </w:p>
        </w:tc>
        <w:tc>
          <w:tcPr>
            <w:tcW w:w="2720" w:type="dxa"/>
            <w:vAlign w:val="bottom"/>
          </w:tcPr>
          <w:p>
            <w:pPr>
              <w:ind w:left="2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Nederland N.V.</w:t>
            </w:r>
          </w:p>
        </w:tc>
        <w:tc>
          <w:tcPr>
            <w:tcW w:w="2720" w:type="dxa"/>
            <w:vAlign w:val="bottom"/>
          </w:tcPr>
          <w:p>
            <w:pPr>
              <w:ind w:left="2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Norway AS</w:t>
            </w:r>
          </w:p>
        </w:tc>
        <w:tc>
          <w:tcPr>
            <w:tcW w:w="2720" w:type="dxa"/>
            <w:vAlign w:val="bottom"/>
          </w:tcPr>
          <w:p>
            <w:pPr>
              <w:ind w:left="2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Poland Sp. Z o.o.</w:t>
            </w:r>
          </w:p>
        </w:tc>
        <w:tc>
          <w:tcPr>
            <w:tcW w:w="2720" w:type="dxa"/>
            <w:vAlign w:val="bottom"/>
          </w:tcPr>
          <w:p>
            <w:pPr>
              <w:ind w:left="20"/>
              <w:spacing w:after="0"/>
              <w:rPr>
                <w:sz w:val="20"/>
                <w:szCs w:val="20"/>
                <w:color w:val="auto"/>
              </w:rPr>
            </w:pPr>
            <w:r>
              <w:rPr>
                <w:rFonts w:ascii="Arial" w:cs="Arial" w:eastAsia="Arial" w:hAnsi="Arial"/>
                <w:sz w:val="16"/>
                <w:szCs w:val="16"/>
                <w:color w:val="auto"/>
              </w:rPr>
              <w:t>Poland</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SAS</w:t>
            </w:r>
          </w:p>
        </w:tc>
        <w:tc>
          <w:tcPr>
            <w:tcW w:w="2720" w:type="dxa"/>
            <w:vAlign w:val="bottom"/>
          </w:tcPr>
          <w:p>
            <w:pPr>
              <w:ind w:left="2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Scandinavia AB</w:t>
            </w:r>
          </w:p>
        </w:tc>
        <w:tc>
          <w:tcPr>
            <w:tcW w:w="2720" w:type="dxa"/>
            <w:vAlign w:val="bottom"/>
          </w:tcPr>
          <w:p>
            <w:pPr>
              <w:ind w:left="20"/>
              <w:spacing w:after="0"/>
              <w:rPr>
                <w:sz w:val="20"/>
                <w:szCs w:val="20"/>
                <w:color w:val="auto"/>
              </w:rPr>
            </w:pPr>
            <w:r>
              <w:rPr>
                <w:rFonts w:ascii="Arial" w:cs="Arial" w:eastAsia="Arial" w:hAnsi="Arial"/>
                <w:sz w:val="16"/>
                <w:szCs w:val="16"/>
                <w:color w:val="auto"/>
              </w:rPr>
              <w:t>Sweeden</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Singapore Pte Ltd</w:t>
            </w:r>
          </w:p>
        </w:tc>
        <w:tc>
          <w:tcPr>
            <w:tcW w:w="2720" w:type="dxa"/>
            <w:vAlign w:val="bottom"/>
          </w:tcPr>
          <w:p>
            <w:pPr>
              <w:ind w:left="2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Site Management S.r.l.</w:t>
            </w:r>
          </w:p>
        </w:tc>
        <w:tc>
          <w:tcPr>
            <w:tcW w:w="2720" w:type="dxa"/>
            <w:vAlign w:val="bottom"/>
          </w:tcPr>
          <w:p>
            <w:pPr>
              <w:ind w:left="2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Switzerland SA</w:t>
            </w:r>
          </w:p>
        </w:tc>
        <w:tc>
          <w:tcPr>
            <w:tcW w:w="2720" w:type="dxa"/>
            <w:vAlign w:val="bottom"/>
          </w:tcPr>
          <w:p>
            <w:pPr>
              <w:ind w:left="2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Taiwan Co. Ltd</w:t>
            </w:r>
          </w:p>
        </w:tc>
        <w:tc>
          <w:tcPr>
            <w:tcW w:w="2720" w:type="dxa"/>
            <w:vAlign w:val="bottom"/>
          </w:tcPr>
          <w:p>
            <w:pPr>
              <w:ind w:left="20"/>
              <w:spacing w:after="0"/>
              <w:rPr>
                <w:sz w:val="20"/>
                <w:szCs w:val="20"/>
                <w:color w:val="auto"/>
              </w:rPr>
            </w:pPr>
            <w:r>
              <w:rPr>
                <w:rFonts w:ascii="Arial" w:cs="Arial" w:eastAsia="Arial" w:hAnsi="Arial"/>
                <w:sz w:val="16"/>
                <w:szCs w:val="16"/>
                <w:color w:val="auto"/>
              </w:rPr>
              <w:t>Taiwan</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(Thailand) Ltd</w:t>
            </w:r>
          </w:p>
        </w:tc>
        <w:tc>
          <w:tcPr>
            <w:tcW w:w="2720" w:type="dxa"/>
            <w:vAlign w:val="bottom"/>
          </w:tcPr>
          <w:p>
            <w:pPr>
              <w:ind w:left="2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Turkey Medikal Limited Sirketi</w:t>
            </w:r>
          </w:p>
        </w:tc>
        <w:tc>
          <w:tcPr>
            <w:tcW w:w="2720" w:type="dxa"/>
            <w:vAlign w:val="bottom"/>
          </w:tcPr>
          <w:p>
            <w:pPr>
              <w:ind w:left="20"/>
              <w:spacing w:after="0"/>
              <w:rPr>
                <w:sz w:val="20"/>
                <w:szCs w:val="20"/>
                <w:color w:val="auto"/>
              </w:rPr>
            </w:pPr>
            <w:r>
              <w:rPr>
                <w:rFonts w:ascii="Arial" w:cs="Arial" w:eastAsia="Arial" w:hAnsi="Arial"/>
                <w:sz w:val="16"/>
                <w:szCs w:val="16"/>
                <w:color w:val="auto"/>
              </w:rPr>
              <w:t>Turkey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UK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Company</w:t>
            </w:r>
          </w:p>
        </w:tc>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Jurisdiction of Formation</w:t>
            </w:r>
          </w:p>
        </w:tc>
      </w:tr>
      <w:tr>
        <w:trPr>
          <w:trHeight w:val="33"/>
        </w:trPr>
        <w:tc>
          <w:tcPr>
            <w:tcW w:w="8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1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USA, Inc.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r>
      <w:tr>
        <w:trPr>
          <w:trHeight w:val="25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Irishco 2 UC</w:t>
            </w:r>
          </w:p>
        </w:tc>
        <w:tc>
          <w:tcPr>
            <w:tcW w:w="2720" w:type="dxa"/>
            <w:vAlign w:val="bottom"/>
          </w:tcPr>
          <w:p>
            <w:pPr>
              <w:ind w:left="20"/>
              <w:spacing w:after="0"/>
              <w:rPr>
                <w:sz w:val="20"/>
                <w:szCs w:val="20"/>
                <w:color w:val="auto"/>
              </w:rPr>
            </w:pPr>
            <w:r>
              <w:rPr>
                <w:rFonts w:ascii="Arial" w:cs="Arial" w:eastAsia="Arial" w:hAnsi="Arial"/>
                <w:sz w:val="16"/>
                <w:szCs w:val="16"/>
                <w:color w:val="auto"/>
              </w:rPr>
              <w:t>Ireland</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Irishco Unlimited Company</w:t>
            </w:r>
          </w:p>
        </w:tc>
        <w:tc>
          <w:tcPr>
            <w:tcW w:w="2720" w:type="dxa"/>
            <w:vAlign w:val="bottom"/>
          </w:tcPr>
          <w:p>
            <w:pPr>
              <w:ind w:left="20"/>
              <w:spacing w:after="0"/>
              <w:rPr>
                <w:sz w:val="20"/>
                <w:szCs w:val="20"/>
                <w:color w:val="auto"/>
              </w:rPr>
            </w:pPr>
            <w:r>
              <w:rPr>
                <w:rFonts w:ascii="Arial" w:cs="Arial" w:eastAsia="Arial" w:hAnsi="Arial"/>
                <w:sz w:val="16"/>
                <w:szCs w:val="16"/>
                <w:color w:val="auto"/>
              </w:rPr>
              <w:t>Ireland</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Luxco 2 sarl</w:t>
            </w:r>
          </w:p>
        </w:tc>
        <w:tc>
          <w:tcPr>
            <w:tcW w:w="2720" w:type="dxa"/>
            <w:vAlign w:val="bottom"/>
          </w:tcPr>
          <w:p>
            <w:pPr>
              <w:ind w:left="20"/>
              <w:spacing w:after="0"/>
              <w:rPr>
                <w:sz w:val="20"/>
                <w:szCs w:val="20"/>
                <w:color w:val="auto"/>
              </w:rPr>
            </w:pPr>
            <w:r>
              <w:rPr>
                <w:rFonts w:ascii="Arial" w:cs="Arial" w:eastAsia="Arial" w:hAnsi="Arial"/>
                <w:sz w:val="16"/>
                <w:szCs w:val="16"/>
                <w:color w:val="auto"/>
              </w:rPr>
              <w:t>Luxembourg</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UK Holdco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UK Limited 2 Co.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UK Limited 3 Co.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US 3, LLC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US 5, LLC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US, L.P.</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Sorin Group Czech Republic s.r.o.</w:t>
            </w:r>
          </w:p>
        </w:tc>
        <w:tc>
          <w:tcPr>
            <w:tcW w:w="2720" w:type="dxa"/>
            <w:vAlign w:val="bottom"/>
          </w:tcPr>
          <w:p>
            <w:pPr>
              <w:ind w:left="20"/>
              <w:spacing w:after="0"/>
              <w:rPr>
                <w:sz w:val="20"/>
                <w:szCs w:val="20"/>
                <w:color w:val="auto"/>
              </w:rPr>
            </w:pPr>
            <w:r>
              <w:rPr>
                <w:rFonts w:ascii="Arial" w:cs="Arial" w:eastAsia="Arial" w:hAnsi="Arial"/>
                <w:sz w:val="16"/>
                <w:szCs w:val="16"/>
                <w:color w:val="auto"/>
              </w:rPr>
              <w:t>Czech Republic</w:t>
            </w:r>
          </w:p>
        </w:tc>
      </w:tr>
      <w:tr>
        <w:trPr>
          <w:trHeight w:val="290"/>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Sorin Group Italia S.r.l.</w:t>
            </w:r>
          </w:p>
        </w:tc>
        <w:tc>
          <w:tcPr>
            <w:tcW w:w="272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Sorin Group Rus LLC</w:t>
            </w:r>
          </w:p>
        </w:tc>
        <w:tc>
          <w:tcPr>
            <w:tcW w:w="2720" w:type="dxa"/>
            <w:vAlign w:val="bottom"/>
          </w:tcPr>
          <w:p>
            <w:pPr>
              <w:ind w:left="20"/>
              <w:spacing w:after="0"/>
              <w:rPr>
                <w:sz w:val="20"/>
                <w:szCs w:val="20"/>
                <w:color w:val="auto"/>
              </w:rPr>
            </w:pPr>
            <w:r>
              <w:rPr>
                <w:rFonts w:ascii="Arial" w:cs="Arial" w:eastAsia="Arial" w:hAnsi="Arial"/>
                <w:sz w:val="18"/>
                <w:szCs w:val="18"/>
                <w:color w:val="auto"/>
              </w:rPr>
              <w:t>Russia</w:t>
            </w:r>
          </w:p>
        </w:tc>
      </w:tr>
    </w:tbl>
    <w:p>
      <w:pPr>
        <w:sectPr>
          <w:pgSz w:w="11900" w:h="16838" w:orient="portrait"/>
          <w:cols w:equalWidth="0" w:num="1">
            <w:col w:w="11420"/>
          </w:cols>
          <w:pgMar w:left="240" w:top="517"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30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333-228411 and 333-207478) of LivaNova PLC of our report dated March 2, 2020 relating to the financial statements and the effectiveness of internal control over financial reporting, which appears in this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1420"/>
          </w:cols>
          <w:pgMar w:left="240" w:top="66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39" w:lineRule="exact"/>
        <w:rPr>
          <w:sz w:val="20"/>
          <w:szCs w:val="20"/>
          <w:color w:val="auto"/>
        </w:rPr>
      </w:pPr>
    </w:p>
    <w:p>
      <w:pPr>
        <w:ind w:right="40"/>
        <w:spacing w:after="0" w:line="223" w:lineRule="exact"/>
        <w:rPr>
          <w:sz w:val="20"/>
          <w:szCs w:val="20"/>
          <w:color w:val="auto"/>
        </w:rPr>
      </w:pPr>
      <w:r>
        <w:rPr>
          <w:rFonts w:ascii="Arial" w:cs="Arial" w:eastAsia="Arial" w:hAnsi="Arial"/>
          <w:sz w:val="18"/>
          <w:szCs w:val="18"/>
          <w:color w:val="auto"/>
        </w:rPr>
        <w:t>We hereby consent to the incorporation by reference in the Registration Statements on Form S-8 (Nos. 333-228411 and 333-207478) of LivaNova PLC of our report dated February 28, 2018 relating to the financial statements,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Milan, 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1420"/>
          </w:cols>
          <w:pgMar w:left="240" w:top="557"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Damien McDonald, certify that:</w:t>
      </w:r>
    </w:p>
    <w:p>
      <w:pPr>
        <w:spacing w:after="0" w:line="117" w:lineRule="exact"/>
        <w:rPr>
          <w:sz w:val="20"/>
          <w:szCs w:val="20"/>
          <w:color w:val="auto"/>
        </w:rPr>
      </w:pPr>
    </w:p>
    <w:p>
      <w:pPr>
        <w:ind w:left="560" w:hanging="228"/>
        <w:spacing w:after="0"/>
        <w:tabs>
          <w:tab w:leader="none" w:pos="5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2019 of LivaNova PLC and its consolidated subsidiaries;</w:t>
      </w:r>
    </w:p>
    <w:p>
      <w:pPr>
        <w:spacing w:after="0" w:line="128" w:lineRule="exact"/>
        <w:rPr>
          <w:rFonts w:ascii="Arial" w:cs="Arial" w:eastAsia="Arial" w:hAnsi="Arial"/>
          <w:sz w:val="17"/>
          <w:szCs w:val="17"/>
          <w:color w:val="auto"/>
        </w:rPr>
      </w:pPr>
    </w:p>
    <w:p>
      <w:pPr>
        <w:ind w:right="20" w:firstLine="332"/>
        <w:spacing w:after="0" w:line="342" w:lineRule="auto"/>
        <w:tabs>
          <w:tab w:leader="none" w:pos="576"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20" w:firstLine="332"/>
        <w:spacing w:after="0" w:line="308" w:lineRule="auto"/>
        <w:tabs>
          <w:tab w:leader="none" w:pos="568"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2, 2020</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08"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Thad Huston, certify that:</w:t>
      </w:r>
    </w:p>
    <w:p>
      <w:pPr>
        <w:spacing w:after="0" w:line="117" w:lineRule="exact"/>
        <w:rPr>
          <w:sz w:val="20"/>
          <w:szCs w:val="20"/>
          <w:color w:val="auto"/>
        </w:rPr>
      </w:pPr>
    </w:p>
    <w:p>
      <w:pPr>
        <w:ind w:left="560" w:hanging="228"/>
        <w:spacing w:after="0"/>
        <w:tabs>
          <w:tab w:leader="none" w:pos="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2019 of LivaNova PLC and its consolidated subsidiaries;</w:t>
      </w:r>
    </w:p>
    <w:p>
      <w:pPr>
        <w:spacing w:after="0" w:line="128" w:lineRule="exact"/>
        <w:rPr>
          <w:rFonts w:ascii="Arial" w:cs="Arial" w:eastAsia="Arial" w:hAnsi="Arial"/>
          <w:sz w:val="17"/>
          <w:szCs w:val="17"/>
          <w:color w:val="auto"/>
        </w:rPr>
      </w:pPr>
    </w:p>
    <w:p>
      <w:pPr>
        <w:ind w:right="20" w:firstLine="332"/>
        <w:spacing w:after="0" w:line="342" w:lineRule="auto"/>
        <w:tabs>
          <w:tab w:leader="none" w:pos="576"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20" w:firstLine="332"/>
        <w:spacing w:after="0" w:line="308" w:lineRule="auto"/>
        <w:tabs>
          <w:tab w:leader="none" w:pos="568"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2, 2020</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1">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716"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Each of Damien McDonald, Chief Executive Officer of LivaNova PLC (the “Company”), and Thad Huston, Chief Financial Officer of the Company, each hereby certifies pursuant to 18 U.S.C. Section 1350, as adopted pursuant to Section 906 of the Sarbanes-Oxley Act of 2002, that to the best of his knowledge:</w:t>
      </w:r>
    </w:p>
    <w:p>
      <w:pPr>
        <w:spacing w:after="0" w:line="200" w:lineRule="exact"/>
        <w:rPr>
          <w:sz w:val="20"/>
          <w:szCs w:val="20"/>
          <w:color w:val="auto"/>
        </w:rPr>
      </w:pPr>
    </w:p>
    <w:p>
      <w:pPr>
        <w:spacing w:after="0" w:line="294" w:lineRule="exact"/>
        <w:rPr>
          <w:sz w:val="20"/>
          <w:szCs w:val="20"/>
          <w:color w:val="auto"/>
        </w:rPr>
      </w:pPr>
    </w:p>
    <w:p>
      <w:pPr>
        <w:jc w:val="both"/>
        <w:ind w:firstLine="548"/>
        <w:spacing w:after="0" w:line="373" w:lineRule="auto"/>
        <w:tabs>
          <w:tab w:leader="none" w:pos="87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Annual Report on Form 10-K of the Company and its consolidated subsidiaries for the year ended December 31, 2019, as filed with the Securities and Exchange Commission on the date hereof (the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93" w:lineRule="exact"/>
        <w:rPr>
          <w:rFonts w:ascii="Arial" w:cs="Arial" w:eastAsia="Arial" w:hAnsi="Arial"/>
          <w:sz w:val="18"/>
          <w:szCs w:val="18"/>
          <w:color w:val="auto"/>
        </w:rPr>
      </w:pPr>
    </w:p>
    <w:p>
      <w:pPr>
        <w:ind w:left="840" w:hanging="292"/>
        <w:spacing w:after="0"/>
        <w:tabs>
          <w:tab w:leader="none" w:pos="8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2, 2020</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3">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420"/>
      </w:cols>
      <w:pgMar w:left="240" w:top="6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1)"/>
      <w:numFmt w:val="lowerLetter"/>
      <w:start w:val="1"/>
    </w:lvl>
  </w:abstractNum>
  <w:abstractNum w:abstractNumId="11">
    <w:nsid w:val="7644A45C"/>
    <w:multiLevelType w:val="hybridMultilevel"/>
    <w:lvl w:ilvl="0">
      <w:lvlJc w:val="left"/>
      <w:lvlText w:val="(%1)"/>
      <w:numFmt w:val="lowerLetter"/>
      <w:start w:val="2"/>
    </w:lvl>
  </w:abstractNum>
  <w:abstractNum w:abstractNumId="12">
    <w:nsid w:val="32FFF902"/>
    <w:multiLevelType w:val="hybridMultilevel"/>
    <w:lvl w:ilvl="0">
      <w:lvlJc w:val="left"/>
      <w:lvlText w:val="(%1)"/>
      <w:numFmt w:val="lowerLetter"/>
      <w:start w:val="3"/>
    </w:lvl>
  </w:abstractNum>
  <w:abstractNum w:abstractNumId="13">
    <w:nsid w:val="684A481A"/>
    <w:multiLevelType w:val="hybridMultilevel"/>
    <w:lvl w:ilvl="0">
      <w:lvlJc w:val="left"/>
      <w:lvlText w:val="(%1)"/>
      <w:numFmt w:val="lowerLetter"/>
      <w:start w:val="4"/>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1."/>
      <w:numFmt w:val="decimal"/>
      <w:start w:val="2"/>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1)"/>
      <w:numFmt w:val="decimal"/>
      <w:start w:val="4"/>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1."/>
      <w:numFmt w:val="decimal"/>
      <w:start w:val="382"/>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decimal"/>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1."/>
      <w:numFmt w:val="decimal"/>
      <w:start w:val="1"/>
    </w:lvl>
  </w:abstractNum>
  <w:abstractNum w:abstractNumId="42">
    <w:nsid w:val="579BE4F1"/>
    <w:multiLevelType w:val="hybridMultilevel"/>
    <w:lvl w:ilvl="0">
      <w:lvlJc w:val="left"/>
      <w:lvlText w:val="(%1)"/>
      <w:numFmt w:val="lowerLetter"/>
      <w:start w:val="1"/>
    </w:lvl>
  </w:abstractNum>
  <w:abstractNum w:abstractNumId="43">
    <w:nsid w:val="310C50B3"/>
    <w:multiLevelType w:val="hybridMultilevel"/>
    <w:lvl w:ilvl="0">
      <w:lvlJc w:val="left"/>
      <w:lvlText w:val="(%1)"/>
      <w:numFmt w:val="lowerLetter"/>
      <w:start w:val="4"/>
    </w:lvl>
  </w:abstractNum>
  <w:abstractNum w:abstractNumId="44">
    <w:nsid w:val="5FF87E05"/>
    <w:multiLevelType w:val="hybridMultilevel"/>
    <w:lvl w:ilvl="0">
      <w:lvlJc w:val="left"/>
      <w:lvlText w:val="%1."/>
      <w:numFmt w:val="decimal"/>
      <w:start w:val="2"/>
    </w:lvl>
  </w:abstractNum>
  <w:abstractNum w:abstractNumId="45">
    <w:nsid w:val="2F305DEF"/>
    <w:multiLevelType w:val="hybridMultilevel"/>
    <w:lvl w:ilvl="0">
      <w:lvlJc w:val="left"/>
      <w:lvlText w:val="%1."/>
      <w:numFmt w:val="decimal"/>
      <w:start w:val="3"/>
    </w:lvl>
  </w:abstractNum>
  <w:abstractNum w:abstractNumId="46">
    <w:nsid w:val="25A70BF7"/>
    <w:multiLevelType w:val="hybridMultilevel"/>
    <w:lvl w:ilvl="0">
      <w:lvlJc w:val="left"/>
      <w:lvlText w:val="%1."/>
      <w:numFmt w:val="decimal"/>
      <w:start w:val="4"/>
    </w:lvl>
  </w:abstractNum>
  <w:abstractNum w:abstractNumId="47">
    <w:nsid w:val="1DBABF00"/>
    <w:multiLevelType w:val="hybridMultilevel"/>
    <w:lvl w:ilvl="0">
      <w:lvlJc w:val="left"/>
      <w:lvlText w:val="(%1)"/>
      <w:numFmt w:val="lowerLetter"/>
      <w:start w:val="1"/>
    </w:lvl>
  </w:abstractNum>
  <w:abstractNum w:abstractNumId="48">
    <w:nsid w:val="4AD084E9"/>
    <w:multiLevelType w:val="hybridMultilevel"/>
    <w:lvl w:ilvl="0">
      <w:lvlJc w:val="left"/>
      <w:lvlText w:val="(%1)"/>
      <w:numFmt w:val="lowerLetter"/>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decimal"/>
      <w:start w:val="2"/>
    </w:lvl>
  </w:abstractNum>
  <w:abstractNum w:abstractNumId="51">
    <w:nsid w:val="5DB70AE5"/>
    <w:multiLevelType w:val="hybridMultilevel"/>
    <w:lvl w:ilvl="0">
      <w:lvlJc w:val="left"/>
      <w:lvlText w:val="(%1)"/>
      <w:numFmt w:val="lowerLetter"/>
      <w:start w:val="1"/>
    </w:lvl>
  </w:abstractNum>
  <w:abstractNum w:abstractNumId="52">
    <w:nsid w:val="100F8FCA"/>
    <w:multiLevelType w:val="hybridMultilevel"/>
    <w:lvl w:ilvl="0">
      <w:lvlJc w:val="left"/>
      <w:lvlText w:val="%1."/>
      <w:numFmt w:val="decimal"/>
      <w:start w:val="3"/>
    </w:lvl>
  </w:abstractNum>
  <w:abstractNum w:abstractNumId="53">
    <w:nsid w:val="6590700B"/>
    <w:multiLevelType w:val="hybridMultilevel"/>
    <w:lvl w:ilvl="0">
      <w:lvlJc w:val="left"/>
      <w:lvlText w:val="%1."/>
      <w:numFmt w:val="upperLetter"/>
      <w:start w:val="9"/>
    </w:lvl>
  </w:abstractNum>
  <w:abstractNum w:abstractNumId="54">
    <w:nsid w:val="15014ACB"/>
    <w:multiLevelType w:val="hybridMultilevel"/>
    <w:lvl w:ilvl="0">
      <w:lvlJc w:val="left"/>
      <w:lvlText w:val="%1."/>
      <w:numFmt w:val="decimal"/>
      <w:start w:val="1"/>
    </w:lvl>
  </w:abstractNum>
  <w:abstractNum w:abstractNumId="55">
    <w:nsid w:val="5F5E7FD0"/>
    <w:multiLevelType w:val="hybridMultilevel"/>
    <w:lvl w:ilvl="0">
      <w:lvlJc w:val="left"/>
      <w:lvlText w:val="%1."/>
      <w:numFmt w:val="upperLetter"/>
      <w:start w:val="35"/>
    </w:lvl>
  </w:abstractNum>
  <w:abstractNum w:abstractNumId="56">
    <w:nsid w:val="98A3148"/>
    <w:multiLevelType w:val="hybridMultilevel"/>
    <w:lvl w:ilvl="0">
      <w:lvlJc w:val="left"/>
      <w:lvlText w:val="%1."/>
      <w:numFmt w:val="upperLetter"/>
      <w:start w:val="1"/>
    </w:lvl>
    <w:lvl w:ilvl="1">
      <w:lvlJc w:val="left"/>
      <w:lvlText w:val="%2."/>
      <w:numFmt w:val="decimal"/>
      <w:start w:val="1"/>
    </w:lvl>
  </w:abstractNum>
  <w:abstractNum w:abstractNumId="57">
    <w:nsid w:val="799D024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58">
    <w:nsid w:val="6B94764"/>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59">
    <w:nsid w:val="42C296BD"/>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60">
    <w:nsid w:val="168E121F"/>
    <w:multiLevelType w:val="hybridMultilevel"/>
    <w:lvl w:ilvl="0">
      <w:lvlJc w:val="left"/>
      <w:lvlText w:val="%1."/>
      <w:numFmt w:val="decimal"/>
      <w:start w:val="2"/>
    </w:lvl>
  </w:abstractNum>
  <w:abstractNum w:abstractNumId="61">
    <w:nsid w:val="1EBA5D2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62">
    <w:nsid w:val="661E3F1E"/>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63">
    <w:nsid w:val="5DC79EA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64">
    <w:nsid w:val="540A471C"/>
    <w:multiLevelType w:val="hybridMultilevel"/>
    <w:lvl w:ilvl="0">
      <w:lvlJc w:val="left"/>
      <w:lvlText w:val="%1"/>
      <w:numFmt w:val="decimal"/>
      <w:start w:val="1"/>
    </w:lvl>
    <w:lvl w:ilvl="1">
      <w:lvlJc w:val="left"/>
      <w:lvlText w:val="%2)"/>
      <w:numFmt w:val="lowerLetter"/>
      <w:start w:val="2"/>
    </w:lvl>
  </w:abstractNum>
  <w:abstractNum w:abstractNumId="65">
    <w:nsid w:val="7BD3EE7B"/>
    <w:multiLevelType w:val="hybridMultilevel"/>
    <w:lvl w:ilvl="0">
      <w:lvlJc w:val="left"/>
      <w:lvlText w:val="%1."/>
      <w:numFmt w:val="decimal"/>
      <w:start w:val="2"/>
    </w:lvl>
    <w:lvl w:ilvl="1">
      <w:lvlJc w:val="left"/>
      <w:lvlText w:val="%2"/>
      <w:numFmt w:val="lowerLetter"/>
      <w:start w:val="1"/>
    </w:lvl>
  </w:abstractNum>
  <w:abstractNum w:abstractNumId="66">
    <w:nsid w:val="51D9C564"/>
    <w:multiLevelType w:val="hybridMultilevel"/>
    <w:lvl w:ilvl="0">
      <w:lvlJc w:val="left"/>
      <w:lvlText w:val="%1"/>
      <w:numFmt w:val="decimal"/>
      <w:start w:val="1"/>
    </w:lvl>
    <w:lvl w:ilvl="1">
      <w:lvlJc w:val="left"/>
      <w:lvlText w:val="%2."/>
      <w:numFmt w:val="upperLetter"/>
      <w:start w:val="1"/>
    </w:lvl>
  </w:abstractNum>
  <w:abstractNum w:abstractNumId="67">
    <w:nsid w:val="613EFDC5"/>
    <w:multiLevelType w:val="hybridMultilevel"/>
    <w:lvl w:ilvl="0">
      <w:lvlJc w:val="left"/>
      <w:lvlText w:val="%1."/>
      <w:numFmt w:val="decimal"/>
      <w:start w:val="5"/>
    </w:lvl>
    <w:lvl w:ilvl="1">
      <w:lvlJc w:val="left"/>
      <w:lvlText w:val="%2"/>
      <w:numFmt w:val="upperLetter"/>
      <w:start w:val="1"/>
    </w:lvl>
  </w:abstractNum>
  <w:abstractNum w:abstractNumId="68">
    <w:nsid w:val="BF72B14"/>
    <w:multiLevelType w:val="hybridMultilevel"/>
    <w:lvl w:ilvl="0">
      <w:lvlJc w:val="left"/>
      <w:lvlText w:val="%1."/>
      <w:numFmt w:val="decimal"/>
      <w:start w:val="7"/>
    </w:lvl>
  </w:abstractNum>
  <w:abstractNum w:abstractNumId="69">
    <w:nsid w:val="11447B73"/>
    <w:multiLevelType w:val="hybridMultilevel"/>
    <w:lvl w:ilvl="0">
      <w:lvlJc w:val="left"/>
      <w:lvlText w:val="%1."/>
      <w:numFmt w:val="decimal"/>
      <w:start w:val="9"/>
    </w:lvl>
    <w:lvl w:ilvl="1">
      <w:lvlJc w:val="left"/>
      <w:lvlText w:val="%2)"/>
      <w:numFmt w:val="lowerLetter"/>
      <w:start w:val="1"/>
    </w:lvl>
  </w:abstractNum>
  <w:abstractNum w:abstractNumId="70">
    <w:nsid w:val="42963E5A"/>
    <w:multiLevelType w:val="hybridMultilevel"/>
    <w:lvl w:ilvl="0">
      <w:lvlJc w:val="left"/>
      <w:lvlText w:val="%1."/>
      <w:numFmt w:val="upperLetter"/>
      <w:start w:val="1"/>
    </w:lvl>
  </w:abstractNum>
  <w:abstractNum w:abstractNumId="71">
    <w:nsid w:val="A0382C5"/>
    <w:multiLevelType w:val="hybridMultilevel"/>
    <w:lvl w:ilvl="0">
      <w:lvlJc w:val="left"/>
      <w:lvlText w:val="%1."/>
      <w:numFmt w:val="decimal"/>
      <w:start w:val="1"/>
    </w:lvl>
  </w:abstractNum>
  <w:abstractNum w:abstractNumId="72">
    <w:nsid w:val="8F2B15E"/>
    <w:multiLevelType w:val="hybridMultilevel"/>
    <w:lvl w:ilvl="0">
      <w:lvlJc w:val="left"/>
      <w:lvlText w:val="%1."/>
      <w:numFmt w:val="decimal"/>
      <w:start w:val="4"/>
    </w:lvl>
  </w:abstractNum>
  <w:abstractNum w:abstractNumId="73">
    <w:nsid w:val="1A32234B"/>
    <w:multiLevelType w:val="hybridMultilevel"/>
    <w:lvl w:ilvl="0">
      <w:lvlJc w:val="left"/>
      <w:lvlText w:val="%1."/>
      <w:numFmt w:val="upperLetter"/>
      <w:start w:val="3"/>
    </w:lvl>
  </w:abstractNum>
  <w:abstractNum w:abstractNumId="74">
    <w:nsid w:val="3B0FD379"/>
    <w:multiLevelType w:val="hybridMultilevel"/>
    <w:lvl w:ilvl="0">
      <w:lvlJc w:val="left"/>
      <w:lvlText w:val="-"/>
      <w:numFmt w:val="bullet"/>
      <w:start w:val="1"/>
    </w:lvl>
    <w:lvl w:ilvl="1">
      <w:lvlJc w:val="left"/>
      <w:lvlText w:val="%2."/>
      <w:numFmt w:val="upperLetter"/>
      <w:start w:val="4"/>
    </w:lvl>
  </w:abstractNum>
  <w:abstractNum w:abstractNumId="75">
    <w:nsid w:val="68EB2F63"/>
    <w:multiLevelType w:val="hybridMultilevel"/>
    <w:lvl w:ilvl="0">
      <w:lvlJc w:val="left"/>
      <w:lvlText w:val="%1."/>
      <w:numFmt w:val="decimal"/>
      <w:start w:val="1"/>
    </w:lvl>
  </w:abstractNum>
  <w:abstractNum w:abstractNumId="76">
    <w:nsid w:val="4962813B"/>
    <w:multiLevelType w:val="hybridMultilevel"/>
    <w:lvl w:ilvl="0">
      <w:lvlJc w:val="left"/>
      <w:lvlText w:val="(%1)"/>
      <w:numFmt w:val="lowerLetter"/>
      <w:start w:val="1"/>
    </w:lvl>
  </w:abstractNum>
  <w:abstractNum w:abstractNumId="77">
    <w:nsid w:val="60B6DF70"/>
    <w:multiLevelType w:val="hybridMultilevel"/>
    <w:lvl w:ilvl="0">
      <w:lvlJc w:val="left"/>
      <w:lvlText w:val="%1."/>
      <w:numFmt w:val="decimal"/>
      <w:start w:val="5"/>
    </w:lvl>
  </w:abstractNum>
  <w:abstractNum w:abstractNumId="78">
    <w:nsid w:val="6A5EE64"/>
    <w:multiLevelType w:val="hybridMultilevel"/>
    <w:lvl w:ilvl="0">
      <w:lvlJc w:val="left"/>
      <w:lvlText w:val="(%1)"/>
      <w:numFmt w:val="lowerLetter"/>
      <w:start w:val="1"/>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lowerLetter"/>
      <w:start w:val="1"/>
    </w:lvl>
  </w:abstractNum>
  <w:abstractNum w:abstractNumId="81">
    <w:nsid w:val="1A27709E"/>
    <w:multiLevelType w:val="hybridMultilevel"/>
    <w:lvl w:ilvl="0">
      <w:lvlJc w:val="left"/>
      <w:lvlText w:val="%1."/>
      <w:numFmt w:val="decimal"/>
      <w:start w:val="5"/>
    </w:lvl>
  </w:abstractNum>
  <w:abstractNum w:abstractNumId="82">
    <w:nsid w:val="71EA1109"/>
    <w:multiLevelType w:val="hybridMultilevel"/>
    <w:lvl w:ilvl="0">
      <w:lvlJc w:val="left"/>
      <w:lvlText w:val="(%1)"/>
      <w:numFmt w:val="lowerLetter"/>
      <w:start w:val="1"/>
    </w:lvl>
  </w:abstractNum>
  <w:abstractNum w:abstractNumId="83">
    <w:nsid w:val="100F59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9" Type="http://schemas.openxmlformats.org/officeDocument/2006/relationships/image" Target="media/image15.png"/><Relationship Id="rId32" Type="http://schemas.openxmlformats.org/officeDocument/2006/relationships/image" Target="media/image16.png"/><Relationship Id="rId35" Type="http://schemas.openxmlformats.org/officeDocument/2006/relationships/image" Target="media/image17.png"/><Relationship Id="rId38" Type="http://schemas.openxmlformats.org/officeDocument/2006/relationships/image" Target="media/image18.png"/><Relationship Id="rId41" Type="http://schemas.openxmlformats.org/officeDocument/2006/relationships/image" Target="media/image19.png"/><Relationship Id="rId44" Type="http://schemas.openxmlformats.org/officeDocument/2006/relationships/image" Target="media/image20.png"/><Relationship Id="rId47" Type="http://schemas.openxmlformats.org/officeDocument/2006/relationships/image" Target="media/image21.png"/><Relationship Id="rId50" Type="http://schemas.openxmlformats.org/officeDocument/2006/relationships/image" Target="media/image22.png"/><Relationship Id="rId53" Type="http://schemas.openxmlformats.org/officeDocument/2006/relationships/image" Target="media/image23.png"/><Relationship Id="rId56" Type="http://schemas.openxmlformats.org/officeDocument/2006/relationships/image" Target="media/image24.png"/><Relationship Id="rId59" Type="http://schemas.openxmlformats.org/officeDocument/2006/relationships/image" Target="media/image25.png"/><Relationship Id="rId62" Type="http://schemas.openxmlformats.org/officeDocument/2006/relationships/image" Target="media/image26.png"/><Relationship Id="rId65" Type="http://schemas.openxmlformats.org/officeDocument/2006/relationships/image" Target="media/image27.png"/><Relationship Id="rId68" Type="http://schemas.openxmlformats.org/officeDocument/2006/relationships/image" Target="media/image28.png"/><Relationship Id="rId71" Type="http://schemas.openxmlformats.org/officeDocument/2006/relationships/image" Target="media/image29.png"/><Relationship Id="rId74" Type="http://schemas.openxmlformats.org/officeDocument/2006/relationships/image" Target="media/image30.png"/><Relationship Id="rId77" Type="http://schemas.openxmlformats.org/officeDocument/2006/relationships/image" Target="media/image31.png"/><Relationship Id="rId80" Type="http://schemas.openxmlformats.org/officeDocument/2006/relationships/image" Target="media/image32.png"/><Relationship Id="rId83" Type="http://schemas.openxmlformats.org/officeDocument/2006/relationships/image" Target="media/image33.png"/><Relationship Id="rId86" Type="http://schemas.openxmlformats.org/officeDocument/2006/relationships/image" Target="media/image34.png"/><Relationship Id="rId89" Type="http://schemas.openxmlformats.org/officeDocument/2006/relationships/image" Target="media/image35.png"/><Relationship Id="rId92" Type="http://schemas.openxmlformats.org/officeDocument/2006/relationships/image" Target="media/image36.png"/><Relationship Id="rId93" Type="http://schemas.openxmlformats.org/officeDocument/2006/relationships/image" Target="media/image37.png"/><Relationship Id="rId95" Type="http://schemas.openxmlformats.org/officeDocument/2006/relationships/image" Target="media/image38.png"/><Relationship Id="rId96" Type="http://schemas.openxmlformats.org/officeDocument/2006/relationships/image" Target="media/image39.png"/><Relationship Id="rId97" Type="http://schemas.openxmlformats.org/officeDocument/2006/relationships/image" Target="media/image40.png"/><Relationship Id="rId98" Type="http://schemas.openxmlformats.org/officeDocument/2006/relationships/image" Target="media/image41.png"/><Relationship Id="rId99" Type="http://schemas.openxmlformats.org/officeDocument/2006/relationships/image" Target="media/image42.png"/><Relationship Id="rId100" Type="http://schemas.openxmlformats.org/officeDocument/2006/relationships/image" Target="media/image43.png"/><Relationship Id="rId101" Type="http://schemas.openxmlformats.org/officeDocument/2006/relationships/image" Target="media/image44.png"/><Relationship Id="rId102" Type="http://schemas.openxmlformats.org/officeDocument/2006/relationships/image" Target="media/image45.png"/><Relationship Id="rId103" Type="http://schemas.openxmlformats.org/officeDocument/2006/relationships/image" Target="media/image46.png"/><Relationship Id="rId104" Type="http://schemas.openxmlformats.org/officeDocument/2006/relationships/image" Target="media/image47.png"/><Relationship Id="rId105" Type="http://schemas.openxmlformats.org/officeDocument/2006/relationships/image" Target="media/image48.png"/><Relationship Id="rId106" Type="http://schemas.openxmlformats.org/officeDocument/2006/relationships/image" Target="media/image49.png"/><Relationship Id="rId107" Type="http://schemas.openxmlformats.org/officeDocument/2006/relationships/image" Target="media/image50.png"/><Relationship Id="rId108" Type="http://schemas.openxmlformats.org/officeDocument/2006/relationships/image" Target="media/image51.png"/><Relationship Id="rId109" Type="http://schemas.openxmlformats.org/officeDocument/2006/relationships/image" Target="media/image52.png"/><Relationship Id="rId110" Type="http://schemas.openxmlformats.org/officeDocument/2006/relationships/image" Target="media/image53.png"/><Relationship Id="rId111" Type="http://schemas.openxmlformats.org/officeDocument/2006/relationships/image" Target="media/image54.png"/><Relationship Id="rId112" Type="http://schemas.openxmlformats.org/officeDocument/2006/relationships/image" Target="media/image55.png"/><Relationship Id="rId113" Type="http://schemas.openxmlformats.org/officeDocument/2006/relationships/image" Target="media/image56.png"/><Relationship Id="rId114" Type="http://schemas.openxmlformats.org/officeDocument/2006/relationships/image" Target="media/image57.png"/><Relationship Id="rId115" Type="http://schemas.openxmlformats.org/officeDocument/2006/relationships/image" Target="media/image58.png"/><Relationship Id="rId116" Type="http://schemas.openxmlformats.org/officeDocument/2006/relationships/image" Target="media/image59.png"/><Relationship Id="rId117" Type="http://schemas.openxmlformats.org/officeDocument/2006/relationships/image" Target="media/image60.png"/><Relationship Id="rId118" Type="http://schemas.openxmlformats.org/officeDocument/2006/relationships/image" Target="media/image61.png"/><Relationship Id="rId119" Type="http://schemas.openxmlformats.org/officeDocument/2006/relationships/image" Target="media/image62.png"/><Relationship Id="rId120" Type="http://schemas.openxmlformats.org/officeDocument/2006/relationships/image" Target="media/image63.png"/><Relationship Id="rId121" Type="http://schemas.openxmlformats.org/officeDocument/2006/relationships/image" Target="media/image64.png"/><Relationship Id="rId122" Type="http://schemas.openxmlformats.org/officeDocument/2006/relationships/image" Target="media/image65.png"/><Relationship Id="rId123" Type="http://schemas.openxmlformats.org/officeDocument/2006/relationships/image" Target="media/image66.png"/><Relationship Id="rId124" Type="http://schemas.openxmlformats.org/officeDocument/2006/relationships/image" Target="media/image67.png"/><Relationship Id="rId125" Type="http://schemas.openxmlformats.org/officeDocument/2006/relationships/image" Target="media/image68.png"/><Relationship Id="rId126" Type="http://schemas.openxmlformats.org/officeDocument/2006/relationships/image" Target="media/image69.png"/><Relationship Id="rId127" Type="http://schemas.openxmlformats.org/officeDocument/2006/relationships/image" Target="media/image70.png"/><Relationship Id="rId128" Type="http://schemas.openxmlformats.org/officeDocument/2006/relationships/image" Target="media/image71.png"/><Relationship Id="rId129" Type="http://schemas.openxmlformats.org/officeDocument/2006/relationships/image" Target="media/image72.png"/><Relationship Id="rId130" Type="http://schemas.openxmlformats.org/officeDocument/2006/relationships/image" Target="media/image73.png"/><Relationship Id="rId131" Type="http://schemas.openxmlformats.org/officeDocument/2006/relationships/image" Target="media/image74.png"/><Relationship Id="rId132" Type="http://schemas.openxmlformats.org/officeDocument/2006/relationships/image" Target="media/image75.png"/><Relationship Id="rId133" Type="http://schemas.openxmlformats.org/officeDocument/2006/relationships/image" Target="media/image76.png"/><Relationship Id="rId134" Type="http://schemas.openxmlformats.org/officeDocument/2006/relationships/image" Target="media/image77.png"/><Relationship Id="rId135" Type="http://schemas.openxmlformats.org/officeDocument/2006/relationships/image" Target="media/image78.png"/><Relationship Id="rId136" Type="http://schemas.openxmlformats.org/officeDocument/2006/relationships/image" Target="media/image79.png"/><Relationship Id="rId137" Type="http://schemas.openxmlformats.org/officeDocument/2006/relationships/image" Target="media/image80.png"/><Relationship Id="rId138" Type="http://schemas.openxmlformats.org/officeDocument/2006/relationships/image" Target="media/image81.png"/><Relationship Id="rId139" Type="http://schemas.openxmlformats.org/officeDocument/2006/relationships/image" Target="media/image82.png"/><Relationship Id="rId140" Type="http://schemas.openxmlformats.org/officeDocument/2006/relationships/image" Target="media/image83.png"/><Relationship Id="rId141" Type="http://schemas.openxmlformats.org/officeDocument/2006/relationships/image" Target="media/image84.png"/><Relationship Id="rId142" Type="http://schemas.openxmlformats.org/officeDocument/2006/relationships/image" Target="media/image85.png"/><Relationship Id="rId143" Type="http://schemas.openxmlformats.org/officeDocument/2006/relationships/image" Target="media/image86.png"/><Relationship Id="rId22" Type="http://schemas.openxmlformats.org/officeDocument/2006/relationships/hyperlink" Target="http://www.sec.gov/Archives/edgar/data/1639691/000119312515137291/d904675ds4.htm#rom904675_166" TargetMode="External"/><Relationship Id="rId23" Type="http://schemas.openxmlformats.org/officeDocument/2006/relationships/hyperlink" Target="http://www.sec.gov/Archives/edgar/data/1639691/000119312517347419/d472851dex21.htm" TargetMode="External"/><Relationship Id="rId24" Type="http://schemas.openxmlformats.org/officeDocument/2006/relationships/hyperlink" Target="http://www.sec.gov/Archives/edgar/data/1639691/000119312518074964/d542715dex21.htm" TargetMode="External"/><Relationship Id="rId25" Type="http://schemas.openxmlformats.org/officeDocument/2006/relationships/hyperlink" Target="http://www.sec.gov/Archives/edgar/data/1639691/000163969117000060/exhibit31livanovaarticleso.htm" TargetMode="External"/><Relationship Id="rId26" Type="http://schemas.openxmlformats.org/officeDocument/2006/relationships/hyperlink" Target="http://www.sec.gov/Archives/edgar/data/1639691/000119312515347177/d51483dex101.htm" TargetMode="External"/><Relationship Id="rId27" Type="http://schemas.openxmlformats.org/officeDocument/2006/relationships/hyperlink" Target="http://www.sec.gov/Archives/edgar/data/1639691/000119312515347177/d51483dex103.htm" TargetMode="External"/><Relationship Id="rId28" Type="http://schemas.openxmlformats.org/officeDocument/2006/relationships/hyperlink" Target="http://www.sec.gov/Archives/edgar/data/1639691/000119312515347177/d51483dex104.htm" TargetMode="External"/><Relationship Id="rId30" Type="http://schemas.openxmlformats.org/officeDocument/2006/relationships/hyperlink" Target="http://www.sec.gov/Archives/edgar/data/1639691/000119312515347176/d58097dex101.htm" TargetMode="External"/><Relationship Id="rId31" Type="http://schemas.openxmlformats.org/officeDocument/2006/relationships/hyperlink" Target="http://www.sec.gov/Archives/edgar/data/1639691/000119312515347176/d58097dex102.htm" TargetMode="External"/><Relationship Id="rId33" Type="http://schemas.openxmlformats.org/officeDocument/2006/relationships/hyperlink" Target="http://www.sec.gov/Archives/edgar/data/1639691/000119312515347176/d58097dex103.htm" TargetMode="External"/><Relationship Id="rId34" Type="http://schemas.openxmlformats.org/officeDocument/2006/relationships/hyperlink" Target="http://www.sec.gov/Archives/edgar/data/1639691/000119312515347176/d58097dex105.htm" TargetMode="External"/><Relationship Id="rId36" Type="http://schemas.openxmlformats.org/officeDocument/2006/relationships/hyperlink" Target="http://www.sec.gov/Archives/edgar/data/1639691/000119312515347176/d58097dex106.htm" TargetMode="External"/><Relationship Id="rId37" Type="http://schemas.openxmlformats.org/officeDocument/2006/relationships/hyperlink" Target="http://www.sec.gov/Archives/edgar/data/864683/000086468312000026/def14.htm#appendixa" TargetMode="External"/><Relationship Id="rId39" Type="http://schemas.openxmlformats.org/officeDocument/2006/relationships/hyperlink" Target="http://www.sec.gov/Archives/edgar/data/864683/000086468308000044/ex10-3.htm" TargetMode="External"/><Relationship Id="rId40" Type="http://schemas.openxmlformats.org/officeDocument/2006/relationships/hyperlink" Target="http://www.sec.gov/Archives/edgar/data/1639691/000163969116000066/livn-2016930xex1048.htm" TargetMode="External"/><Relationship Id="rId42" Type="http://schemas.openxmlformats.org/officeDocument/2006/relationships/hyperlink" Target="http://www.sec.gov/Archives/edgar/data/1639691/000119312516590981/d175464ddef14a.htm#tx175464_17" TargetMode="External"/><Relationship Id="rId43" Type="http://schemas.openxmlformats.org/officeDocument/2006/relationships/hyperlink" Target="http://www.sec.gov/Archives/edgar/data/1639691/000119312516590981/d175464ddef14a.htm#tx175464_18" TargetMode="External"/><Relationship Id="rId45" Type="http://schemas.openxmlformats.org/officeDocument/2006/relationships/hyperlink" Target="http://www.sec.gov/Archives/edgar/data/1639691/000163969116000055/form8_k.htm" TargetMode="External"/><Relationship Id="rId46" Type="http://schemas.openxmlformats.org/officeDocument/2006/relationships/hyperlink" Target="http://www.sec.gov/Archives/edgar/data/1639691/000163969117000011/livn-20161231xex1058.htm" TargetMode="External"/><Relationship Id="rId48" Type="http://schemas.openxmlformats.org/officeDocument/2006/relationships/hyperlink" Target="http://www.sec.gov/Archives/edgar/data/1639691/000163969117000011/livn-20161231xex1059.htm" TargetMode="External"/><Relationship Id="rId49" Type="http://schemas.openxmlformats.org/officeDocument/2006/relationships/hyperlink" Target="http://www.sec.gov/Archives/edgar/data/1639691/000163969117000043/exhibit101-livanova2017ser.htm" TargetMode="External"/><Relationship Id="rId51" Type="http://schemas.openxmlformats.org/officeDocument/2006/relationships/hyperlink" Target="http://www.sec.gov/Archives/edgar/data/1639691/000163969117000043/exhibit102-livanova2017per.htm" TargetMode="External"/><Relationship Id="rId52" Type="http://schemas.openxmlformats.org/officeDocument/2006/relationships/hyperlink" Target="http://www.sec.gov/Archives/edgar/data/1639691/000163969117000004/ex_10_2.htm" TargetMode="External"/><Relationship Id="rId54" Type="http://schemas.openxmlformats.org/officeDocument/2006/relationships/hyperlink" Target="http://www.sec.gov/Archives/edgar/data/1639691/000163969117000004/ex_10_3.htm" TargetMode="External"/><Relationship Id="rId55" Type="http://schemas.openxmlformats.org/officeDocument/2006/relationships/hyperlink" Target="http://www.sec.gov/Archives/edgar/data/1639691/000163969117000047/thadhuston-livanovaservice.htm" TargetMode="External"/><Relationship Id="rId57" Type="http://schemas.openxmlformats.org/officeDocument/2006/relationships/hyperlink" Target="http://www.sec.gov/Archives/edgar/data/1639691/000163969117000047/thadhustonequitysideletter.htm" TargetMode="External"/><Relationship Id="rId58" Type="http://schemas.openxmlformats.org/officeDocument/2006/relationships/hyperlink" Target="http://www.sec.gov/Archives/edgar/data/1639691/000163969117000087/livn-20170630xex106.htm" TargetMode="External"/><Relationship Id="rId60" Type="http://schemas.openxmlformats.org/officeDocument/2006/relationships/hyperlink" Target="http://www.sec.gov/Archives/edgar/data/1639691/000163969118000016/livn-20171231xex1074.htm" TargetMode="External"/><Relationship Id="rId61" Type="http://schemas.openxmlformats.org/officeDocument/2006/relationships/hyperlink" Target="http://www.sec.gov/Archives/edgar/data/1639691/000163969117000049/defa14a51617.htm#sEAFA5E5F9F1F5F29A77A6E915E832FC8" TargetMode="External"/><Relationship Id="rId63" Type="http://schemas.openxmlformats.org/officeDocument/2006/relationships/hyperlink" Target="http://www.sec.gov/Archives/edgar/data/1639691/000163969117000049/defa14a51617.htm#s3F2DB8A3F7BF5494A711349DEB7368F7" TargetMode="External"/><Relationship Id="rId64" Type="http://schemas.openxmlformats.org/officeDocument/2006/relationships/hyperlink" Target="http://www.sec.gov/Archives/edgar/data/1639691/000163969118000024/exhibit101_descriptionof20.htm" TargetMode="External"/><Relationship Id="rId66" Type="http://schemas.openxmlformats.org/officeDocument/2006/relationships/hyperlink" Target="http://www.sec.gov/Archives/edgar/data/1639691/000163969118000024/exhibit102_formof2018longt.htm" TargetMode="External"/><Relationship Id="rId67" Type="http://schemas.openxmlformats.org/officeDocument/2006/relationships/hyperlink" Target="http://www.sec.gov/Archives/edgar/data/1639691/000163969118000024/exhibit103_formof2018longt.htm" TargetMode="External"/><Relationship Id="rId69" Type="http://schemas.openxmlformats.org/officeDocument/2006/relationships/hyperlink" Target="http://www.sec.gov/Archives/edgar/data/1639691/000163969118000024/exhibit104_formof2018longt.htm" TargetMode="External"/><Relationship Id="rId70" Type="http://schemas.openxmlformats.org/officeDocument/2006/relationships/hyperlink" Target="http://www.sec.gov/Archives/edgar/data/1639691/000163969118000024/exhibit105_formof2018longt.htm" TargetMode="External"/><Relationship Id="rId72" Type="http://schemas.openxmlformats.org/officeDocument/2006/relationships/hyperlink" Target="http://www.sec.gov/Archives/edgar/data/1639691/000163969118000005/form8-k2018stipexhibit101.htm" TargetMode="External"/><Relationship Id="rId73" Type="http://schemas.openxmlformats.org/officeDocument/2006/relationships/hyperlink" Target="http://www.sec.gov/Archives/edgar/data/1639691/000163969118000084/livn-20180630xex104.htm" TargetMode="External"/><Relationship Id="rId75" Type="http://schemas.openxmlformats.org/officeDocument/2006/relationships/hyperlink" Target="http://www.sec.gov/Archives/edgar/data/1639691/000163969118000084/livn-20180630xex105.htm" TargetMode="External"/><Relationship Id="rId76" Type="http://schemas.openxmlformats.org/officeDocument/2006/relationships/hyperlink" Target="http://www.sec.gov/Archives/edgar/data/1639691/000163969119000027/ex101_livanova2019stiprevi.htm" TargetMode="External"/><Relationship Id="rId78" Type="http://schemas.openxmlformats.org/officeDocument/2006/relationships/hyperlink" Target="http://www.sec.gov/Archives/edgar/data/1639691/000163969119000048/ex10_1livanovafacilityagre.htm" TargetMode="External"/><Relationship Id="rId79" Type="http://schemas.openxmlformats.org/officeDocument/2006/relationships/hyperlink" Target="http://www.sec.gov/Archives/edgar/data/1639691/000163969119000052/ex10_12019livanovalong-ter.htm" TargetMode="External"/><Relationship Id="rId81" Type="http://schemas.openxmlformats.org/officeDocument/2006/relationships/hyperlink" Target="http://www.sec.gov/Archives/edgar/data/1639691/000163969119000052/ex10_2formof2019ltiprsuawa.htm" TargetMode="External"/><Relationship Id="rId82" Type="http://schemas.openxmlformats.org/officeDocument/2006/relationships/hyperlink" Target="http://www.sec.gov/Archives/edgar/data/1639691/000163969119000052/ex10_3formof2019ltipsarawa.htm" TargetMode="External"/><Relationship Id="rId84" Type="http://schemas.openxmlformats.org/officeDocument/2006/relationships/hyperlink" Target="http://www.sec.gov/Archives/edgar/data/1639691/000163969119000052/ex10_4formof2019ltippsuawa.htm" TargetMode="External"/><Relationship Id="rId85" Type="http://schemas.openxmlformats.org/officeDocument/2006/relationships/hyperlink" Target="http://www.sec.gov/Archives/edgar/data/1639691/000163969119000052/ex10_5formof2019ltippsuawa.htm" TargetMode="External"/><Relationship Id="rId87" Type="http://schemas.openxmlformats.org/officeDocument/2006/relationships/hyperlink" Target="http://www.sec.gov/Archives/edgar/data/1639691/000163969119000072/livn-20190331xex109.htm" TargetMode="External"/><Relationship Id="rId88" Type="http://schemas.openxmlformats.org/officeDocument/2006/relationships/hyperlink" Target="http://www.sec.gov/Archives/edgar/data/1639691/000163969119000120/livn-20190630xex101.htm" TargetMode="External"/><Relationship Id="rId90" Type="http://schemas.openxmlformats.org/officeDocument/2006/relationships/hyperlink" Target="http://www.sec.gov/Archives/edgar/data/1639691/000163969119000120/livn20190630-ex102.htm" TargetMode="External"/><Relationship Id="rId91" Type="http://schemas.openxmlformats.org/officeDocument/2006/relationships/hyperlink" Target="http://www.sec.gov/Archives/edgar/data/1639691/000163969119000120/livn-20190630xex103.htm" TargetMode="External"/><Relationship Id="rId94" Type="http://schemas.openxmlformats.org/officeDocument/2006/relationships/hyperlink" Target="http://www.sec.gov/Archives/edgar/data/1639691/000163969118000033/exhibit161pwc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2020-03-02T13:06:58Z</dcterms:created>
  <dcterms:modified xsi:type="dcterms:W3CDTF">2020-03-02T13:06:58Z</dcterms:modified>
</cp:coreProperties>
</file>