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02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BIFULCO ROSARIO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40" w:type="dxa"/>
            <w:vAlign w:val="bottom"/>
            <w:tcBorders>
              <w:top w:val="single" w:sz="8" w:color="0000EE"/>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1100" w:type="dxa"/>
            <w:vAlign w:val="bottom"/>
          </w:tcPr>
          <w:p>
            <w:pPr>
              <w:ind w:left="180"/>
              <w:spacing w:after="0"/>
              <w:rPr>
                <w:sz w:val="20"/>
                <w:szCs w:val="20"/>
                <w:color w:val="auto"/>
              </w:rPr>
            </w:pPr>
            <w:r>
              <w:rPr>
                <w:rFonts w:ascii="Arial" w:cs="Arial" w:eastAsia="Arial" w:hAnsi="Arial"/>
                <w:sz w:val="18"/>
                <w:szCs w:val="18"/>
                <w:color w:val="0000FF"/>
              </w:rPr>
              <w:t>X0</w:t>
            </w:r>
          </w:p>
        </w:tc>
        <w:tc>
          <w:tcPr>
            <w:tcW w:w="1200" w:type="dxa"/>
            <w:vAlign w:val="bottom"/>
          </w:tcPr>
          <w:p>
            <w:pPr>
              <w:ind w:left="160"/>
              <w:spacing w:after="0"/>
              <w:rPr>
                <w:sz w:val="20"/>
                <w:szCs w:val="20"/>
                <w:color w:val="auto"/>
              </w:rPr>
            </w:pPr>
            <w:r>
              <w:rPr>
                <w:rFonts w:ascii="Arial" w:cs="Arial" w:eastAsia="Arial" w:hAnsi="Arial"/>
                <w:sz w:val="18"/>
                <w:szCs w:val="18"/>
                <w:color w:val="0000FF"/>
              </w:rPr>
              <w:t>W2 1AY</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642"/>
              <w:spacing w:after="0"/>
              <w:rPr>
                <w:sz w:val="20"/>
                <w:szCs w:val="20"/>
                <w:color w:val="auto"/>
              </w:rPr>
            </w:pPr>
            <w:r>
              <w:rPr>
                <w:rFonts w:ascii="Arial" w:cs="Arial" w:eastAsia="Arial" w:hAnsi="Arial"/>
                <w:sz w:val="18"/>
                <w:szCs w:val="18"/>
                <w:color w:val="0000FF"/>
              </w:rPr>
              <w:t>127,396</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center"/>
              <w:ind w:right="642"/>
              <w:spacing w:after="0"/>
              <w:rPr>
                <w:sz w:val="20"/>
                <w:szCs w:val="20"/>
                <w:color w:val="auto"/>
              </w:rPr>
            </w:pPr>
            <w:r>
              <w:rPr>
                <w:rFonts w:ascii="Arial" w:cs="Arial" w:eastAsia="Arial" w:hAnsi="Arial"/>
                <w:sz w:val="18"/>
                <w:szCs w:val="18"/>
                <w:color w:val="0000FF"/>
              </w:rPr>
              <w:t>1,209</w:t>
            </w:r>
            <w:r>
              <w:rPr>
                <w:rFonts w:ascii="Arial" w:cs="Arial" w:eastAsia="Arial" w:hAnsi="Arial"/>
                <w:sz w:val="22"/>
                <w:szCs w:val="22"/>
                <w:color w:val="008000"/>
                <w:vertAlign w:val="superscript"/>
              </w:rPr>
              <w:t>(1)</w:t>
            </w:r>
          </w:p>
        </w:tc>
        <w:tc>
          <w:tcPr>
            <w:tcW w:w="90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Option to purchase common stock</w:t>
            </w:r>
          </w:p>
        </w:tc>
        <w:tc>
          <w:tcPr>
            <w:tcW w:w="1560" w:type="dxa"/>
            <w:vAlign w:val="bottom"/>
            <w:gridSpan w:val="2"/>
          </w:tcPr>
          <w:p>
            <w:pPr>
              <w:jc w:val="right"/>
              <w:ind w:right="69"/>
              <w:spacing w:after="0"/>
              <w:rPr>
                <w:sz w:val="20"/>
                <w:szCs w:val="20"/>
                <w:color w:val="auto"/>
              </w:rPr>
            </w:pPr>
            <w:r>
              <w:rPr>
                <w:rFonts w:ascii="Arial" w:cs="Arial" w:eastAsia="Arial" w:hAnsi="Arial"/>
                <w:sz w:val="14"/>
                <w:szCs w:val="14"/>
                <w:color w:val="0000FF"/>
              </w:rPr>
              <w:t>10/19/2015</w:t>
            </w:r>
          </w:p>
        </w:tc>
        <w:tc>
          <w:tcPr>
            <w:tcW w:w="800" w:type="dxa"/>
            <w:vAlign w:val="bottom"/>
          </w:tcPr>
          <w:p>
            <w:pPr>
              <w:jc w:val="right"/>
              <w:ind w:right="12"/>
              <w:spacing w:after="0"/>
              <w:rPr>
                <w:sz w:val="20"/>
                <w:szCs w:val="20"/>
                <w:color w:val="auto"/>
              </w:rPr>
            </w:pPr>
            <w:r>
              <w:rPr>
                <w:rFonts w:ascii="Arial" w:cs="Arial" w:eastAsia="Arial" w:hAnsi="Arial"/>
                <w:sz w:val="14"/>
                <w:szCs w:val="14"/>
                <w:color w:val="0000FF"/>
                <w:w w:val="99"/>
              </w:rPr>
              <w:t>10/19/2018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10,539</w:t>
            </w:r>
          </w:p>
        </w:tc>
        <w:tc>
          <w:tcPr>
            <w:tcW w:w="880" w:type="dxa"/>
            <w:vAlign w:val="bottom"/>
          </w:tcPr>
          <w:p>
            <w:pPr>
              <w:ind w:left="240"/>
              <w:spacing w:after="0"/>
              <w:rPr>
                <w:sz w:val="20"/>
                <w:szCs w:val="20"/>
                <w:color w:val="auto"/>
              </w:rPr>
            </w:pPr>
            <w:r>
              <w:rPr>
                <w:rFonts w:ascii="Arial" w:cs="Arial" w:eastAsia="Arial" w:hAnsi="Arial"/>
                <w:sz w:val="18"/>
                <w:szCs w:val="18"/>
                <w:color w:val="0000FF"/>
              </w:rPr>
              <w:t>51.34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an award of restricted stock units ("RSUs"), such shares shall vest and all forfeiture restrictions thereon to lapse on April 29, 2016. The restricted shares are subject to forfeiture prior to vesting in accordance with the terms of the Restricted Stock Agreement.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9"/>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10/22/2015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50090"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2019-12-23T21:36:47Z</dcterms:created>
  <dcterms:modified xsi:type="dcterms:W3CDTF">2019-12-23T21:36:47Z</dcterms:modified>
</cp:coreProperties>
</file>