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5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50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Andrle Edward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General Manager, NM</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jc w:val="both"/>
        <w:ind w:left="40" w:right="80"/>
        <w:spacing w:after="0" w:line="239" w:lineRule="auto"/>
        <w:rPr>
          <w:sz w:val="20"/>
          <w:szCs w:val="20"/>
          <w:color w:val="auto"/>
        </w:rPr>
      </w:pPr>
      <w:r>
        <w:rPr>
          <w:rFonts w:ascii="Arial" w:cs="Arial" w:eastAsia="Arial" w:hAnsi="Arial"/>
          <w:sz w:val="14"/>
          <w:szCs w:val="14"/>
          <w:color w:val="008000"/>
        </w:rPr>
        <w:t>The reporting person retired as General Manager, NM, effective January 1, 2020. As a result, the reporting person is no longer subject to Section 16 in connection with his transactions in the equity securities of LivaNova PLC and therefore will no longer report any such transactions on Form 4 or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01/07/2020</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2020-01-07T15:43:11Z</dcterms:created>
  <dcterms:modified xsi:type="dcterms:W3CDTF">2020-01-07T15:43:11Z</dcterms:modified>
</cp:coreProperties>
</file>