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8-K/A</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224155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Pursuant to Section 13 or 15(d)</w:t>
      </w:r>
    </w:p>
    <w:p>
      <w:pPr>
        <w:jc w:val="center"/>
        <w:ind w:right="-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Date of Report (Date of earliest event reported): March 31, 2016 (October 19,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422910</wp:posOffset>
            </wp:positionV>
            <wp:extent cx="1483360" cy="48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3360"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LivaNova PLC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302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England and Wales</w:t>
            </w:r>
          </w:p>
        </w:tc>
        <w:tc>
          <w:tcPr>
            <w:tcW w:w="3520" w:type="dxa"/>
            <w:vAlign w:val="bottom"/>
          </w:tcPr>
          <w:p>
            <w:pPr>
              <w:ind w:left="1340"/>
              <w:spacing w:after="0"/>
              <w:rPr>
                <w:sz w:val="20"/>
                <w:szCs w:val="20"/>
                <w:color w:val="auto"/>
              </w:rPr>
            </w:pPr>
            <w:r>
              <w:rPr>
                <w:rFonts w:ascii="Arial" w:cs="Arial" w:eastAsia="Arial" w:hAnsi="Arial"/>
                <w:sz w:val="18"/>
                <w:szCs w:val="18"/>
                <w:b w:val="1"/>
                <w:bCs w:val="1"/>
                <w:color w:val="auto"/>
              </w:rPr>
              <w:t>001-37599</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98-1268150</w:t>
            </w:r>
          </w:p>
        </w:tc>
      </w:tr>
      <w:tr>
        <w:trPr>
          <w:trHeight w:val="149"/>
        </w:trPr>
        <w:tc>
          <w:tcPr>
            <w:tcW w:w="3020" w:type="dxa"/>
            <w:vAlign w:val="bottom"/>
          </w:tcPr>
          <w:p>
            <w:pPr>
              <w:jc w:val="center"/>
              <w:ind w:right="124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520" w:type="dxa"/>
            <w:vAlign w:val="bottom"/>
          </w:tcPr>
          <w:p>
            <w:pPr>
              <w:ind w:left="13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02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20" w:type="dxa"/>
            <w:vAlign w:val="bottom"/>
          </w:tcPr>
          <w:p>
            <w:pPr>
              <w:ind w:left="13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5 Merchant Square</w:t>
      </w:r>
    </w:p>
    <w:p>
      <w:pPr>
        <w:spacing w:after="0" w:line="27"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North Wharf Road</w:t>
      </w:r>
    </w:p>
    <w:p>
      <w:pPr>
        <w:spacing w:after="0" w:line="9"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London, W2 1AY</w:t>
      </w:r>
    </w:p>
    <w:p>
      <w:pPr>
        <w:spacing w:after="0" w:line="9"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+44 20 37865275</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6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2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As previously reported on the Current Report on Form 8-K originally filed by LivaNova PLC (the “</w:t>
      </w:r>
      <w:r>
        <w:rPr>
          <w:rFonts w:ascii="Arial" w:cs="Arial" w:eastAsia="Arial" w:hAnsi="Arial"/>
          <w:sz w:val="18"/>
          <w:szCs w:val="18"/>
          <w:i w:val="1"/>
          <w:iCs w:val="1"/>
          <w:color w:val="auto"/>
        </w:rPr>
        <w:t>Company</w:t>
      </w:r>
      <w:r>
        <w:rPr>
          <w:rFonts w:ascii="Arial" w:cs="Arial" w:eastAsia="Arial" w:hAnsi="Arial"/>
          <w:sz w:val="18"/>
          <w:szCs w:val="18"/>
          <w:color w:val="auto"/>
        </w:rPr>
        <w:t>” or “</w:t>
      </w:r>
      <w:r>
        <w:rPr>
          <w:rFonts w:ascii="Arial" w:cs="Arial" w:eastAsia="Arial" w:hAnsi="Arial"/>
          <w:sz w:val="18"/>
          <w:szCs w:val="18"/>
          <w:i w:val="1"/>
          <w:iCs w:val="1"/>
          <w:color w:val="auto"/>
        </w:rPr>
        <w:t>LivaNova</w:t>
      </w:r>
      <w:r>
        <w:rPr>
          <w:rFonts w:ascii="Arial" w:cs="Arial" w:eastAsia="Arial" w:hAnsi="Arial"/>
          <w:sz w:val="18"/>
          <w:szCs w:val="18"/>
          <w:color w:val="auto"/>
        </w:rPr>
        <w:t>”) on October 19, 2015, as subsequently amended by Amendment No. 1 to Current Report on Form 8-K/A filed on October 27, 2015 (as amended, the “</w:t>
      </w:r>
      <w:r>
        <w:rPr>
          <w:rFonts w:ascii="Arial" w:cs="Arial" w:eastAsia="Arial" w:hAnsi="Arial"/>
          <w:sz w:val="18"/>
          <w:szCs w:val="18"/>
          <w:i w:val="1"/>
          <w:iCs w:val="1"/>
          <w:color w:val="auto"/>
        </w:rPr>
        <w:t>Original Form 8-K</w:t>
      </w:r>
      <w:r>
        <w:rPr>
          <w:rFonts w:ascii="Arial" w:cs="Arial" w:eastAsia="Arial" w:hAnsi="Arial"/>
          <w:sz w:val="18"/>
          <w:szCs w:val="18"/>
          <w:color w:val="auto"/>
        </w:rPr>
        <w:t>”), on October 19, 2015, pursuant to the terms of a definitive Transaction Agreement, dated as of March 23, 2015, by and among LivaNova, Sorin S.p.A. (“</w:t>
      </w:r>
      <w:r>
        <w:rPr>
          <w:rFonts w:ascii="Arial" w:cs="Arial" w:eastAsia="Arial" w:hAnsi="Arial"/>
          <w:sz w:val="18"/>
          <w:szCs w:val="18"/>
          <w:i w:val="1"/>
          <w:iCs w:val="1"/>
          <w:color w:val="auto"/>
        </w:rPr>
        <w:t>Sorin</w:t>
      </w:r>
      <w:r>
        <w:rPr>
          <w:rFonts w:ascii="Arial" w:cs="Arial" w:eastAsia="Arial" w:hAnsi="Arial"/>
          <w:sz w:val="18"/>
          <w:szCs w:val="18"/>
          <w:color w:val="auto"/>
        </w:rPr>
        <w:t>”), Cyberonics, Inc. (“</w:t>
      </w:r>
      <w:r>
        <w:rPr>
          <w:rFonts w:ascii="Arial" w:cs="Arial" w:eastAsia="Arial" w:hAnsi="Arial"/>
          <w:sz w:val="18"/>
          <w:szCs w:val="18"/>
          <w:i w:val="1"/>
          <w:iCs w:val="1"/>
          <w:color w:val="auto"/>
        </w:rPr>
        <w:t>Cyberonics</w:t>
      </w:r>
      <w:r>
        <w:rPr>
          <w:rFonts w:ascii="Arial" w:cs="Arial" w:eastAsia="Arial" w:hAnsi="Arial"/>
          <w:sz w:val="18"/>
          <w:szCs w:val="18"/>
          <w:color w:val="auto"/>
        </w:rPr>
        <w:t>”) and Cypher Merger Sub, Inc. (“</w:t>
      </w:r>
      <w:r>
        <w:rPr>
          <w:rFonts w:ascii="Arial" w:cs="Arial" w:eastAsia="Arial" w:hAnsi="Arial"/>
          <w:sz w:val="18"/>
          <w:szCs w:val="18"/>
          <w:i w:val="1"/>
          <w:iCs w:val="1"/>
          <w:color w:val="auto"/>
        </w:rPr>
        <w:t>Merger Sub</w:t>
      </w:r>
      <w:r>
        <w:rPr>
          <w:rFonts w:ascii="Arial" w:cs="Arial" w:eastAsia="Arial" w:hAnsi="Arial"/>
          <w:sz w:val="18"/>
          <w:szCs w:val="18"/>
          <w:color w:val="auto"/>
        </w:rPr>
        <w:t>”), (a) Sorin merged with and into the LivaNova, with LivaNova continuing as the surviving company (the “</w:t>
      </w:r>
      <w:r>
        <w:rPr>
          <w:rFonts w:ascii="Arial" w:cs="Arial" w:eastAsia="Arial" w:hAnsi="Arial"/>
          <w:sz w:val="18"/>
          <w:szCs w:val="18"/>
          <w:i w:val="1"/>
          <w:iCs w:val="1"/>
          <w:color w:val="auto"/>
        </w:rPr>
        <w:t>Sorin Merger</w:t>
      </w:r>
      <w:r>
        <w:rPr>
          <w:rFonts w:ascii="Arial" w:cs="Arial" w:eastAsia="Arial" w:hAnsi="Arial"/>
          <w:sz w:val="18"/>
          <w:szCs w:val="18"/>
          <w:color w:val="auto"/>
        </w:rPr>
        <w:t>”) and (b) following the consummation of the Sorin Merger, Merger Sub merged with and into Cyberonics, with Cyberonics continuing as the surviving company and as a wholly-owned subsidiary of LivaNova (the “</w:t>
      </w:r>
      <w:r>
        <w:rPr>
          <w:rFonts w:ascii="Arial" w:cs="Arial" w:eastAsia="Arial" w:hAnsi="Arial"/>
          <w:sz w:val="18"/>
          <w:szCs w:val="18"/>
          <w:i w:val="1"/>
          <w:iCs w:val="1"/>
          <w:color w:val="auto"/>
        </w:rPr>
        <w:t>Cyberonics Merger</w:t>
      </w:r>
      <w:r>
        <w:rPr>
          <w:rFonts w:ascii="Arial" w:cs="Arial" w:eastAsia="Arial" w:hAnsi="Arial"/>
          <w:sz w:val="18"/>
          <w:szCs w:val="18"/>
          <w:color w:val="auto"/>
        </w:rPr>
        <w:t>” and, together with the Sorin Merger, the “</w:t>
      </w:r>
      <w:r>
        <w:rPr>
          <w:rFonts w:ascii="Arial" w:cs="Arial" w:eastAsia="Arial" w:hAnsi="Arial"/>
          <w:sz w:val="18"/>
          <w:szCs w:val="18"/>
          <w:i w:val="1"/>
          <w:iCs w:val="1"/>
          <w:color w:val="auto"/>
        </w:rPr>
        <w:t>Mergers</w:t>
      </w:r>
      <w:r>
        <w:rPr>
          <w:rFonts w:ascii="Arial" w:cs="Arial" w:eastAsia="Arial" w:hAnsi="Arial"/>
          <w:sz w:val="18"/>
          <w:szCs w:val="18"/>
          <w:color w:val="auto"/>
        </w:rPr>
        <w:t>”). This Amendment No. 2 to Current Report on Form 8-K/A (this “</w:t>
      </w:r>
      <w:r>
        <w:rPr>
          <w:rFonts w:ascii="Arial" w:cs="Arial" w:eastAsia="Arial" w:hAnsi="Arial"/>
          <w:sz w:val="18"/>
          <w:szCs w:val="18"/>
          <w:i w:val="1"/>
          <w:iCs w:val="1"/>
          <w:color w:val="auto"/>
        </w:rPr>
        <w:t>Amendment No. 2</w:t>
      </w:r>
      <w:r>
        <w:rPr>
          <w:rFonts w:ascii="Arial" w:cs="Arial" w:eastAsia="Arial" w:hAnsi="Arial"/>
          <w:sz w:val="18"/>
          <w:szCs w:val="18"/>
          <w:color w:val="auto"/>
        </w:rPr>
        <w:t>”) is being filed by LivaNova solely for the purpose of amending and supplementing Item 9.01 of the Original Form 8-K to present certain unaudited pro forma financial information in connection with the Mergers, which unaudited pro forma financial information is filed as an exhibit hereto. Except for the foregoing, no other changes are made to the Original Form 8-K.</w:t>
      </w:r>
    </w:p>
    <w:p>
      <w:pPr>
        <w:spacing w:after="0" w:line="34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 forma financial information contemplated by this Item is filed as Exhibit 99.1 to this Amendment No. 2 and incorporated herein by reference.</w:t>
      </w:r>
    </w:p>
    <w:p>
      <w:pPr>
        <w:spacing w:after="0" w:line="154"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360" w:lineRule="exact"/>
        <w:rPr>
          <w:sz w:val="20"/>
          <w:szCs w:val="20"/>
          <w:color w:val="auto"/>
        </w:rPr>
      </w:pPr>
    </w:p>
    <w:p>
      <w:pPr>
        <w:ind w:left="1740" w:right="560" w:hanging="1269"/>
        <w:spacing w:after="0" w:line="277" w:lineRule="auto"/>
        <w:tabs>
          <w:tab w:leader="none" w:pos="17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8"/>
          <w:szCs w:val="18"/>
          <w:color w:val="auto"/>
        </w:rPr>
        <w:t>Unaudited Pro Forma Condensed Combined Financial Information for the fiscal year ended April 24, 2015 and the transitional period April 25, 2015 to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About Forward-Looking Statements</w:t>
      </w:r>
    </w:p>
    <w:p>
      <w:pPr>
        <w:spacing w:after="0" w:line="12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Certain statements in this Amendment No. 2 and in the attached exhibit, other than purely historical information, can be considered “forward-looking statements” within the meaning of the Private Securities Litigation Reform Act of 1995, Section 27A of the Securities Act and Section 21E of the Securities Exchange Act of 1934, as amended. Forward-looking statements are not historical facts but are based on certain assumptions of management. These statements include, but are not limited to certain plans, strategies and expectations of LivaNova and statements about the benefits of the business combination of Sorin S.p.A. and Cyberonics. Forward-looking statements are necessarily based on estimates and assumptions that, while considered reasonable by LivaNova and its management based on their knowledge and understanding of the business and industry, are inherently uncertain. As a result, actual financial results, performance, achievements or prospects may differ materially from those expressed or implied by the forward-looking statements included herein. Forward-looking statements can generally be identified by the use of forward-looking terminology such as “may,” “could,” “seek,” “guidance,” “predict,” “potential,” “likely,” “believe,” “will,” “should,” “expect,” “anticipate,” “estimate,” “plan,” “intend,” “forecast,” “foresee” or variations of these terms and similar expressions. Important factors that may cause actual results to differ from expressed forward-looking statements, include, but are not limited to: business and financial risks inherent to the industries in which LivaNova operates; the Company’s ability to hire and retain key personnel; the Company’s ability to attract new customers and retain existing customers in the manner anticipated; the reliance on and integration of information technology systems; changes in legislation or governmental regulations affecting LivaNova; changes relating to competitive factors in the industries in which LivaNova operates; international, national or local economic, social or political conditions that could adversely affect LivaNova, its partners or its customers; conditions in the credit markets; risks associated with assumptions made in connection with critical accounting estimates and legal proceedings; LivaNova’s organizational and governance structure; risks that the businesses of legacy Cyberonics and Sorin will not be integrated successfully or that the combined companies will not realize estimated cost savings, value from certain tax assets, synergies and growth, or that such benefits may take longer to realize than expected; the inability of LivaNova to meet expectations regarding the timing, completion and accounting of tax treatments; risks relating to unanticipated costs of integration, including operating costs, customer loss or business disruption being greater than expected; reductions in customer spending, a slowdown in customer payments and changes in customer demand for products and services; LivaNova’s international operations, which are subject to the risks of currency fluctuations and foreign exchange controls; and the potential of international unrest, economic downturn or effects of currencies, tax assessments, tax adjustments, anticipated tax rates, raw material costs or availability, benefit or retirement plan costs or other regulatory compliance costs. The foregoing list of factors is not exhaustive, and you should carefully consider these factors and the other risks and uncertainties that affect the Company’s business, including those described in the “Risk Factors” section of the LivaNova’s Registration Statement on Form S-4, Annual Reports on Form 10-K, Quarterly Reports on Form 10-Q and in the Current Reports on Form 8-K and other documents filed from time to time with the Securities and Exchange Commission by LivaNova.</w:t>
      </w:r>
    </w:p>
    <w:p>
      <w:pPr>
        <w:sectPr>
          <w:pgSz w:w="11900" w:h="16838" w:orient="portrait"/>
          <w:cols w:equalWidth="0" w:num="1">
            <w:col w:w="11420"/>
          </w:cols>
          <w:pgMar w:left="240" w:top="270" w:right="239" w:bottom="1440" w:gutter="0" w:footer="0" w:header="0"/>
        </w:sectPr>
      </w:pPr>
    </w:p>
    <w:bookmarkStart w:id="2" w:name="page3"/>
    <w:bookmarkEnd w:id="2"/>
    <w:p>
      <w:pPr>
        <w:ind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 speak only as of the date they are made, and LivaNova does not undertake or assume any obligation to update publicly any such forward-looking statements to reflect actual results, new information or future events, changes in assumptions or changes in other factors affecting forward-looking statements, except to the extent required by applicable laws. If we update one or more forward-looking statements, no inference should be drawn that we will make additional updates with respect to those or other forward-looking statements.</w:t>
      </w:r>
    </w:p>
    <w:p>
      <w:pPr>
        <w:sectPr>
          <w:pgSz w:w="11900" w:h="16838" w:orient="portrait"/>
          <w:cols w:equalWidth="0" w:num="1">
            <w:col w:w="11380"/>
          </w:cols>
          <w:pgMar w:left="240" w:top="274"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820" w:type="dxa"/>
            <w:vAlign w:val="bottom"/>
            <w:gridSpan w:val="2"/>
          </w:tcPr>
          <w:p>
            <w:pPr>
              <w:ind w:left="2020"/>
              <w:spacing w:after="0"/>
              <w:rPr>
                <w:sz w:val="20"/>
                <w:szCs w:val="20"/>
                <w:color w:val="auto"/>
              </w:rPr>
            </w:pPr>
            <w:r>
              <w:rPr>
                <w:rFonts w:ascii="Arial" w:cs="Arial" w:eastAsia="Arial" w:hAnsi="Arial"/>
                <w:sz w:val="18"/>
                <w:szCs w:val="18"/>
                <w:color w:val="auto"/>
              </w:rPr>
              <w:t>LivaNova PLC</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March 31, 2016</w:t>
            </w:r>
          </w:p>
        </w:tc>
        <w:tc>
          <w:tcPr>
            <w:tcW w:w="3040" w:type="dxa"/>
            <w:vAlign w:val="bottom"/>
          </w:tcPr>
          <w:p>
            <w:pPr>
              <w:ind w:left="238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Vivid Sehgal</w:t>
            </w:r>
          </w:p>
        </w:tc>
      </w:tr>
      <w:tr>
        <w:trPr>
          <w:trHeight w:val="209"/>
        </w:trPr>
        <w:tc>
          <w:tcPr>
            <w:tcW w:w="3600" w:type="dxa"/>
            <w:vAlign w:val="bottom"/>
          </w:tcPr>
          <w:p>
            <w:pPr>
              <w:spacing w:after="0"/>
              <w:rPr>
                <w:sz w:val="18"/>
                <w:szCs w:val="18"/>
                <w:color w:val="auto"/>
              </w:rPr>
            </w:pPr>
          </w:p>
        </w:tc>
        <w:tc>
          <w:tcPr>
            <w:tcW w:w="3040" w:type="dxa"/>
            <w:vAlign w:val="bottom"/>
          </w:tcPr>
          <w:p>
            <w:pPr>
              <w:ind w:left="238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Vivid Sehgal</w:t>
            </w:r>
          </w:p>
        </w:tc>
      </w:tr>
      <w:tr>
        <w:trPr>
          <w:trHeight w:val="230"/>
        </w:trPr>
        <w:tc>
          <w:tcPr>
            <w:tcW w:w="3600" w:type="dxa"/>
            <w:vAlign w:val="bottom"/>
          </w:tcPr>
          <w:p>
            <w:pPr>
              <w:spacing w:after="0"/>
              <w:rPr>
                <w:sz w:val="20"/>
                <w:szCs w:val="20"/>
                <w:color w:val="auto"/>
              </w:rPr>
            </w:pPr>
          </w:p>
        </w:tc>
        <w:tc>
          <w:tcPr>
            <w:tcW w:w="3040" w:type="dxa"/>
            <w:vAlign w:val="bottom"/>
          </w:tcPr>
          <w:p>
            <w:pPr>
              <w:ind w:left="238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270"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920" w:type="dxa"/>
            <w:vAlign w:val="bottom"/>
          </w:tcPr>
          <w:p>
            <w:pPr>
              <w:ind w:left="28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10400" w:type="dxa"/>
            <w:vAlign w:val="bottom"/>
            <w:gridSpan w:val="3"/>
          </w:tcPr>
          <w:p>
            <w:pPr>
              <w:ind w:left="7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r>
      <w:tr>
        <w:trPr>
          <w:trHeight w:val="303"/>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10400" w:type="dxa"/>
            <w:vAlign w:val="bottom"/>
            <w:gridSpan w:val="3"/>
          </w:tcPr>
          <w:p>
            <w:pPr>
              <w:ind w:left="780"/>
              <w:spacing w:after="0"/>
              <w:rPr>
                <w:sz w:val="20"/>
                <w:szCs w:val="20"/>
                <w:color w:val="auto"/>
              </w:rPr>
            </w:pPr>
            <w:r>
              <w:rPr>
                <w:rFonts w:ascii="Arial" w:cs="Arial" w:eastAsia="Arial" w:hAnsi="Arial"/>
                <w:sz w:val="18"/>
                <w:szCs w:val="18"/>
                <w:color w:val="auto"/>
                <w:w w:val="91"/>
              </w:rPr>
              <w:t>Unaudited Pro Forma Condensed Combined Financial Information for the fiscal year ended April 24, 2015 and the transitional period</w:t>
            </w:r>
          </w:p>
        </w:tc>
      </w:tr>
      <w:tr>
        <w:trPr>
          <w:trHeight w:val="230"/>
        </w:trPr>
        <w:tc>
          <w:tcPr>
            <w:tcW w:w="720" w:type="dxa"/>
            <w:vAlign w:val="bottom"/>
          </w:tcPr>
          <w:p>
            <w:pPr>
              <w:spacing w:after="0"/>
              <w:rPr>
                <w:sz w:val="20"/>
                <w:szCs w:val="20"/>
                <w:color w:val="auto"/>
              </w:rPr>
            </w:pPr>
          </w:p>
        </w:tc>
        <w:tc>
          <w:tcPr>
            <w:tcW w:w="10400" w:type="dxa"/>
            <w:vAlign w:val="bottom"/>
            <w:gridSpan w:val="3"/>
          </w:tcPr>
          <w:p>
            <w:pPr>
              <w:ind w:left="780"/>
              <w:spacing w:after="0"/>
              <w:rPr>
                <w:sz w:val="20"/>
                <w:szCs w:val="20"/>
                <w:color w:val="auto"/>
              </w:rPr>
            </w:pPr>
            <w:r>
              <w:rPr>
                <w:rFonts w:ascii="Arial" w:cs="Arial" w:eastAsia="Arial" w:hAnsi="Arial"/>
                <w:sz w:val="18"/>
                <w:szCs w:val="18"/>
                <w:color w:val="auto"/>
              </w:rPr>
              <w:t>April 25, 2015 to December 31, 2015</w:t>
            </w:r>
          </w:p>
        </w:tc>
      </w:tr>
    </w:tbl>
    <w:p>
      <w:pPr>
        <w:sectPr>
          <w:pgSz w:w="11900" w:h="16838" w:orient="portrait"/>
          <w:cols w:equalWidth="0" w:num="1">
            <w:col w:w="11120"/>
          </w:cols>
          <w:pgMar w:left="240" w:top="270" w:right="5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LivaNova PLC (formerly known as Sand Holdco PLC and Sand Holdco Limited) is a public limited company incorporated under the laws of England and Wales (“LivaNova”). LivaNova was formed, along with its wholly owned subsidiary, Cypher Merger Sub, Inc., a Delaware corporation (“Merger Sub”), on February 20, 2015, for the purpose of facilitating the business combination of Cyberonics, Inc., a Delaware corporation (“Cyberonics”), and Sorin S.p.A., a joint stock company organized under the laws of Italy (“Sorin”).</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October 19, 2015, pursuant to the terms of a definitive Transaction Agreement, dated as of March 23, 2015 (the “Merger Agreement”), by and among Cyberonics, Sorin, LivaNova and Merger Sub, (a) Sorin merged with and into LivaNova, with LivaNova continuing as the surviving company (the “Sorin Merger”) and (b) following the consummation of the Sorin Merger, Merger Sub merged with and into Cyberonics, with Cyberonics continuing as the surviving company and as a wholly-owned subsidiary of LivaNova (the “Cyberonics Merger” and, together with the Sorin Merger, the “Mergers”). As a result of the Mergers, LivaNova became the holding company of the combined businesses of Cyberonics and Sorin. On October 19, 2015, LivaNova’s ordinary shares, par value £1.00 per share (each an “Ordinary Share” and, collectively, the “Ordinary Shares”), were listed for trading on the NASDAQ Global Market (“NASDAQ”) and admitted to listing on the standard segment of the United Kingdom Financial Conduct Authority’s Official List and to trading on the Main Market of the London Stock Exchange (the “LSE”) under the trading symbol “LIVN.”</w:t>
      </w:r>
    </w:p>
    <w:p>
      <w:pPr>
        <w:spacing w:after="0" w:line="17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following unaudited pro forma condensed combined financial statements, which we refer to as the pro forma financial statements, give effect to the Mergers in a transaction accounted for under the acquisition method of accounting in accordance with Accounting Standards Codification “805”, Business Combinations (“ASC 805”), with Cyberonics treated as the accounting acquirer of the legacy Sorin business operations.</w:t>
      </w:r>
    </w:p>
    <w:p>
      <w:pPr>
        <w:spacing w:after="0" w:line="16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unaudited pro forma condensed combined statements of operations for the fiscal year ended April 24, 2015 and the transitional period April 25, 2015 to December 31, 2015 are presented as if the Mergers were consummated on April 26, 2014. A pro forma condensed combined balance sheet has not been included in this filing as the Mergers are already reflected in the Consolidated Balance Sheet included in LivaNova’s Transition Report on Form 10-K/T (File No. 001-37599) for the transitional period April 25, 2015 to December 31, 2015, as filed on March 4, 2016 (“Report on Form 10-K/T”).</w:t>
      </w:r>
    </w:p>
    <w:p>
      <w:pPr>
        <w:spacing w:after="0" w:line="15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unaudited pro forma condensed combined statement of operations for the fiscal year ended April 24, 2015 is based on the historical audited consolidated results of operations of Cyberonics for the fiscal year ended April 24, 2015 and the historical unaudited consolidated results of operations of Sorin for the twelve months ended June 30, 2015. The unaudited pro forma condensed combined statement of operations for the transition period from April 25, 2015 to December 31, 2015 is based on the audited historical consolidated results of operations of LivaNova from April 25, 2015 through December 31, 2015 (which consists of legacy Cyberonics operations through October 18, 2015 and combined Cyberonics and Sorin operations thereafter) and the unaudited historical consolidated results of Sorin operations from April 25, 2015 through October 18, 2015.</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pro forma financial statements were prepared in accordance with Article 11 of Securities and Exchange Commission (“SEC”) Regulation S-X. The pro forma adjustments reflecting the completion of the Mergers are based upon the acquisition method of accounting in accordance with generally accepted accounting principles in the United States (“U.S.” and, such accounting principles, “U.S. GAAP”), and upon the assumptions set forth in the notes to the pro forma financial statements.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historical financial information of Sorin was prepared in accordance with International Financial Reporting Standards as issued by the International Accounting Standards Board (“IFRS”) and adopted by the European Union and presented in euro. The financial information used in the preparation of the pro forma financial statements includes adjustments to convert the financial information of Sorin from IFRS to U.S. GAAP and to translate amounts presented from euro to U.S. dollars. Management of LivaNova has also reclassified certain account balances and classes of transactions from the financial statements of Sorin to conform to the historic presentation of Cyberonics’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historical financial data has been adjusted to give pro forma effect to events that are (1) directly attributable to the Mergers, (2) factually supportable and</w:t>
      </w:r>
    </w:p>
    <w:p>
      <w:pPr>
        <w:spacing w:after="0" w:line="46" w:lineRule="exact"/>
        <w:rPr>
          <w:sz w:val="20"/>
          <w:szCs w:val="20"/>
          <w:color w:val="auto"/>
        </w:rPr>
      </w:pPr>
    </w:p>
    <w:p>
      <w:pPr>
        <w:ind w:right="300" w:firstLine="8"/>
        <w:spacing w:after="0" w:line="323"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expected to have a continuing impact on the combined results. The pro forma financial statements do not, in the estimation of management, reflect any revenue enhancements, anticipated or realized synergies or dis-synergies, operating efficiencies or cost savings that may be or have been achieved.</w:t>
      </w:r>
    </w:p>
    <w:p>
      <w:pPr>
        <w:spacing w:after="0" w:line="13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Reflecting expenses both before and after completion of the Mergers, the unaudited pro forma condensed combined statement of operations for the transitional period April 25, 2015 to December 31, 2015 includes $16.1 million in integration expenses, consisting primarily of professional fees related to planning the post-merger organization structure and synergy planning, and $16.5 million in</w:t>
      </w:r>
    </w:p>
    <w:p>
      <w:pPr>
        <w:sectPr>
          <w:pgSz w:w="11900" w:h="16838" w:orient="portrait"/>
          <w:cols w:equalWidth="0" w:num="1">
            <w:col w:w="11420"/>
          </w:cols>
          <w:pgMar w:left="240" w:top="121" w:right="239" w:bottom="1440" w:gutter="0" w:footer="0" w:header="0"/>
        </w:sectPr>
      </w:pPr>
    </w:p>
    <w:bookmarkStart w:id="6" w:name="page7"/>
    <w:bookmarkEnd w:id="6"/>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restructuring expenses related to LivaNova’s restructuring plans intended to leverage economies of scale, eliminate duplicate corporate expenses, streamline distribution, logistics and office functions in order to reduce overall costs. These expenses have each been recorded as separate line items within the included consolidated statement of operations; however, we have not included an adjustment to remove the impact of the integration and restructuring expenses from the results of operations, as such amounts are not directly attributable to the transaction but are based on actions taken by management related to planning the post-merger organization structure and synergy planning.</w:t>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At the date of completion of the Mergers, October 19, 2015, Cyberonics’ assets and liabilities were presented at their pre-combination amounts and Sorin’s assets and liabilities were recorded at their estimated fair values. The allocation of the purchase price of approximately $1.6 billion to the assets and liabilities acquired in the Mergers and reflected in the LivaNova audited consolidated balance sheet at December 31, 2015 is subject to finalization of management’s estimates of fair value and useful lives of the assets acquired and liabilities assumed. Accordingly, the actual amortization expense and results of operations may differ from these pro forma amounts as additional information becomes available and as additional analyses are performed. The final valuations may result in material changes to the preliminary estimated purchase price allocations and other estimations made leading up to the Mergers.</w:t>
      </w:r>
    </w:p>
    <w:p>
      <w:pPr>
        <w:spacing w:after="0" w:line="16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pro forma financial statements should be read in conjunction with the Report on Form 10-K/T and the consolidated financial statements of Sorin as of and for the periods ended December 31, 2014 and June 30, 2015 included within the Registration Statement on Form S-4 (File No. 333-203510), as amended, filed with the SEC by LivaNova and declared effective on August 19, 2015.</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 forma financial statements are not intended to represent or be indicative of the consolidated results of operations or financial position that would have been reported had the Mergers been completed as of the dates presented, and should not be taken as representative of the future consolidated results of operations or financial position of the combined company following the Mergers. The pro forma financial statements are based upon available information and certain assumptions that LivaNova’s management believes are reasonable.</w:t>
      </w:r>
    </w:p>
    <w:p>
      <w:pPr>
        <w:sectPr>
          <w:pgSz w:w="11900" w:h="16838" w:orient="portrait"/>
          <w:cols w:equalWidth="0" w:num="1">
            <w:col w:w="11400"/>
          </w:cols>
          <w:pgMar w:left="240" w:top="27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TRANSITIONAL PERIOD APRIL 25, 2015 TO DECEMBER 31,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Historical Sorin</w:t>
            </w: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Pro Forma</w:t>
            </w:r>
          </w:p>
        </w:tc>
        <w:tc>
          <w:tcPr>
            <w:tcW w:w="9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Note</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5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of U.S. dollars, except per share data)</w:t>
            </w:r>
          </w:p>
        </w:tc>
        <w:tc>
          <w:tcPr>
            <w:tcW w:w="9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LivaNova</w:t>
            </w:r>
          </w:p>
        </w:tc>
        <w:tc>
          <w:tcPr>
            <w:tcW w:w="2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Adjustment</w:t>
            </w:r>
          </w:p>
        </w:tc>
        <w:tc>
          <w:tcPr>
            <w:tcW w:w="960" w:type="dxa"/>
            <w:vAlign w:val="bottom"/>
            <w:gridSpan w:val="2"/>
            <w:vMerge w:val="continue"/>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78"/>
        </w:trPr>
        <w:tc>
          <w:tcPr>
            <w:tcW w:w="5860" w:type="dxa"/>
            <w:vAlign w:val="bottom"/>
            <w:gridSpan w:val="3"/>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700"/>
              <w:spacing w:after="0" w:line="158" w:lineRule="exact"/>
              <w:rPr>
                <w:sz w:val="20"/>
                <w:szCs w:val="20"/>
                <w:color w:val="auto"/>
              </w:rPr>
            </w:pPr>
            <w:r>
              <w:rPr>
                <w:rFonts w:ascii="Arial" w:cs="Arial" w:eastAsia="Arial" w:hAnsi="Arial"/>
                <w:sz w:val="14"/>
                <w:szCs w:val="14"/>
                <w:b w:val="1"/>
                <w:bCs w:val="1"/>
                <w:color w:val="auto"/>
              </w:rPr>
              <w:t>(Note 4)</w:t>
            </w:r>
          </w:p>
        </w:tc>
        <w:tc>
          <w:tcPr>
            <w:tcW w:w="100" w:type="dxa"/>
            <w:vAlign w:val="bottom"/>
          </w:tcPr>
          <w:p>
            <w:pPr>
              <w:spacing w:after="0"/>
              <w:rPr>
                <w:sz w:val="15"/>
                <w:szCs w:val="15"/>
                <w:color w:val="auto"/>
              </w:rPr>
            </w:pPr>
          </w:p>
        </w:tc>
        <w:tc>
          <w:tcPr>
            <w:tcW w:w="110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w w:val="95"/>
              </w:rPr>
              <w:t>(Note 3)</w:t>
            </w:r>
          </w:p>
        </w:tc>
        <w:tc>
          <w:tcPr>
            <w:tcW w:w="9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8"/>
              </w:rPr>
              <w:t>Reference</w:t>
            </w:r>
          </w:p>
        </w:tc>
        <w:tc>
          <w:tcPr>
            <w:tcW w:w="8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Borders>
              <w:top w:val="single" w:sz="8" w:color="auto"/>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Net sales</w:t>
            </w:r>
          </w:p>
        </w:tc>
        <w:tc>
          <w:tcPr>
            <w:tcW w:w="2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415,707</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421,534</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ind w:right="91"/>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837,241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149,181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198,982</w:t>
            </w: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740</w:t>
            </w:r>
          </w:p>
        </w:tc>
        <w:tc>
          <w:tcPr>
            <w:tcW w:w="9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3(b)</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348,903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(20,790)</w:t>
            </w:r>
          </w:p>
        </w:tc>
        <w:tc>
          <w:tcPr>
            <w:tcW w:w="9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3(e)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(20,790)</w:t>
            </w:r>
          </w:p>
        </w:tc>
        <w:tc>
          <w:tcPr>
            <w:tcW w:w="0" w:type="dxa"/>
            <w:vAlign w:val="bottom"/>
          </w:tcPr>
          <w:p>
            <w:pPr>
              <w:spacing w:after="0"/>
              <w:rPr>
                <w:sz w:val="1"/>
                <w:szCs w:val="1"/>
                <w:color w:val="auto"/>
              </w:rPr>
            </w:pPr>
          </w:p>
        </w:tc>
      </w:tr>
      <w:tr>
        <w:trPr>
          <w:trHeight w:val="223"/>
        </w:trPr>
        <w:tc>
          <w:tcPr>
            <w:tcW w:w="586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266,526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222,553</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20,050</w:t>
            </w: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509,128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173,065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159,803</w:t>
            </w: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13,760</w:t>
            </w:r>
          </w:p>
        </w:tc>
        <w:tc>
          <w:tcPr>
            <w:tcW w:w="96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3(a)</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346,627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717</w:t>
            </w:r>
          </w:p>
        </w:tc>
        <w:tc>
          <w:tcPr>
            <w:tcW w:w="9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3"/>
              </w:rPr>
              <w:t>3(b)</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51,931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53,467</w:t>
            </w: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134</w:t>
            </w:r>
          </w:p>
        </w:tc>
        <w:tc>
          <w:tcPr>
            <w:tcW w:w="9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3(b)</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105,532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Merger expenses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42,098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30,103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(72,201)</w:t>
            </w:r>
          </w:p>
        </w:tc>
        <w:tc>
          <w:tcPr>
            <w:tcW w:w="9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3"/>
              </w:rPr>
              <w:t>3(d)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Integration expenses</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13,689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2,449</w:t>
            </w: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Restructuring expenses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5,195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16,518</w:t>
            </w:r>
          </w:p>
        </w:tc>
        <w:tc>
          <w:tcPr>
            <w:tcW w:w="0" w:type="dxa"/>
            <w:vAlign w:val="bottom"/>
          </w:tcPr>
          <w:p>
            <w:pPr>
              <w:spacing w:after="0"/>
              <w:rPr>
                <w:sz w:val="1"/>
                <w:szCs w:val="1"/>
                <w:color w:val="auto"/>
              </w:rPr>
            </w:pPr>
          </w:p>
        </w:tc>
      </w:tr>
      <w:tr>
        <w:trPr>
          <w:trHeight w:val="230"/>
        </w:trPr>
        <w:tc>
          <w:tcPr>
            <w:tcW w:w="5860" w:type="dxa"/>
            <w:vAlign w:val="bottom"/>
            <w:gridSpan w:val="3"/>
          </w:tcPr>
          <w:p>
            <w:pPr>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292,106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251,017</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(57,591)</w:t>
            </w: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485,532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(25,580)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(28,465)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77,641</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Interest income (expense), net</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Impairment of investment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(7,522)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(4,554)</w:t>
            </w: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(12,076)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(39,281)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(36,491)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77,641</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Income tax (benefit) expense</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(12,976)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(35,316)</w:t>
            </w: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22,475</w:t>
            </w:r>
          </w:p>
        </w:tc>
        <w:tc>
          <w:tcPr>
            <w:tcW w:w="9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3(c)</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(25,817)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(loss) from equity method investments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(4,104)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(7,412)</w:t>
            </w:r>
          </w:p>
        </w:tc>
        <w:tc>
          <w:tcPr>
            <w:tcW w:w="0" w:type="dxa"/>
            <w:vAlign w:val="bottom"/>
          </w:tcPr>
          <w:p>
            <w:pPr>
              <w:spacing w:after="0"/>
              <w:rPr>
                <w:sz w:val="1"/>
                <w:szCs w:val="1"/>
                <w:color w:val="auto"/>
              </w:rPr>
            </w:pPr>
          </w:p>
        </w:tc>
      </w:tr>
      <w:tr>
        <w:trPr>
          <w:trHeight w:val="223"/>
        </w:trPr>
        <w:tc>
          <w:tcPr>
            <w:tcW w:w="5860" w:type="dxa"/>
            <w:vAlign w:val="bottom"/>
            <w:gridSpan w:val="3"/>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(29,613</w:t>
            </w:r>
          </w:p>
        </w:tc>
        <w:tc>
          <w:tcPr>
            <w:tcW w:w="260" w:type="dxa"/>
            <w:vAlign w:val="bottom"/>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(5,279)</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55,166</w:t>
            </w: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per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32,741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32,741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48,968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Pro Forma Condensed Combined Financial Statements</w:t>
      </w:r>
    </w:p>
    <w:p>
      <w:pPr>
        <w:sectPr>
          <w:pgSz w:w="11900" w:h="16838" w:orient="portrait"/>
          <w:cols w:equalWidth="0" w:num="1">
            <w:col w:w="11420"/>
          </w:cols>
          <w:pgMar w:left="240" w:top="27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APRIL 24,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Historical</w:t>
            </w: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Historical Sorin</w:t>
            </w:r>
          </w:p>
        </w:tc>
        <w:tc>
          <w:tcPr>
            <w:tcW w:w="200" w:type="dxa"/>
            <w:vAlign w:val="bottom"/>
          </w:tcPr>
          <w:p>
            <w:pPr>
              <w:spacing w:after="0"/>
              <w:rPr>
                <w:sz w:val="14"/>
                <w:szCs w:val="14"/>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7"/>
              </w:rPr>
              <w:t>Pro Forma</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Note</w:t>
            </w:r>
          </w:p>
        </w:tc>
        <w:tc>
          <w:tcPr>
            <w:tcW w:w="32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5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of U.S. dollars, except per share data)</w:t>
            </w:r>
          </w:p>
        </w:tc>
        <w:tc>
          <w:tcPr>
            <w:tcW w:w="114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Adjustment</w:t>
            </w:r>
          </w:p>
        </w:tc>
        <w:tc>
          <w:tcPr>
            <w:tcW w:w="6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78"/>
        </w:trPr>
        <w:tc>
          <w:tcPr>
            <w:tcW w:w="5780" w:type="dxa"/>
            <w:vAlign w:val="bottom"/>
            <w:gridSpan w:val="3"/>
            <w:vMerge w:val="continue"/>
          </w:tcPr>
          <w:p>
            <w:pPr>
              <w:spacing w:after="0"/>
              <w:rPr>
                <w:sz w:val="15"/>
                <w:szCs w:val="15"/>
                <w:color w:val="auto"/>
              </w:rPr>
            </w:pPr>
          </w:p>
        </w:tc>
        <w:tc>
          <w:tcPr>
            <w:tcW w:w="11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Cyberonics</w:t>
            </w:r>
          </w:p>
        </w:tc>
        <w:tc>
          <w:tcPr>
            <w:tcW w:w="180" w:type="dxa"/>
            <w:vAlign w:val="bottom"/>
          </w:tcPr>
          <w:p>
            <w:pPr>
              <w:spacing w:after="0"/>
              <w:rPr>
                <w:sz w:val="15"/>
                <w:szCs w:val="15"/>
                <w:color w:val="auto"/>
              </w:rPr>
            </w:pPr>
          </w:p>
        </w:tc>
        <w:tc>
          <w:tcPr>
            <w:tcW w:w="106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(Note 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w w:val="92"/>
              </w:rPr>
              <w:t>(Note 3)</w:t>
            </w: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8"/>
              </w:rPr>
              <w:t>Reference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Borders>
              <w:top w:val="single" w:sz="8" w:color="auto"/>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Net sales</w:t>
            </w:r>
          </w:p>
        </w:tc>
        <w:tc>
          <w:tcPr>
            <w:tcW w:w="2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291,558</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944,919</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1,236,477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340"/>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27,311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430,547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1,527</w:t>
            </w:r>
          </w:p>
        </w:tc>
        <w:tc>
          <w:tcPr>
            <w:tcW w:w="640" w:type="dxa"/>
            <w:vAlign w:val="bottom"/>
          </w:tcPr>
          <w:p>
            <w:pPr>
              <w:jc w:val="center"/>
              <w:spacing w:after="0"/>
              <w:rPr>
                <w:sz w:val="20"/>
                <w:szCs w:val="20"/>
                <w:color w:val="auto"/>
              </w:rPr>
            </w:pPr>
            <w:r>
              <w:rPr>
                <w:rFonts w:ascii="Arial" w:cs="Arial" w:eastAsia="Arial" w:hAnsi="Arial"/>
                <w:sz w:val="18"/>
                <w:szCs w:val="18"/>
                <w:color w:val="auto"/>
                <w:w w:val="93"/>
              </w:rPr>
              <w:t>3(b)</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459,384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264,247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514,372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(1,527)</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777,093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123,619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333,664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26,113</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3(a)</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1,478</w:t>
            </w:r>
          </w:p>
        </w:tc>
        <w:tc>
          <w:tcPr>
            <w:tcW w:w="640" w:type="dxa"/>
            <w:vAlign w:val="bottom"/>
          </w:tcPr>
          <w:p>
            <w:pPr>
              <w:jc w:val="center"/>
              <w:spacing w:after="0"/>
              <w:rPr>
                <w:sz w:val="20"/>
                <w:szCs w:val="20"/>
                <w:color w:val="auto"/>
              </w:rPr>
            </w:pPr>
            <w:r>
              <w:rPr>
                <w:rFonts w:ascii="Arial" w:cs="Arial" w:eastAsia="Arial" w:hAnsi="Arial"/>
                <w:sz w:val="18"/>
                <w:szCs w:val="18"/>
                <w:color w:val="auto"/>
                <w:w w:val="93"/>
              </w:rPr>
              <w:t>3(b)</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43,284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126,700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276</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3(b)</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340"/>
              <w:spacing w:after="0"/>
              <w:rPr>
                <w:sz w:val="20"/>
                <w:szCs w:val="20"/>
                <w:color w:val="auto"/>
              </w:rPr>
            </w:pPr>
            <w:r>
              <w:rPr>
                <w:rFonts w:ascii="Arial" w:cs="Arial" w:eastAsia="Arial" w:hAnsi="Arial"/>
                <w:sz w:val="18"/>
                <w:szCs w:val="18"/>
                <w:color w:val="auto"/>
              </w:rPr>
              <w:t>Merger expenses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8,692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27,161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(35,854)</w:t>
            </w:r>
          </w:p>
        </w:tc>
        <w:tc>
          <w:tcPr>
            <w:tcW w:w="640" w:type="dxa"/>
            <w:vAlign w:val="bottom"/>
          </w:tcPr>
          <w:p>
            <w:pPr>
              <w:jc w:val="center"/>
              <w:spacing w:after="0"/>
              <w:rPr>
                <w:sz w:val="20"/>
                <w:szCs w:val="20"/>
                <w:color w:val="auto"/>
              </w:rPr>
            </w:pPr>
            <w:r>
              <w:rPr>
                <w:rFonts w:ascii="Arial" w:cs="Arial" w:eastAsia="Arial" w:hAnsi="Arial"/>
                <w:sz w:val="18"/>
                <w:szCs w:val="18"/>
                <w:color w:val="auto"/>
                <w:w w:val="93"/>
              </w:rPr>
              <w:t>3(d)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175,595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487,526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(7,986)</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655,135</w:t>
            </w:r>
          </w:p>
        </w:tc>
        <w:tc>
          <w:tcPr>
            <w:tcW w:w="0" w:type="dxa"/>
            <w:vAlign w:val="bottom"/>
          </w:tcPr>
          <w:p>
            <w:pPr>
              <w:spacing w:after="0"/>
              <w:rPr>
                <w:sz w:val="1"/>
                <w:szCs w:val="1"/>
                <w:color w:val="auto"/>
              </w:rPr>
            </w:pPr>
          </w:p>
        </w:tc>
      </w:tr>
      <w:tr>
        <w:trPr>
          <w:trHeight w:val="223"/>
        </w:trPr>
        <w:tc>
          <w:tcPr>
            <w:tcW w:w="5780" w:type="dxa"/>
            <w:vAlign w:val="bottom"/>
            <w:gridSpan w:val="3"/>
          </w:tcPr>
          <w:p>
            <w:pPr>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88,652</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26,846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6,460</w:t>
            </w: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121,958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income (expense),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34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(4,297)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89,294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13,863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6,460</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109,617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340"/>
              <w:spacing w:after="0"/>
              <w:rPr>
                <w:sz w:val="20"/>
                <w:szCs w:val="20"/>
                <w:color w:val="auto"/>
              </w:rPr>
            </w:pPr>
            <w:r>
              <w:rPr>
                <w:rFonts w:ascii="Arial" w:cs="Arial" w:eastAsia="Arial" w:hAnsi="Arial"/>
                <w:sz w:val="18"/>
                <w:szCs w:val="18"/>
                <w:color w:val="auto"/>
              </w:rPr>
              <w:t>Income tax (benefit) expense</w:t>
            </w: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31,446</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(7,973)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(889)</w:t>
            </w: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3(c)</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(loss) from equity method investments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(9,053)</w:t>
            </w:r>
          </w:p>
        </w:tc>
        <w:tc>
          <w:tcPr>
            <w:tcW w:w="0" w:type="dxa"/>
            <w:vAlign w:val="bottom"/>
          </w:tcPr>
          <w:p>
            <w:pPr>
              <w:spacing w:after="0"/>
              <w:rPr>
                <w:sz w:val="1"/>
                <w:szCs w:val="1"/>
                <w:color w:val="auto"/>
              </w:rPr>
            </w:pPr>
          </w:p>
        </w:tc>
      </w:tr>
      <w:tr>
        <w:trPr>
          <w:trHeight w:val="223"/>
        </w:trPr>
        <w:tc>
          <w:tcPr>
            <w:tcW w:w="5780" w:type="dxa"/>
            <w:vAlign w:val="bottom"/>
            <w:gridSpan w:val="3"/>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57,848</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12,783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7,349</w:t>
            </w: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77,980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per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34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26,391</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26,626</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49,308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Pro Forma Condensed Combined Financial Statements</w:t>
      </w:r>
    </w:p>
    <w:p>
      <w:pPr>
        <w:sectPr>
          <w:pgSz w:w="11900" w:h="16838" w:orient="portrait"/>
          <w:cols w:equalWidth="0" w:num="1">
            <w:col w:w="11420"/>
          </w:cols>
          <w:pgMar w:left="240" w:top="270"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UNAUDITED PRO FORMA CONDENSED COMBINED FINANCIAL STATEMENTS</w:t>
      </w:r>
    </w:p>
    <w:p>
      <w:pPr>
        <w:spacing w:after="0" w:line="25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Mergers</w:t>
      </w:r>
    </w:p>
    <w:p>
      <w:pPr>
        <w:spacing w:after="0" w:line="121"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The Mergers provided for the business combination of Cyberonics and Sorin, which was completed on October 19, 2015. On October 19, 2015, and pursuant to the terms of the Merger Agreement, Sorin merged with and into LivaNova, with LivaNova continuing as the surviving company, immediately followed by the merger of Merger Sub with and into Cyberonics, with Cyberonics continuing as the surviving company and as a wholly-owned subsidiary of LivaNova.</w:t>
      </w:r>
    </w:p>
    <w:p>
      <w:pPr>
        <w:ind w:right="120"/>
        <w:spacing w:after="0" w:line="255" w:lineRule="auto"/>
        <w:rPr>
          <w:sz w:val="20"/>
          <w:szCs w:val="20"/>
          <w:color w:val="auto"/>
        </w:rPr>
      </w:pPr>
      <w:r>
        <w:rPr>
          <w:rFonts w:ascii="Arial" w:cs="Arial" w:eastAsia="Arial" w:hAnsi="Arial"/>
          <w:sz w:val="18"/>
          <w:szCs w:val="18"/>
          <w:color w:val="auto"/>
        </w:rPr>
        <w:t>Following the Mergers, LivaNova became the holding company of the combined businesses of Cyberonics and Sorin, and LivaNova’s Ordinary Shares were listed for trading on NASDAQ and admitted to listing on the standard segment of the United Kingdom Financial Conduct Authority’s Official List and to trading on the Main Market of the LSE under the trading symbol “LIVN.”</w:t>
      </w:r>
    </w:p>
    <w:p>
      <w:pPr>
        <w:spacing w:after="0" w:line="19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On October 19, 2015, each ordinary share of Sorin was converted into the right to receive 0.0472 Ordinary Shares of LivaNova, and each share of common stock of Cyberonics was converted into the right to receive one Ordinary Share. The fair value of the shares issued as total consideration of the Mergers is based on Cyberonics’ closing stock price of $69.95 per share on October 16, 2015, the last business day prior to the close of the Mergers. Based on the number of outstanding shares of Sorin and Cyberonics as of October 19, 2015, former Sorin and Cyberonics shareholders held approximately 46%and 54%, respectively, of LivaNova’s Ordinary Shares immediately after the Mergers. The total fair value of consideration transferred was $1.6 billion.</w:t>
      </w:r>
    </w:p>
    <w:p>
      <w:pPr>
        <w:spacing w:after="0" w:line="30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Based on the relative voting rights of Cyberonics and Sorin shareholders immediately following completion of the Mergers and the premium paid by Cyberonics for Sorin ordinary shares, and after taking into consideration all relevant facts, Cyberonics was considered to be the acquirer of Sorin for accounting purposes. The total estimated consideration for the accounting acquisition of Sorin was calculated as the equivalent of the market value immediately prior to the Mergers of the amount of Cyberonics common stock that would have, if the transaction had been structured such that Cyberonics were the legal acquirer, needed to have been issued to Sorin shareholders immediately following the closing of the Mergers to effectuate a 46% ownership by former Sorin shareholders in the combined entity. As the consolidated balance sheet included in the Report on Form 10-K/T, covering the transitional period April 25, 2015 to December 31, 2015, includes the effects of the Mergers, no pro forma balance sheet has been presented herein.</w:t>
      </w:r>
    </w:p>
    <w:p>
      <w:pPr>
        <w:spacing w:after="0" w:line="16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pro forma financial statements were prepared using the acquisition method of accounting and based on the historical financial information of Cyberonics, Sorin and LivaNova and are presented as if the Mergers were consummated on April 26, 2014. The acquisition method of accounting in accordance with ASC 805 requires, among other things, that assets acquired and liabilities assumed in a business combination be recognized at their fair values as of the acquisition date, as defined in ASC 820, “Fair Value Measurement” (ASC 820). The historical consolidated financial information has been adjusted in the pro forma financial statements to give effect to pro forma events that are (1) directly attributable to the Mergers, (2) factually supportable and (3) with respect to the unaudited pro forma condensed combined statement of operations, expected to have a continuing impact on the consolidated results.</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pro forma financial statements for the fiscal year ended April 24, 2015 are based on the accounts of Cyberonics presented for the fiscal year ending April 24, 2015 and the accounts of Sorin presented for the twelve months ended June 30, 2015. The pro forma financial statements for the transitional period April 25, 2015 to December 31, 2015 are based on the accounts of LivaNova from April 25, 2015 through December 31, 2015 (which consists of legacy Cyberonics operations through October 18, 2015 and combined Cyberonics and Sorin operations thereafter) and the accounts of Sorin from April 25, 2015 through the October 18, 2015. Except for the non-recurring costs incurred in connection with the Mergers, which were eliminated for the purposes of this pro forma, no material unusual activity was identified in Sorin’s operations between April 25, 2015 and June 30, 2015, the period that is included in both pro forma statements of operations.</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pro forma financial statements have been compiled using the significant accounting policies as set forth in the audited consolidated financial statements included in the Report on Form 10-K/T. The accounting policies of Sorin are similar in most material respects to those of Cyberonics, except for those discussed further in “Note 4. Adjustments to Sorin Historical Financial Statements to Conform to Cyberonics.” Adjustments were made to convert the financial statements of Sorin from IFRS (adopted by the European Union) to U.S. GAAP as applied by Cyberonics, conforming to Cyberonics’ financial statement classification and translating euro amounts into U.S. dollars as set out further in “Note 4. Adjustments to Sorin Historical Financial Statements to Conform to Cyberonics.” Apart from these adjustments, LivaNova’s management is not aware of any differences that would have a material impact on the pro forma condensed combined financial statements presented herein.</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pro forma financial statements are not intended to represent or be indicative of the consolidated results of operations or financial position that would have been reported had the Mergers been completed as of the dates presented, and should not be taken as representative of the future consolidated results of operations or financial position of the combined company following the Mergers.</w:t>
      </w:r>
    </w:p>
    <w:p>
      <w:pPr>
        <w:sectPr>
          <w:pgSz w:w="11900" w:h="16838" w:orient="portrait"/>
          <w:cols w:equalWidth="0" w:num="1">
            <w:col w:w="11420"/>
          </w:cols>
          <w:pgMar w:left="240" w:top="270"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 forma financial statements are based upon available information and certain assumptions that LivaNova’s management believes are reasonable.</w:t>
      </w:r>
    </w:p>
    <w:p>
      <w:pPr>
        <w:spacing w:after="0" w:line="39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Condensed Combined Statement of Operations Adjustments</w:t>
      </w:r>
    </w:p>
    <w:p>
      <w:pPr>
        <w:spacing w:after="0" w:line="135" w:lineRule="exact"/>
        <w:rPr>
          <w:sz w:val="20"/>
          <w:szCs w:val="20"/>
          <w:color w:val="auto"/>
        </w:rPr>
      </w:pPr>
    </w:p>
    <w:p>
      <w:pPr>
        <w:ind w:left="460" w:right="180" w:hanging="452"/>
        <w:spacing w:after="0" w:line="286"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record estimated pro forma amortization expenses of $13.8 million for the period from April 25, 2015 through October 18, 2015 and $26.1 million for the fiscal year ended April 24, 2015 on acquired finite-lived intangible assets. Acquired finite-lived intangible assets are comprised of $464.0 million related to customer relationships, $211.1 million of developed technology, and $13.6 million related to trademarks.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Estimated</w:t>
            </w: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3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5"/>
              </w:rPr>
              <w:t>April 25, 2015</w:t>
            </w: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to</w:t>
            </w:r>
          </w:p>
        </w:tc>
        <w:tc>
          <w:tcPr>
            <w:tcW w:w="12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5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of U.S. dollars, except estimated useful life)</w:t>
            </w:r>
          </w:p>
        </w:tc>
        <w:tc>
          <w:tcPr>
            <w:tcW w:w="156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Fair</w:t>
            </w: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Estimated</w:t>
            </w:r>
          </w:p>
        </w:tc>
        <w:tc>
          <w:tcPr>
            <w:tcW w:w="13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October 18,</w:t>
            </w: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April 24,</w:t>
            </w:r>
          </w:p>
        </w:tc>
        <w:tc>
          <w:tcPr>
            <w:tcW w:w="0" w:type="dxa"/>
            <w:vAlign w:val="bottom"/>
          </w:tcPr>
          <w:p>
            <w:pPr>
              <w:spacing w:after="0"/>
              <w:rPr>
                <w:sz w:val="1"/>
                <w:szCs w:val="1"/>
                <w:color w:val="auto"/>
              </w:rPr>
            </w:pPr>
          </w:p>
        </w:tc>
      </w:tr>
      <w:tr>
        <w:trPr>
          <w:trHeight w:val="158"/>
        </w:trPr>
        <w:tc>
          <w:tcPr>
            <w:tcW w:w="5440" w:type="dxa"/>
            <w:vAlign w:val="bottom"/>
            <w:gridSpan w:val="3"/>
            <w:vMerge w:val="continue"/>
          </w:tcPr>
          <w:p>
            <w:pPr>
              <w:spacing w:after="0"/>
              <w:rPr>
                <w:sz w:val="13"/>
                <w:szCs w:val="13"/>
                <w:color w:val="auto"/>
              </w:rPr>
            </w:pPr>
          </w:p>
        </w:tc>
        <w:tc>
          <w:tcPr>
            <w:tcW w:w="1560" w:type="dxa"/>
            <w:vAlign w:val="bottom"/>
          </w:tcPr>
          <w:p>
            <w:pPr>
              <w:spacing w:after="0"/>
              <w:rPr>
                <w:sz w:val="13"/>
                <w:szCs w:val="13"/>
                <w:color w:val="auto"/>
              </w:rPr>
            </w:pPr>
          </w:p>
        </w:tc>
        <w:tc>
          <w:tcPr>
            <w:tcW w:w="114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0"/>
              </w:rPr>
              <w:t>Value</w:t>
            </w:r>
          </w:p>
        </w:tc>
        <w:tc>
          <w:tcPr>
            <w:tcW w:w="11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4"/>
              </w:rPr>
              <w:t>Useful Life</w:t>
            </w:r>
          </w:p>
        </w:tc>
        <w:tc>
          <w:tcPr>
            <w:tcW w:w="200" w:type="dxa"/>
            <w:vAlign w:val="bottom"/>
          </w:tcPr>
          <w:p>
            <w:pPr>
              <w:spacing w:after="0"/>
              <w:rPr>
                <w:sz w:val="13"/>
                <w:szCs w:val="13"/>
                <w:color w:val="auto"/>
              </w:rPr>
            </w:pPr>
          </w:p>
        </w:tc>
        <w:tc>
          <w:tcPr>
            <w:tcW w:w="680" w:type="dxa"/>
            <w:vAlign w:val="bottom"/>
          </w:tcPr>
          <w:p>
            <w:pPr>
              <w:jc w:val="center"/>
              <w:ind w:right="117"/>
              <w:spacing w:after="0" w:line="158" w:lineRule="exact"/>
              <w:rPr>
                <w:sz w:val="20"/>
                <w:szCs w:val="20"/>
                <w:color w:val="auto"/>
              </w:rPr>
            </w:pPr>
            <w:r>
              <w:rPr>
                <w:rFonts w:ascii="Arial" w:cs="Arial" w:eastAsia="Arial" w:hAnsi="Arial"/>
                <w:sz w:val="14"/>
                <w:szCs w:val="14"/>
                <w:b w:val="1"/>
                <w:bCs w:val="1"/>
                <w:color w:val="auto"/>
                <w:w w:val="89"/>
              </w:rPr>
              <w:t>2015</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center"/>
              <w:ind w:right="37"/>
              <w:spacing w:after="0" w:line="158"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bottom w:val="single" w:sz="8" w:color="CCEEFF"/>
            </w:tcBorders>
            <w:shd w:val="clear" w:color="auto" w:fill="000000"/>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Additional acquired finite-lived intangible assets</w:t>
            </w:r>
          </w:p>
        </w:tc>
        <w:tc>
          <w:tcPr>
            <w:tcW w:w="156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$688,729</w:t>
            </w: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22,199</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45,778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Less: Sorin historical amortization expense</w:t>
            </w:r>
          </w:p>
        </w:tc>
        <w:tc>
          <w:tcPr>
            <w:tcW w:w="1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(8,440)</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(19,665)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 forma amortization expense adjustment</w:t>
            </w:r>
          </w:p>
        </w:tc>
        <w:tc>
          <w:tcPr>
            <w:tcW w:w="1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13,760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60" w:right="200" w:hanging="452"/>
        <w:spacing w:after="0" w:line="31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record estimated pro forma depreciation expense of $1.6 million for the period from April 25, 2015 through October 18, 2015 and $3.3 million for the fiscal year ended April 24, 2015 on acquired property, plant, and equipment. The estimated pro forma depreciation expense adjustments are based on an increase in fair value above net book value calculated over an approximate estimated weighted average useful life of 7 years.</w:t>
      </w:r>
    </w:p>
    <w:p>
      <w:pPr>
        <w:spacing w:after="0" w:line="52" w:lineRule="exact"/>
        <w:rPr>
          <w:rFonts w:ascii="Arial" w:cs="Arial" w:eastAsia="Arial" w:hAnsi="Arial"/>
          <w:sz w:val="16"/>
          <w:szCs w:val="16"/>
          <w:color w:val="auto"/>
        </w:rPr>
      </w:pPr>
    </w:p>
    <w:p>
      <w:pPr>
        <w:ind w:left="460" w:right="10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statutory tax rate of Sorin was applied, as appropriate, to each adjustment based on the jurisdiction in which the adjustment was expected to occur. The statutory tax rate of Cyberonics was applied, as appropriate, to the impact of transaction costs and share based compensation based on the jurisdictions in which the adjustment was expected to occur.</w:t>
      </w:r>
    </w:p>
    <w:p>
      <w:pPr>
        <w:spacing w:after="0" w:line="73" w:lineRule="exact"/>
        <w:rPr>
          <w:rFonts w:ascii="Arial" w:cs="Arial" w:eastAsia="Arial" w:hAnsi="Arial"/>
          <w:sz w:val="18"/>
          <w:szCs w:val="18"/>
          <w:color w:val="auto"/>
        </w:rPr>
      </w:pPr>
    </w:p>
    <w:p>
      <w:pPr>
        <w:ind w:left="460" w:right="420"/>
        <w:spacing w:after="0" w:line="308" w:lineRule="auto"/>
        <w:rPr>
          <w:rFonts w:ascii="Arial" w:cs="Arial" w:eastAsia="Arial" w:hAnsi="Arial"/>
          <w:sz w:val="18"/>
          <w:szCs w:val="18"/>
          <w:color w:val="auto"/>
        </w:rPr>
      </w:pPr>
      <w:r>
        <w:rPr>
          <w:rFonts w:ascii="Arial" w:cs="Arial" w:eastAsia="Arial" w:hAnsi="Arial"/>
          <w:sz w:val="17"/>
          <w:szCs w:val="17"/>
          <w:color w:val="auto"/>
        </w:rPr>
        <w:t>Although not reflected in the pro forma financial statements, the effective tax rate of LivaNova could be significantly different depending on post-merger activities, such as the geographical mix of taxable income affecting state and foreign taxes, among other factors.</w:t>
      </w:r>
    </w:p>
    <w:p>
      <w:pPr>
        <w:spacing w:after="0" w:line="14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Estimated income tax provision (benefit) included in the pro forma statements of earnings is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5"/>
              </w:rPr>
              <w:t>April 25, 2015</w:t>
            </w: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90"/>
              </w:rPr>
              <w:t>to</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Ended April 24,</w:t>
            </w: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88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92"/>
              </w:rPr>
              <w:t>October 18, 2015</w:t>
            </w:r>
          </w:p>
        </w:tc>
        <w:tc>
          <w:tcPr>
            <w:tcW w:w="100" w:type="dxa"/>
            <w:vAlign w:val="bottom"/>
          </w:tcPr>
          <w:p>
            <w:pPr>
              <w:spacing w:after="0"/>
              <w:rPr>
                <w:sz w:val="14"/>
                <w:szCs w:val="14"/>
                <w:color w:val="auto"/>
              </w:rPr>
            </w:pPr>
          </w:p>
        </w:tc>
        <w:tc>
          <w:tcPr>
            <w:tcW w:w="88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of U.S. dollars)</w:t>
            </w: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8"/>
              <w:spacing w:after="0" w:line="119" w:lineRule="exact"/>
              <w:rPr>
                <w:sz w:val="20"/>
                <w:szCs w:val="20"/>
                <w:color w:val="auto"/>
              </w:rPr>
            </w:pPr>
            <w:r>
              <w:rPr>
                <w:rFonts w:ascii="Arial" w:cs="Arial" w:eastAsia="Arial" w:hAnsi="Arial"/>
                <w:sz w:val="13"/>
                <w:szCs w:val="13"/>
                <w:b w:val="1"/>
                <w:bCs w:val="1"/>
                <w:color w:val="auto"/>
              </w:rPr>
              <w:t>Pro Forma</w:t>
            </w:r>
          </w:p>
        </w:tc>
        <w:tc>
          <w:tcPr>
            <w:tcW w:w="820" w:type="dxa"/>
            <w:vAlign w:val="bottom"/>
            <w:gridSpan w:val="2"/>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18"/>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6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3"/>
          </w:tcPr>
          <w:p>
            <w:pPr>
              <w:jc w:val="center"/>
              <w:ind w:right="920"/>
              <w:spacing w:after="0" w:line="158" w:lineRule="exact"/>
              <w:rPr>
                <w:sz w:val="20"/>
                <w:szCs w:val="20"/>
                <w:color w:val="auto"/>
              </w:rPr>
            </w:pPr>
            <w:r>
              <w:rPr>
                <w:rFonts w:ascii="Arial" w:cs="Arial" w:eastAsia="Arial" w:hAnsi="Arial"/>
                <w:sz w:val="14"/>
                <w:szCs w:val="14"/>
                <w:b w:val="1"/>
                <w:bCs w:val="1"/>
                <w:color w:val="auto"/>
                <w:w w:val="96"/>
              </w:rPr>
              <w:t>Adjustment</w:t>
            </w:r>
          </w:p>
        </w:tc>
        <w:tc>
          <w:tcPr>
            <w:tcW w:w="100" w:type="dxa"/>
            <w:vAlign w:val="bottom"/>
          </w:tcPr>
          <w:p>
            <w:pPr>
              <w:spacing w:after="0"/>
              <w:rPr>
                <w:sz w:val="13"/>
                <w:szCs w:val="13"/>
                <w:color w:val="auto"/>
              </w:rPr>
            </w:pPr>
          </w:p>
        </w:tc>
        <w:tc>
          <w:tcPr>
            <w:tcW w:w="9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6"/>
              </w:rPr>
              <w:t>Adjustment</w:t>
            </w: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assets—Note 3(a)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(4,689)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(8,899)</w:t>
            </w: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Depreciation of plant, property and equipment—Note 3(b)</w:t>
            </w:r>
          </w:p>
        </w:tc>
        <w:tc>
          <w:tcPr>
            <w:tcW w:w="100" w:type="dxa"/>
            <w:vAlign w:val="bottom"/>
          </w:tcPr>
          <w:p>
            <w:pPr>
              <w:spacing w:after="0"/>
              <w:rPr>
                <w:sz w:val="18"/>
                <w:szCs w:val="18"/>
                <w:color w:val="auto"/>
              </w:rPr>
            </w:pPr>
          </w:p>
        </w:tc>
        <w:tc>
          <w:tcPr>
            <w:tcW w:w="1780" w:type="dxa"/>
            <w:vAlign w:val="bottom"/>
            <w:gridSpan w:val="3"/>
          </w:tcPr>
          <w:p>
            <w:pPr>
              <w:jc w:val="right"/>
              <w:ind w:right="760"/>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Impact of inventory step up removal—Note 3(e)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6,744</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Impact of transaction cost removal—Note 3(d)</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15,823</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9,057</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Impact of share based compensation—Note 3(d)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5,105</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Adjustment to provision (benefit) for income taxes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22,475</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40" w:hanging="452"/>
        <w:spacing w:after="0" w:line="28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Certain merger-related transaction costs, primarily advisory, legal, and accounting fees and non-cash share-based compensation charges, have been expensed in Cyberonics’ and Sorin’s historical statements of operations. As merger-related transaction costs are non-recurring, direct, incremental costs of the specific acquisition, which are reflected in the historical financial statements, they have not been reflected in the unaudited pro forma condensed combined statements of operations. An adjustment totaling $72.2 million has been reflected in the unaudited pro forma condensed combined statements of operations to remove merger-related transaction costs that were expensed by Cyberonics of $42.1 million and Sorin of $30.1 million for the period from April 25, 2015 to October 18, 2015 and $8.7 million by Cyberonics and $27.2 by Sorin for the twelve months ended April 24, 2015. In addition, this adjustment removes €6.4 million (or approximately $7.1 million) of compensation expense incurred during the period related to payments to be made to certain executives from Sorin upon close of the transaction. Costs related to actions taken by management subsequent to the Mergers, such as integration and restructuring charges, have not been removed from the pro forma results included herein.</w:t>
      </w:r>
    </w:p>
    <w:p>
      <w:pPr>
        <w:spacing w:after="0" w:line="6" w:lineRule="exact"/>
        <w:rPr>
          <w:rFonts w:ascii="Arial" w:cs="Arial" w:eastAsia="Arial" w:hAnsi="Arial"/>
          <w:sz w:val="16"/>
          <w:szCs w:val="16"/>
          <w:color w:val="auto"/>
        </w:rPr>
      </w:pPr>
    </w:p>
    <w:p>
      <w:pPr>
        <w:ind w:left="460" w:right="8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a result of the Mergers, LivaNova recorded a $56.8 million step-up of inventory and recognized an incremental cost of sales expense of $20.8 million from October 19, 2015 to December 31, 2015 associated with amortization of the step-up in inventory. The unaudited pro forma results include an adjustment to eliminate this $20.8 million in expense because it does not have a continuing impact due to an inventory usage period less than 12 months.</w:t>
      </w:r>
    </w:p>
    <w:p>
      <w:pPr>
        <w:sectPr>
          <w:pgSz w:w="11900" w:h="16838" w:orient="portrait"/>
          <w:cols w:equalWidth="0" w:num="1">
            <w:col w:w="11420"/>
          </w:cols>
          <w:pgMar w:left="240" w:top="274" w:right="239" w:bottom="1440" w:gutter="0" w:footer="0" w:header="0"/>
        </w:sectPr>
      </w:pPr>
    </w:p>
    <w:bookmarkStart w:id="11" w:name="page12"/>
    <w:bookmarkEnd w:id="11"/>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Adjustments to Sorin Historical Financial Statements to conform to Cyberonics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Presented below is unaudited financial information showing adjustments to conform Sorin’s historical IFRS statements to U.S. GAAP. Additionally, certain reclassifications have been made to Sorin’s historical unaudited financial statements to conform to Cyberonics’ presentation. For purposes of translating the unaudited financial information from euro to U.S. dollars, the IFRS financial statements denominated in thousands of euro have been converted to U.S. dollars using the average exchange rates derived from the European Central Bank of 1.1153 for the period from April 25, 2015 to October 18, 2015 and 1.2037 during the twelve months ended June 30, 2015.</w:t>
      </w:r>
    </w:p>
    <w:p>
      <w:pPr>
        <w:spacing w:after="0" w:line="188"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Sorin presented its income statement data both in a format classified by nature and a format classified by function. Sorin’s historical audited financial statements are based on the format classified by nature; however, for purposes of the unaudited pro forma condensed combined financial statements, the format classified by function has been included.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SORIN PRO FORMA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APRIL 25, 2015 TO OCTOBER 18,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7"/>
              </w:rPr>
              <w:t>IFRS to U.S.</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Financial</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Historical</w:t>
            </w:r>
          </w:p>
        </w:tc>
        <w:tc>
          <w:tcPr>
            <w:tcW w:w="160" w:type="dxa"/>
            <w:vAlign w:val="bottom"/>
          </w:tcPr>
          <w:p>
            <w:pPr>
              <w:spacing w:after="0"/>
              <w:rPr>
                <w:sz w:val="14"/>
                <w:szCs w:val="14"/>
                <w:color w:val="auto"/>
              </w:rPr>
            </w:pPr>
          </w:p>
        </w:tc>
        <w:tc>
          <w:tcPr>
            <w:tcW w:w="82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Historical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93"/>
              </w:rPr>
              <w:t>Historical</w:t>
            </w:r>
          </w:p>
        </w:tc>
        <w:tc>
          <w:tcPr>
            <w:tcW w:w="16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GAAP</w:t>
            </w: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Note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Statement</w:t>
            </w: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Note</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Adjustments,</w:t>
            </w:r>
          </w:p>
        </w:tc>
        <w:tc>
          <w:tcPr>
            <w:tcW w:w="6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Reclassification,</w:t>
            </w: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6"/>
              </w:rPr>
              <w:t>Adjusted</w:t>
            </w:r>
          </w:p>
        </w:tc>
        <w:tc>
          <w:tcPr>
            <w:tcW w:w="160" w:type="dxa"/>
            <w:vAlign w:val="bottom"/>
          </w:tcPr>
          <w:p>
            <w:pPr>
              <w:spacing w:after="0"/>
              <w:rPr>
                <w:sz w:val="12"/>
                <w:szCs w:val="12"/>
                <w:color w:val="auto"/>
              </w:rPr>
            </w:pP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58"/>
        </w:trPr>
        <w:tc>
          <w:tcPr>
            <w:tcW w:w="3600" w:type="dxa"/>
            <w:vAlign w:val="bottom"/>
            <w:gridSpan w:val="3"/>
            <w:vMerge w:val="continue"/>
          </w:tcPr>
          <w:p>
            <w:pPr>
              <w:spacing w:after="0"/>
              <w:rPr>
                <w:sz w:val="13"/>
                <w:szCs w:val="13"/>
                <w:color w:val="auto"/>
              </w:rPr>
            </w:pPr>
          </w:p>
        </w:tc>
        <w:tc>
          <w:tcPr>
            <w:tcW w:w="1240" w:type="dxa"/>
            <w:vAlign w:val="bottom"/>
            <w:gridSpan w:val="5"/>
          </w:tcPr>
          <w:p>
            <w:pPr>
              <w:spacing w:after="0" w:line="158" w:lineRule="exact"/>
              <w:rPr>
                <w:sz w:val="20"/>
                <w:szCs w:val="20"/>
                <w:color w:val="auto"/>
              </w:rPr>
            </w:pPr>
            <w:r>
              <w:rPr>
                <w:rFonts w:ascii="Arial" w:cs="Arial" w:eastAsia="Arial" w:hAnsi="Arial"/>
                <w:sz w:val="14"/>
                <w:szCs w:val="14"/>
                <w:b w:val="1"/>
                <w:bCs w:val="1"/>
                <w:color w:val="auto"/>
              </w:rPr>
              <w:t>Sorin, EURO</w:t>
            </w:r>
          </w:p>
        </w:tc>
        <w:tc>
          <w:tcPr>
            <w:tcW w:w="160" w:type="dxa"/>
            <w:vAlign w:val="bottom"/>
          </w:tcPr>
          <w:p>
            <w:pPr>
              <w:spacing w:after="0"/>
              <w:rPr>
                <w:sz w:val="13"/>
                <w:szCs w:val="13"/>
                <w:color w:val="auto"/>
              </w:rPr>
            </w:pPr>
          </w:p>
        </w:tc>
        <w:tc>
          <w:tcPr>
            <w:tcW w:w="108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rPr>
              <w:t>EURO</w:t>
            </w: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Reference</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rPr>
              <w:t>EURO</w:t>
            </w:r>
          </w:p>
        </w:tc>
        <w:tc>
          <w:tcPr>
            <w:tcW w:w="9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1"/>
              </w:rPr>
              <w:t>Reference</w:t>
            </w:r>
          </w:p>
        </w:tc>
        <w:tc>
          <w:tcPr>
            <w:tcW w:w="10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Sorin, EURO</w:t>
            </w:r>
          </w:p>
        </w:tc>
        <w:tc>
          <w:tcPr>
            <w:tcW w:w="160" w:type="dxa"/>
            <w:vAlign w:val="bottom"/>
          </w:tcPr>
          <w:p>
            <w:pPr>
              <w:spacing w:after="0"/>
              <w:rPr>
                <w:sz w:val="13"/>
                <w:szCs w:val="13"/>
                <w:color w:val="auto"/>
              </w:rPr>
            </w:pPr>
          </w:p>
        </w:tc>
        <w:tc>
          <w:tcPr>
            <w:tcW w:w="8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Sorin, USD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377,956</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377,956</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421,534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gridSpan w:val="2"/>
          </w:tcPr>
          <w:p>
            <w:pPr>
              <w:ind w:left="340"/>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171,093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7,318</w:t>
            </w:r>
          </w:p>
        </w:tc>
        <w:tc>
          <w:tcPr>
            <w:tcW w:w="420" w:type="dxa"/>
            <w:vAlign w:val="bottom"/>
          </w:tcPr>
          <w:p>
            <w:pPr>
              <w:spacing w:after="0"/>
              <w:rPr>
                <w:sz w:val="19"/>
                <w:szCs w:val="19"/>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4(d)</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178,411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198,982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206,863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(7,318)</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199,545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9"/>
              </w:rPr>
              <w:t>222,553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148,844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4(b)</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(5,479)</w:t>
            </w:r>
          </w:p>
        </w:tc>
        <w:tc>
          <w:tcPr>
            <w:tcW w:w="9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2"/>
              </w:rPr>
              <w:t>4(d)(e)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143,282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159,803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39,786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8,154</w:t>
            </w: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4(a)</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47,940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53,467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Merger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26,991</w:t>
            </w:r>
          </w:p>
        </w:tc>
        <w:tc>
          <w:tcPr>
            <w:tcW w:w="9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3"/>
              </w:rPr>
              <w:t>4(h)</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340"/>
              <w:spacing w:after="0"/>
              <w:rPr>
                <w:sz w:val="20"/>
                <w:szCs w:val="20"/>
                <w:color w:val="auto"/>
              </w:rPr>
            </w:pPr>
            <w:r>
              <w:rPr>
                <w:rFonts w:ascii="Arial" w:cs="Arial" w:eastAsia="Arial" w:hAnsi="Arial"/>
                <w:sz w:val="18"/>
                <w:szCs w:val="18"/>
                <w:color w:val="auto"/>
              </w:rPr>
              <w:t>Integration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2,196</w:t>
            </w:r>
          </w:p>
        </w:tc>
        <w:tc>
          <w:tcPr>
            <w:tcW w:w="9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4(h)</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Restructuring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4,658</w:t>
            </w:r>
          </w:p>
        </w:tc>
        <w:tc>
          <w:tcPr>
            <w:tcW w:w="9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3"/>
              </w:rPr>
              <w:t>4(h)</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340"/>
              <w:spacing w:after="0"/>
              <w:rPr>
                <w:sz w:val="20"/>
                <w:szCs w:val="20"/>
                <w:color w:val="auto"/>
              </w:rPr>
            </w:pPr>
            <w:r>
              <w:rPr>
                <w:rFonts w:ascii="Arial" w:cs="Arial" w:eastAsia="Arial" w:hAnsi="Arial"/>
                <w:sz w:val="18"/>
                <w:szCs w:val="18"/>
                <w:color w:val="auto"/>
              </w:rPr>
              <w:t>Special items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35,684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(35,684)</w:t>
            </w:r>
          </w:p>
        </w:tc>
        <w:tc>
          <w:tcPr>
            <w:tcW w:w="9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4(e)(h)</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224,314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8,071</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(7,318)</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225,067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9"/>
              </w:rPr>
              <w:t>251,017</w:t>
            </w:r>
          </w:p>
        </w:tc>
        <w:tc>
          <w:tcPr>
            <w:tcW w:w="0" w:type="dxa"/>
            <w:vAlign w:val="bottom"/>
          </w:tcPr>
          <w:p>
            <w:pPr>
              <w:spacing w:after="0"/>
              <w:rPr>
                <w:sz w:val="1"/>
                <w:szCs w:val="1"/>
                <w:color w:val="auto"/>
              </w:rPr>
            </w:pPr>
          </w:p>
        </w:tc>
      </w:tr>
      <w:tr>
        <w:trPr>
          <w:trHeight w:val="223"/>
        </w:trPr>
        <w:tc>
          <w:tcPr>
            <w:tcW w:w="3600" w:type="dxa"/>
            <w:vAlign w:val="bottom"/>
            <w:gridSpan w:val="3"/>
          </w:tcPr>
          <w:p>
            <w:pPr>
              <w:spacing w:after="0"/>
              <w:rPr>
                <w:sz w:val="20"/>
                <w:szCs w:val="20"/>
                <w:color w:val="auto"/>
              </w:rPr>
            </w:pPr>
            <w:r>
              <w:rPr>
                <w:rFonts w:ascii="Arial" w:cs="Arial" w:eastAsia="Arial" w:hAnsi="Arial"/>
                <w:sz w:val="18"/>
                <w:szCs w:val="18"/>
                <w:b w:val="1"/>
                <w:bCs w:val="1"/>
                <w:color w:val="auto"/>
              </w:rPr>
              <w:t>Income from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(17,451)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(8,071)</w:t>
            </w: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(25,522)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(28,465)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(6,490)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(707)</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4(a)</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4,083</w:t>
            </w:r>
          </w:p>
        </w:tc>
        <w:tc>
          <w:tcPr>
            <w:tcW w:w="9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3"/>
              </w:rPr>
              <w:t>4(g)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340"/>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(4,083)</w:t>
            </w:r>
          </w:p>
        </w:tc>
        <w:tc>
          <w:tcPr>
            <w:tcW w:w="9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4(g)</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(23,941)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(8,778)</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(32,719)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(36,491)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340"/>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(30,838)</w:t>
            </w:r>
          </w:p>
        </w:tc>
        <w:tc>
          <w:tcPr>
            <w:tcW w:w="1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(827)</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4(c)</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(31,665)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(35,316)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Income (loss) from equity method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(3,680)</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23"/>
        </w:trPr>
        <w:tc>
          <w:tcPr>
            <w:tcW w:w="3600" w:type="dxa"/>
            <w:vAlign w:val="bottom"/>
            <w:gridSpan w:val="3"/>
          </w:tcPr>
          <w:p>
            <w:pPr>
              <w:spacing w:after="0"/>
              <w:rPr>
                <w:sz w:val="20"/>
                <w:szCs w:val="20"/>
                <w:color w:val="auto"/>
              </w:rPr>
            </w:pPr>
            <w:r>
              <w:rPr>
                <w:rFonts w:ascii="Arial" w:cs="Arial" w:eastAsia="Arial" w:hAnsi="Arial"/>
                <w:sz w:val="18"/>
                <w:szCs w:val="18"/>
                <w:b w:val="1"/>
                <w:bCs w:val="1"/>
                <w:color w:val="auto"/>
              </w:rPr>
              <w:t>Net income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3,217</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(7,951</w:t>
            </w:r>
          </w:p>
        </w:tc>
        <w:tc>
          <w:tcPr>
            <w:tcW w:w="420" w:type="dxa"/>
            <w:vAlign w:val="bottom"/>
          </w:tcPr>
          <w:p>
            <w:pPr>
              <w:jc w:val="right"/>
              <w:ind w:right="280"/>
              <w:spacing w:after="0"/>
              <w:rPr>
                <w:sz w:val="20"/>
                <w:szCs w:val="20"/>
                <w:color w:val="auto"/>
              </w:rPr>
            </w:pPr>
            <w:r>
              <w:rPr>
                <w:rFonts w:ascii="Arial" w:cs="Arial" w:eastAsia="Arial" w:hAnsi="Arial"/>
                <w:sz w:val="16"/>
                <w:szCs w:val="16"/>
                <w:b w:val="1"/>
                <w:bCs w:val="1"/>
                <w:color w:val="auto"/>
                <w:w w:val="74"/>
              </w:rPr>
              <w:t>)</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(4,734</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(5,279</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SORIN PRO FORMA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TWELVE MONTHS ENDED JUNE 30,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7"/>
              </w:rPr>
              <w:t>IFRS to U.S.</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Financial</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Historical</w:t>
            </w:r>
          </w:p>
        </w:tc>
        <w:tc>
          <w:tcPr>
            <w:tcW w:w="160" w:type="dxa"/>
            <w:vAlign w:val="bottom"/>
          </w:tcPr>
          <w:p>
            <w:pPr>
              <w:spacing w:after="0"/>
              <w:rPr>
                <w:sz w:val="14"/>
                <w:szCs w:val="14"/>
                <w:color w:val="auto"/>
              </w:rPr>
            </w:pPr>
          </w:p>
        </w:tc>
        <w:tc>
          <w:tcPr>
            <w:tcW w:w="8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Historical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90"/>
              </w:rPr>
              <w:t>Historical</w:t>
            </w:r>
          </w:p>
        </w:tc>
        <w:tc>
          <w:tcPr>
            <w:tcW w:w="14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GAAP</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Note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Statement</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Note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Adjustments,</w:t>
            </w:r>
          </w:p>
        </w:tc>
        <w:tc>
          <w:tcPr>
            <w:tcW w:w="6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Reclassification,</w:t>
            </w:r>
          </w:p>
        </w:tc>
        <w:tc>
          <w:tcPr>
            <w:tcW w:w="8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6"/>
              </w:rPr>
              <w:t>Adjusted</w:t>
            </w:r>
          </w:p>
        </w:tc>
        <w:tc>
          <w:tcPr>
            <w:tcW w:w="160" w:type="dxa"/>
            <w:vAlign w:val="bottom"/>
          </w:tcPr>
          <w:p>
            <w:pPr>
              <w:spacing w:after="0"/>
              <w:rPr>
                <w:sz w:val="12"/>
                <w:szCs w:val="12"/>
                <w:color w:val="auto"/>
              </w:rPr>
            </w:pP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58"/>
        </w:trPr>
        <w:tc>
          <w:tcPr>
            <w:tcW w:w="3420" w:type="dxa"/>
            <w:vAlign w:val="bottom"/>
            <w:gridSpan w:val="3"/>
            <w:vMerge w:val="continue"/>
          </w:tcPr>
          <w:p>
            <w:pPr>
              <w:spacing w:after="0"/>
              <w:rPr>
                <w:sz w:val="13"/>
                <w:szCs w:val="13"/>
                <w:color w:val="auto"/>
              </w:rPr>
            </w:pPr>
          </w:p>
        </w:tc>
        <w:tc>
          <w:tcPr>
            <w:tcW w:w="122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Sorin, EURO</w:t>
            </w:r>
          </w:p>
        </w:tc>
        <w:tc>
          <w:tcPr>
            <w:tcW w:w="140" w:type="dxa"/>
            <w:vAlign w:val="bottom"/>
          </w:tcPr>
          <w:p>
            <w:pPr>
              <w:spacing w:after="0"/>
              <w:rPr>
                <w:sz w:val="13"/>
                <w:szCs w:val="13"/>
                <w:color w:val="auto"/>
              </w:rPr>
            </w:pPr>
          </w:p>
        </w:tc>
        <w:tc>
          <w:tcPr>
            <w:tcW w:w="108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rPr>
              <w:t>EURO</w:t>
            </w: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8"/>
              </w:rPr>
              <w:t>Reference</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rPr>
              <w:t>EURO</w:t>
            </w: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8"/>
              </w:rPr>
              <w:t>Reference</w:t>
            </w:r>
          </w:p>
        </w:tc>
        <w:tc>
          <w:tcPr>
            <w:tcW w:w="1360" w:type="dxa"/>
            <w:vAlign w:val="bottom"/>
            <w:gridSpan w:val="4"/>
          </w:tcPr>
          <w:p>
            <w:pPr>
              <w:ind w:left="300"/>
              <w:spacing w:after="0" w:line="158" w:lineRule="exact"/>
              <w:rPr>
                <w:sz w:val="20"/>
                <w:szCs w:val="20"/>
                <w:color w:val="auto"/>
              </w:rPr>
            </w:pPr>
            <w:r>
              <w:rPr>
                <w:rFonts w:ascii="Arial" w:cs="Arial" w:eastAsia="Arial" w:hAnsi="Arial"/>
                <w:sz w:val="14"/>
                <w:szCs w:val="14"/>
                <w:b w:val="1"/>
                <w:bCs w:val="1"/>
                <w:color w:val="auto"/>
              </w:rPr>
              <w:t>Sorin, EURO</w:t>
            </w:r>
          </w:p>
        </w:tc>
        <w:tc>
          <w:tcPr>
            <w:tcW w:w="160" w:type="dxa"/>
            <w:vAlign w:val="bottom"/>
          </w:tcPr>
          <w:p>
            <w:pPr>
              <w:spacing w:after="0"/>
              <w:rPr>
                <w:sz w:val="13"/>
                <w:szCs w:val="13"/>
                <w:color w:val="auto"/>
              </w:rPr>
            </w:pPr>
          </w:p>
        </w:tc>
        <w:tc>
          <w:tcPr>
            <w:tcW w:w="8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Sorin, USD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785,012</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785,012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944,919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340"/>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332,006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25,680</w:t>
            </w: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4(d)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357,686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430,547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453,006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(25,680)</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427,326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514,372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299,352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2,496</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4(b)</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(24,649)</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4(d)(e)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277,199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333,664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82,134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21,841</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4(a)</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1,284</w:t>
            </w:r>
          </w:p>
        </w:tc>
        <w:tc>
          <w:tcPr>
            <w:tcW w:w="880" w:type="dxa"/>
            <w:vAlign w:val="bottom"/>
          </w:tcPr>
          <w:p>
            <w:pPr>
              <w:jc w:val="center"/>
              <w:spacing w:after="0"/>
              <w:rPr>
                <w:sz w:val="20"/>
                <w:szCs w:val="20"/>
                <w:color w:val="auto"/>
              </w:rPr>
            </w:pPr>
            <w:r>
              <w:rPr>
                <w:rFonts w:ascii="Arial" w:cs="Arial" w:eastAsia="Arial" w:hAnsi="Arial"/>
                <w:sz w:val="18"/>
                <w:szCs w:val="18"/>
                <w:color w:val="auto"/>
              </w:rPr>
              <w:t>4(f)</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105,259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Merger expenses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22,565</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4(h)</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340"/>
              <w:spacing w:after="0"/>
              <w:rPr>
                <w:sz w:val="20"/>
                <w:szCs w:val="20"/>
                <w:color w:val="auto"/>
              </w:rPr>
            </w:pPr>
            <w:r>
              <w:rPr>
                <w:rFonts w:ascii="Arial" w:cs="Arial" w:eastAsia="Arial" w:hAnsi="Arial"/>
                <w:sz w:val="18"/>
                <w:szCs w:val="18"/>
                <w:color w:val="auto"/>
              </w:rPr>
              <w:t>Special items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24,880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(24,880)</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4(d)(e)(f)(h)</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406,366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24,337</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(25,680)</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405,023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487,526</w:t>
            </w:r>
          </w:p>
        </w:tc>
        <w:tc>
          <w:tcPr>
            <w:tcW w:w="0" w:type="dxa"/>
            <w:vAlign w:val="bottom"/>
          </w:tcPr>
          <w:p>
            <w:pPr>
              <w:spacing w:after="0"/>
              <w:rPr>
                <w:sz w:val="1"/>
                <w:szCs w:val="1"/>
                <w:color w:val="auto"/>
              </w:rPr>
            </w:pPr>
          </w:p>
        </w:tc>
      </w:tr>
      <w:tr>
        <w:trPr>
          <w:trHeight w:val="223"/>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46,640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(24,337)</w:t>
            </w: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22,303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income (expense), net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(9,547)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(1,239)</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4(a)</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3,570</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34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(3,570)</w:t>
            </w: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4(g)</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(3,570)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37,093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(25,576)</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11,517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340"/>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(3,132)</w:t>
            </w: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(3,492)</w:t>
            </w: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4(c)</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(6,624)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(7,973)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Income (loss) from equity method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(7,521)</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(7,521)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(9,053)</w:t>
            </w:r>
          </w:p>
        </w:tc>
        <w:tc>
          <w:tcPr>
            <w:tcW w:w="0" w:type="dxa"/>
            <w:vAlign w:val="bottom"/>
          </w:tcPr>
          <w:p>
            <w:pPr>
              <w:spacing w:after="0"/>
              <w:rPr>
                <w:sz w:val="1"/>
                <w:szCs w:val="1"/>
                <w:color w:val="auto"/>
              </w:rPr>
            </w:pPr>
          </w:p>
        </w:tc>
      </w:tr>
      <w:tr>
        <w:trPr>
          <w:trHeight w:val="223"/>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32,704</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(22,084</w:t>
            </w:r>
          </w:p>
        </w:tc>
        <w:tc>
          <w:tcPr>
            <w:tcW w:w="400" w:type="dxa"/>
            <w:vAlign w:val="bottom"/>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10,620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Adjustments included in the columns labelled “IFRS to U.S. GAAP Adjustments” are for the following:</w:t>
      </w:r>
    </w:p>
    <w:p>
      <w:pPr>
        <w:spacing w:after="0" w:line="131" w:lineRule="exact"/>
        <w:rPr>
          <w:sz w:val="20"/>
          <w:szCs w:val="20"/>
          <w:color w:val="auto"/>
        </w:rPr>
      </w:pPr>
    </w:p>
    <w:p>
      <w:pPr>
        <w:ind w:left="460" w:right="80" w:hanging="452"/>
        <w:spacing w:after="0" w:line="252"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accounting for research and development expenditures differs under U.S. GAAP and IFRS. Under U.S. GAAP, costs for both research and development are generally not eligible for capitalization. Under IFRS, development costs incurred in connection with a specific project are eligible for capitalization only when an entity can demonstrate that it possesses the technical capabilities needed to complete the intangible asset and make it available for use or sale, that it intends to complete the asset for the purpose of using it or selling it, that it has developed methods to enable the asset to generate future economic benefits, that it has the technical, financial and other resources needed to complete the development and that it is able to evaluate reliably the costs attributable to the asset during its development. The adjustment to the historical statements of operations represents the total that was capitalized to the balance sheet during the related period offset by the amortization in the related period of previously capitalized research and development.</w:t>
      </w:r>
    </w:p>
    <w:p>
      <w:pPr>
        <w:spacing w:after="0" w:line="4"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Actuarial gains and losses recognized in other comprehensive income under IFRS are recorded in profit and loss under U.S. GAAP. The adjustment is presented on the pro forma statement of operations.</w:t>
      </w:r>
    </w:p>
    <w:p>
      <w:pPr>
        <w:ind w:left="460" w:hanging="45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statutory tax rate was applied, as appropriate, to each adjustment based on the jurisdiction in which the adjustment was expected to occur.</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April 25, 2015</w:t>
            </w:r>
          </w:p>
        </w:tc>
        <w:tc>
          <w:tcPr>
            <w:tcW w:w="1480" w:type="dxa"/>
            <w:vAlign w:val="bottom"/>
            <w:gridSpan w:val="4"/>
          </w:tcPr>
          <w:p>
            <w:pPr>
              <w:ind w:left="420"/>
              <w:spacing w:after="0"/>
              <w:rPr>
                <w:sz w:val="20"/>
                <w:szCs w:val="20"/>
                <w:color w:val="auto"/>
              </w:rPr>
            </w:pPr>
            <w:r>
              <w:rPr>
                <w:rFonts w:ascii="Arial" w:cs="Arial" w:eastAsia="Arial" w:hAnsi="Arial"/>
                <w:sz w:val="14"/>
                <w:szCs w:val="14"/>
                <w:b w:val="1"/>
                <w:bCs w:val="1"/>
                <w:color w:val="auto"/>
              </w:rPr>
              <w:t>Twelve Months</w:t>
            </w:r>
          </w:p>
        </w:tc>
        <w:tc>
          <w:tcPr>
            <w:tcW w:w="0" w:type="dxa"/>
            <w:vAlign w:val="bottom"/>
          </w:tcPr>
          <w:p>
            <w:pPr>
              <w:spacing w:after="0"/>
              <w:rPr>
                <w:sz w:val="1"/>
                <w:szCs w:val="1"/>
                <w:color w:val="auto"/>
              </w:rPr>
            </w:pPr>
          </w:p>
        </w:tc>
      </w:tr>
      <w:tr>
        <w:trPr>
          <w:trHeight w:val="149"/>
        </w:trPr>
        <w:tc>
          <w:tcPr>
            <w:tcW w:w="4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of euro)</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to</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58"/>
        </w:trPr>
        <w:tc>
          <w:tcPr>
            <w:tcW w:w="4780" w:type="dxa"/>
            <w:vAlign w:val="bottom"/>
            <w:gridSpan w:val="3"/>
            <w:vMerge w:val="continue"/>
          </w:tcPr>
          <w:p>
            <w:pPr>
              <w:spacing w:after="0"/>
              <w:rPr>
                <w:sz w:val="13"/>
                <w:szCs w:val="13"/>
                <w:color w:val="auto"/>
              </w:rPr>
            </w:pPr>
          </w:p>
        </w:tc>
        <w:tc>
          <w:tcPr>
            <w:tcW w:w="2420" w:type="dxa"/>
            <w:vAlign w:val="bottom"/>
            <w:gridSpan w:val="4"/>
          </w:tcPr>
          <w:p>
            <w:pPr>
              <w:jc w:val="center"/>
              <w:ind w:left="379"/>
              <w:spacing w:after="0" w:line="158" w:lineRule="exact"/>
              <w:rPr>
                <w:sz w:val="20"/>
                <w:szCs w:val="20"/>
                <w:color w:val="auto"/>
              </w:rPr>
            </w:pPr>
            <w:r>
              <w:rPr>
                <w:rFonts w:ascii="Arial" w:cs="Arial" w:eastAsia="Arial" w:hAnsi="Arial"/>
                <w:sz w:val="14"/>
                <w:szCs w:val="14"/>
                <w:b w:val="1"/>
                <w:bCs w:val="1"/>
                <w:color w:val="auto"/>
                <w:w w:val="92"/>
              </w:rPr>
              <w:t>October 18, 2015</w:t>
            </w:r>
          </w:p>
        </w:tc>
        <w:tc>
          <w:tcPr>
            <w:tcW w:w="420" w:type="dxa"/>
            <w:vAlign w:val="bottom"/>
          </w:tcPr>
          <w:p>
            <w:pPr>
              <w:spacing w:after="0"/>
              <w:rPr>
                <w:sz w:val="13"/>
                <w:szCs w:val="13"/>
                <w:color w:val="auto"/>
              </w:rPr>
            </w:pPr>
          </w:p>
        </w:tc>
        <w:tc>
          <w:tcPr>
            <w:tcW w:w="1060" w:type="dxa"/>
            <w:vAlign w:val="bottom"/>
            <w:gridSpan w:val="3"/>
          </w:tcPr>
          <w:p>
            <w:pPr>
              <w:jc w:val="right"/>
              <w:ind w:right="180"/>
              <w:spacing w:after="0" w:line="158" w:lineRule="exact"/>
              <w:rPr>
                <w:sz w:val="20"/>
                <w:szCs w:val="20"/>
                <w:color w:val="auto"/>
              </w:rPr>
            </w:pPr>
            <w:r>
              <w:rPr>
                <w:rFonts w:ascii="Arial" w:cs="Arial" w:eastAsia="Arial" w:hAnsi="Arial"/>
                <w:sz w:val="14"/>
                <w:szCs w:val="14"/>
                <w:b w:val="1"/>
                <w:bCs w:val="1"/>
                <w:color w:val="auto"/>
                <w:w w:val="94"/>
              </w:rPr>
              <w:t>June 30, 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bottom w:val="single" w:sz="8" w:color="CCEEFF"/>
            </w:tcBorders>
            <w:shd w:val="clear" w:color="auto" w:fill="000000"/>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Research and development—Note 4(a)(c)</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(863)</w:t>
            </w: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(2,643)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340"/>
              <w:spacing w:after="0"/>
              <w:rPr>
                <w:sz w:val="20"/>
                <w:szCs w:val="20"/>
                <w:color w:val="auto"/>
              </w:rPr>
            </w:pPr>
            <w:r>
              <w:rPr>
                <w:rFonts w:ascii="Arial" w:cs="Arial" w:eastAsia="Arial" w:hAnsi="Arial"/>
                <w:sz w:val="18"/>
                <w:szCs w:val="18"/>
                <w:color w:val="auto"/>
              </w:rPr>
              <w:t>Actuarial gain (loss)—Note 4(b)(c)</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Adjustment to provision (benefit) for income taxes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(827)</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reclassifications have been made to Sorin’s historical financial information to align the presentation with Cyberonics’ U.S. GAAP policy elections.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adjustments are included in the column financial statement reclassification on the statements of operations and are discussed below:</w:t>
      </w:r>
    </w:p>
    <w:p>
      <w:pPr>
        <w:spacing w:after="0" w:line="11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Adjustments to cost of sales were made: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reclassify shipping costs out of selling, general and administrative and into cost of sales.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reclassify US medical device excise tax out of selling, general and administrative and into cost of sales.</w:t>
      </w:r>
    </w:p>
    <w:p>
      <w:pPr>
        <w:spacing w:after="0" w:line="130" w:lineRule="exact"/>
        <w:rPr>
          <w:rFonts w:ascii="Arial" w:cs="Arial" w:eastAsia="Arial" w:hAnsi="Arial"/>
          <w:sz w:val="18"/>
          <w:szCs w:val="18"/>
          <w:color w:val="auto"/>
        </w:rPr>
      </w:pPr>
    </w:p>
    <w:p>
      <w:pPr>
        <w:ind w:left="900" w:right="180" w:hanging="446"/>
        <w:spacing w:after="0" w:line="297"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To reclassify certain special items €10.6 million for the twelve months ended June 30, 2015 out of special items line item and into cost of sales. Historically, Sorin has classified material income statement items as special items when (i) they arose from events or transactions that were not recurring or from transactions or situations that did not occur frequently in the normal course of business, or (ii) they arose from events or transactions that were not indicative of Sorin’s regular business activities. Examples include certain litigations, business development expenses, merger-related costs, valuation of certain employee benefit provisions and incomes/expenses from an earthquake.</w:t>
      </w:r>
    </w:p>
    <w:p>
      <w:pPr>
        <w:spacing w:after="0" w:line="63" w:lineRule="exact"/>
        <w:rPr>
          <w:rFonts w:ascii="Arial" w:cs="Arial" w:eastAsia="Arial" w:hAnsi="Arial"/>
          <w:sz w:val="16"/>
          <w:szCs w:val="16"/>
          <w:color w:val="auto"/>
        </w:rPr>
      </w:pPr>
    </w:p>
    <w:p>
      <w:pPr>
        <w:ind w:left="46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Accounting adjustments were made to reclassify certain special items totaling €1.8 million for the period from April 25, 2015 to October 18, 2015 and €13.0 million for the twelve months ended June 30, 2015 out of the special items line item and into selling, general and administrative. Please see above for a description of special items.</w:t>
      </w:r>
    </w:p>
    <w:p>
      <w:pPr>
        <w:spacing w:after="0" w:line="86"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Accounting adjustments were made to reclassify certain special items totaling €1.3 million for the twelve months ended June 30, 2015 out of the special items line item and into research and development. Please see above for a description of special items.</w:t>
      </w:r>
    </w:p>
    <w:p>
      <w:pPr>
        <w:spacing w:after="0" w:line="75" w:lineRule="exact"/>
        <w:rPr>
          <w:rFonts w:ascii="Arial" w:cs="Arial" w:eastAsia="Arial" w:hAnsi="Arial"/>
          <w:sz w:val="18"/>
          <w:szCs w:val="18"/>
          <w:color w:val="auto"/>
        </w:rPr>
      </w:pPr>
    </w:p>
    <w:p>
      <w:pPr>
        <w:ind w:left="460" w:right="42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Accounting adjustments were made to reclassify the impact of foreign currency on commercial and financial transactions from the interest income (expense), net line item to the other income (expense), net line item.</w:t>
      </w:r>
    </w:p>
    <w:p>
      <w:pPr>
        <w:spacing w:after="0" w:line="75"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Accounting adjustments were made to reclassify merger expenses, integration expenses, and restructuring expenses to align with LivaNova’s format of presentation.</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Acquisition accounting rules require evaluation of certain assumptions, estimates and determinations of financial statement classifications which are completed during the measurement period as defined in current accounting standards. During the preparation of the unaudited pro forma condensed combined financial information, LivaNova’s management performed an analysis of accounting policies at Cyberonics and Sorin, and is not aware of any differences that could have a material impact on the combined financial statements other than those related to the conversion from IFRS to U.S. GAAP and reclassification adjustments described above.</w:t>
      </w:r>
    </w:p>
    <w:p>
      <w:pPr>
        <w:spacing w:after="0" w:line="333"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Pro forma earnings from continuing operations per share have been calculated based on the estimated weighted average number of shares outstanding on a pro forma basis during the relevant periods, as if the shares issued in the Mergers had been outstanding as of April 26, 2014, the beginning of fiscal year 2015.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April 25, 2015</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49"/>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thousands, except per share data)</w:t>
            </w:r>
          </w:p>
        </w:tc>
        <w:tc>
          <w:tcPr>
            <w:tcW w:w="62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to</w:t>
            </w:r>
          </w:p>
        </w:tc>
        <w:tc>
          <w:tcPr>
            <w:tcW w:w="3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April 24,</w:t>
            </w:r>
          </w:p>
        </w:tc>
        <w:tc>
          <w:tcPr>
            <w:tcW w:w="0" w:type="dxa"/>
            <w:vAlign w:val="bottom"/>
          </w:tcPr>
          <w:p>
            <w:pPr>
              <w:spacing w:after="0"/>
              <w:rPr>
                <w:sz w:val="1"/>
                <w:szCs w:val="1"/>
                <w:color w:val="auto"/>
              </w:rPr>
            </w:pPr>
          </w:p>
        </w:tc>
      </w:tr>
      <w:tr>
        <w:trPr>
          <w:trHeight w:val="178"/>
        </w:trPr>
        <w:tc>
          <w:tcPr>
            <w:tcW w:w="2300" w:type="dxa"/>
            <w:vAlign w:val="bottom"/>
            <w:tcBorders>
              <w:bottom w:val="single" w:sz="8" w:color="auto"/>
            </w:tcBorders>
            <w:vMerge w:val="continue"/>
          </w:tcPr>
          <w:p>
            <w:pPr>
              <w:spacing w:after="0"/>
              <w:rPr>
                <w:sz w:val="15"/>
                <w:szCs w:val="15"/>
                <w:color w:val="auto"/>
              </w:rPr>
            </w:pPr>
          </w:p>
        </w:tc>
        <w:tc>
          <w:tcPr>
            <w:tcW w:w="6240" w:type="dxa"/>
            <w:vAlign w:val="bottom"/>
            <w:vMerge w:val="continue"/>
          </w:tcPr>
          <w:p>
            <w:pPr>
              <w:spacing w:after="0"/>
              <w:rPr>
                <w:sz w:val="15"/>
                <w:szCs w:val="15"/>
                <w:color w:val="auto"/>
              </w:rPr>
            </w:pPr>
          </w:p>
        </w:tc>
        <w:tc>
          <w:tcPr>
            <w:tcW w:w="15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December 31, 2015</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33"/>
              <w:spacing w:after="0" w:line="158"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20,273</w:t>
            </w: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77,980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LivaNova basic weighted average shares outstanding</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32,741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26,391</w:t>
            </w:r>
          </w:p>
        </w:tc>
        <w:tc>
          <w:tcPr>
            <w:tcW w:w="0" w:type="dxa"/>
            <w:vAlign w:val="bottom"/>
          </w:tcPr>
          <w:p>
            <w:pPr>
              <w:spacing w:after="0"/>
              <w:rPr>
                <w:sz w:val="1"/>
                <w:szCs w:val="1"/>
                <w:color w:val="auto"/>
              </w:rPr>
            </w:pP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Sorin basic weighted average shares outstanding for period prior to October 19, 2015</w:t>
            </w:r>
          </w:p>
        </w:tc>
        <w:tc>
          <w:tcPr>
            <w:tcW w:w="1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15,881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Basic—weighted average shares outstanding</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48,622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48,903</w:t>
            </w:r>
          </w:p>
        </w:tc>
        <w:tc>
          <w:tcPr>
            <w:tcW w:w="0" w:type="dxa"/>
            <w:vAlign w:val="bottom"/>
          </w:tcPr>
          <w:p>
            <w:pPr>
              <w:spacing w:after="0"/>
              <w:rPr>
                <w:sz w:val="1"/>
                <w:szCs w:val="1"/>
                <w:color w:val="auto"/>
              </w:rPr>
            </w:pP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Dilutive effect of LivaNova stock options, restricted stock units, and other</w:t>
            </w:r>
          </w:p>
        </w:tc>
        <w:tc>
          <w:tcPr>
            <w:tcW w:w="1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221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Dilutive effect of Sorin performance awards, restricted stock units, and stock options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3"/>
        </w:trPr>
        <w:tc>
          <w:tcPr>
            <w:tcW w:w="8540" w:type="dxa"/>
            <w:vAlign w:val="bottom"/>
            <w:gridSpan w:val="2"/>
          </w:tcPr>
          <w:p>
            <w:pPr>
              <w:ind w:left="360"/>
              <w:spacing w:after="0"/>
              <w:rPr>
                <w:sz w:val="20"/>
                <w:szCs w:val="20"/>
                <w:color w:val="auto"/>
              </w:rPr>
            </w:pPr>
            <w:r>
              <w:rPr>
                <w:rFonts w:ascii="Arial" w:cs="Arial" w:eastAsia="Arial" w:hAnsi="Arial"/>
                <w:sz w:val="18"/>
                <w:szCs w:val="18"/>
                <w:b w:val="1"/>
                <w:bCs w:val="1"/>
                <w:color w:val="auto"/>
              </w:rPr>
              <w:t>Diluted—weighted average shares outstanding</w:t>
            </w: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48,968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from continuing operations per share: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0.42</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2"/>
    </w:lvl>
  </w:abstractNum>
  <w:abstractNum w:abstractNumId="2">
    <w:nsid w:val="515F007C"/>
    <w:multiLevelType w:val="hybridMultilevel"/>
    <w:lvl w:ilvl="0">
      <w:lvlJc w:val="left"/>
      <w:lvlText w:val="(%1)"/>
      <w:numFmt w:val="lowerLetter"/>
      <w:start w:val="4"/>
    </w:lvl>
  </w:abstractNum>
  <w:abstractNum w:abstractNumId="3">
    <w:nsid w:val="5BD062C2"/>
    <w:multiLevelType w:val="hybridMultilevel"/>
    <w:lvl w:ilvl="0">
      <w:lvlJc w:val="left"/>
      <w:lvlText w:val="(%1)"/>
      <w:numFmt w:val="decimal"/>
      <w:start w:val="3"/>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2"/>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4"/>
    </w:lvl>
  </w:abstractNum>
  <w:abstractNum w:abstractNumId="10">
    <w:nsid w:val="140E0F76"/>
    <w:multiLevelType w:val="hybridMultilevel"/>
    <w:lvl w:ilvl="0">
      <w:lvlJc w:val="left"/>
      <w:lvlText w:val="%1."/>
      <w:numFmt w:val="decimal"/>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4"/>
    </w:lvl>
    <w:lvl w:ilvl="1">
      <w:lvlJc w:val="left"/>
      <w:lvlText w:val="%2."/>
      <w:numFmt w:val="lowerLetter"/>
      <w:start w:val="1"/>
    </w:lvl>
  </w:abstractNum>
  <w:abstractNum w:abstractNumId="13">
    <w:nsid w:val="DED7263"/>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2019-12-09T01:24:50Z</dcterms:created>
  <dcterms:modified xsi:type="dcterms:W3CDTF">2019-12-09T01:24:50Z</dcterms:modified>
</cp:coreProperties>
</file>