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15"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4,784</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20,953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1,603</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69.72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19,350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4,784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03/01/2020</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4,784</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tcPr>
          <w:p>
            <w:pPr>
              <w:ind w:left="300"/>
              <w:spacing w:after="0" w:line="133" w:lineRule="exact"/>
              <w:rPr>
                <w:sz w:val="20"/>
                <w:szCs w:val="20"/>
                <w:color w:val="auto"/>
              </w:rPr>
            </w:pPr>
            <w:r>
              <w:rPr>
                <w:rFonts w:ascii="Arial" w:cs="Arial" w:eastAsia="Arial" w:hAnsi="Arial"/>
                <w:sz w:val="14"/>
                <w:szCs w:val="14"/>
                <w:color w:val="0000FF"/>
                <w:w w:val="97"/>
              </w:rPr>
              <w:t>54,876</w:t>
            </w:r>
          </w:p>
        </w:tc>
        <w:tc>
          <w:tcPr>
            <w:tcW w:w="940" w:type="dxa"/>
            <w:vAlign w:val="bottom"/>
          </w:tcPr>
          <w:p>
            <w:pPr>
              <w:ind w:left="56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0000FF"/>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jc w:val="both"/>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20, 2017, reporting person was granted RSUs that vest 25% on the second day after release of LivaNova's full-year 2019 financial results, February 27, 2020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7 of Table II reflects the RSUs eligible for vesting at the target price subject to continued service during the vesting period and the award agreement.</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03/03/2020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2020-03-03T15:33:19Z</dcterms:created>
  <dcterms:modified xsi:type="dcterms:W3CDTF">2020-03-03T15:33:19Z</dcterms:modified>
</cp:coreProperties>
</file>