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April 19,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(44) 203 325 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7660"/>
        <w:spacing w:after="0"/>
        <w:tabs>
          <w:tab w:leader="none" w:pos="112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6" w:lineRule="exact"/>
        <w:rPr>
          <w:sz w:val="24"/>
          <w:szCs w:val="24"/>
          <w:color w:val="auto"/>
        </w:rPr>
      </w:pPr>
    </w:p>
    <w:p>
      <w:pPr>
        <w:ind w:left="11280"/>
        <w:spacing w:after="0"/>
        <w:rPr>
          <w:sz w:val="20"/>
          <w:szCs w:val="20"/>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1" w:name="page2"/>
    <w:bookmarkEnd w:id="1"/>
    <w:p>
      <w:pPr>
        <w:ind w:right="320"/>
        <w:spacing w:after="0" w:line="282" w:lineRule="auto"/>
        <w:rPr>
          <w:sz w:val="20"/>
          <w:szCs w:val="20"/>
          <w:color w:val="auto"/>
        </w:rPr>
      </w:pPr>
      <w:r>
        <w:rPr>
          <w:rFonts w:ascii="Arial" w:cs="Arial" w:eastAsia="Arial" w:hAnsi="Arial"/>
          <w:sz w:val="18"/>
          <w:szCs w:val="18"/>
          <w:b w:val="1"/>
          <w:bCs w:val="1"/>
          <w:u w:val="single" w:color="auto"/>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Payment under the 2016 Bonus Plan</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April 19, 2017, the Compensation Committee (the “Committee”) of the Board of Director of LivaNova Plc (the “Company”), approved payment of the bonus under our 2016 Short Term Incentive Plan, also called our 2016 Bonus Plan, to our executive officers. The 2016 Bonus Plan included two objectives, each weighted at 50%:</w:t>
      </w:r>
    </w:p>
    <w:p>
      <w:pPr>
        <w:spacing w:after="0" w:line="343" w:lineRule="exact"/>
        <w:rPr>
          <w:sz w:val="20"/>
          <w:szCs w:val="20"/>
          <w:color w:val="auto"/>
        </w:rPr>
      </w:pPr>
    </w:p>
    <w:p>
      <w:pPr>
        <w:ind w:left="960" w:hanging="466"/>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Achievement an adjusted net sales objective at comparable budget currency exchange rates, with a target of $1,249.9 million; and</w:t>
      </w:r>
    </w:p>
    <w:p>
      <w:pPr>
        <w:spacing w:after="0" w:line="63" w:lineRule="exact"/>
        <w:rPr>
          <w:rFonts w:ascii="Arial" w:cs="Arial" w:eastAsia="Arial" w:hAnsi="Arial"/>
          <w:sz w:val="18"/>
          <w:szCs w:val="18"/>
          <w:color w:val="auto"/>
        </w:rPr>
      </w:pPr>
    </w:p>
    <w:p>
      <w:pPr>
        <w:ind w:left="960" w:hanging="466"/>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Achievement of an adjusted net profit objective, with a target of $157.4 million.</w:t>
      </w:r>
    </w:p>
    <w:p>
      <w:pPr>
        <w:spacing w:after="0" w:line="252"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Both of these performance measures for the 2016 Bonus Plan are non-GAAP financial measures. Adjusted net sales at comparable currency exchange rates is calculated as the consolidated Company net sales in USD, adopting the fixed exchange rates used for the budget to translate sales in currencies different from USD. Adjusted net profit is calculated as follows: Net Profit +/- non GAAP adjustments (net of tax impact), as per year-end press release. Non GAAP adjustments were:equity compensation; amortization of intangible assets; purchase price allocation inventory step up; restructuring, merger and integration expenses; goodwill impairment; 3T Heater Cooler product remediation charges and other minor one-off charges.</w:t>
      </w:r>
    </w:p>
    <w:p>
      <w:pPr>
        <w:spacing w:after="0" w:line="15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percentage achievement of the performance objectives was to be scaled down or up by 2% for each 1%, or portion thereof, of underachievement or overachievement, respectively, between an underachievement of at least 80% and an overachievement of up to 125%. Applying this scaling factor to the performance objectives, individual bonuses could range from a low of 0% (for achievement less than 80% on the scorecard) to a high of 150% of a named executive officer’s target bonus amount.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achievement factor under the 2016 Bonus Plan based on our financial performance was 91.5%, but in light of our performance in 2016, as reflected in our share price, the Committee reduced the achievement factor to 80% and awarded the cash-based incentive bonuses in respect of the year ended December 31, 2016 as set out below.</w:t>
      </w:r>
    </w:p>
    <w:p>
      <w:pPr>
        <w:spacing w:after="0" w:line="123"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Adjusted Achievement</w:t>
            </w:r>
          </w:p>
        </w:tc>
        <w:tc>
          <w:tcPr>
            <w:tcW w:w="320" w:type="dxa"/>
            <w:vAlign w:val="bottom"/>
          </w:tcPr>
          <w:p>
            <w:pPr>
              <w:spacing w:after="0"/>
              <w:rPr>
                <w:sz w:val="18"/>
                <w:szCs w:val="18"/>
                <w:color w:val="auto"/>
              </w:rPr>
            </w:pPr>
          </w:p>
        </w:tc>
        <w:tc>
          <w:tcPr>
            <w:tcW w:w="2040" w:type="dxa"/>
            <w:vAlign w:val="bottom"/>
          </w:tcPr>
          <w:p>
            <w:pPr>
              <w:jc w:val="right"/>
              <w:ind w:right="710"/>
              <w:spacing w:after="0"/>
              <w:rPr>
                <w:sz w:val="20"/>
                <w:szCs w:val="20"/>
                <w:color w:val="auto"/>
              </w:rPr>
            </w:pPr>
            <w:r>
              <w:rPr>
                <w:rFonts w:ascii="Arial" w:cs="Arial" w:eastAsia="Arial" w:hAnsi="Arial"/>
                <w:sz w:val="18"/>
                <w:szCs w:val="18"/>
                <w:b w:val="1"/>
                <w:bCs w:val="1"/>
                <w:color w:val="auto"/>
              </w:rPr>
              <w:t>2016</w:t>
            </w:r>
          </w:p>
        </w:tc>
      </w:tr>
      <w:tr>
        <w:trPr>
          <w:trHeight w:val="261"/>
        </w:trPr>
        <w:tc>
          <w:tcPr>
            <w:tcW w:w="3160" w:type="dxa"/>
            <w:vAlign w:val="bottom"/>
          </w:tcPr>
          <w:p>
            <w:pPr>
              <w:spacing w:after="0"/>
              <w:rPr>
                <w:sz w:val="20"/>
                <w:szCs w:val="20"/>
                <w:color w:val="auto"/>
              </w:rPr>
            </w:pPr>
            <w:r>
              <w:rPr>
                <w:rFonts w:ascii="Arial" w:cs="Arial" w:eastAsia="Arial" w:hAnsi="Arial"/>
                <w:sz w:val="18"/>
                <w:szCs w:val="18"/>
                <w:b w:val="1"/>
                <w:bCs w:val="1"/>
                <w:color w:val="auto"/>
              </w:rPr>
              <w:t>Named Executive Officer</w:t>
            </w:r>
          </w:p>
        </w:tc>
        <w:tc>
          <w:tcPr>
            <w:tcW w:w="3320" w:type="dxa"/>
            <w:vAlign w:val="bottom"/>
          </w:tcPr>
          <w:p>
            <w:pPr>
              <w:ind w:left="1220"/>
              <w:spacing w:after="0"/>
              <w:rPr>
                <w:sz w:val="20"/>
                <w:szCs w:val="20"/>
                <w:color w:val="auto"/>
              </w:rPr>
            </w:pPr>
            <w:r>
              <w:rPr>
                <w:rFonts w:ascii="Arial" w:cs="Arial" w:eastAsia="Arial" w:hAnsi="Arial"/>
                <w:sz w:val="18"/>
                <w:szCs w:val="18"/>
                <w:b w:val="1"/>
                <w:bCs w:val="1"/>
                <w:color w:val="auto"/>
                <w:w w:val="95"/>
              </w:rPr>
              <w:t>Target Bonus Percentage</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4"/>
              </w:rPr>
              <w:t>Factor</w:t>
            </w:r>
          </w:p>
        </w:tc>
        <w:tc>
          <w:tcPr>
            <w:tcW w:w="320" w:type="dxa"/>
            <w:vAlign w:val="bottom"/>
          </w:tcPr>
          <w:p>
            <w:pPr>
              <w:spacing w:after="0"/>
              <w:rPr>
                <w:sz w:val="22"/>
                <w:szCs w:val="22"/>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1"/>
              </w:rPr>
              <w:t>Cash Incentive Payment*</w:t>
            </w: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André-Michel Ballester</w:t>
            </w:r>
          </w:p>
        </w:tc>
        <w:tc>
          <w:tcPr>
            <w:tcW w:w="3320" w:type="dxa"/>
            <w:vAlign w:val="bottom"/>
          </w:tcPr>
          <w:p>
            <w:pPr>
              <w:jc w:val="center"/>
              <w:ind w:left="930"/>
              <w:spacing w:after="0"/>
              <w:rPr>
                <w:sz w:val="20"/>
                <w:szCs w:val="20"/>
                <w:color w:val="auto"/>
              </w:rPr>
            </w:pPr>
            <w:r>
              <w:rPr>
                <w:rFonts w:ascii="Arial" w:cs="Arial" w:eastAsia="Arial" w:hAnsi="Arial"/>
                <w:sz w:val="18"/>
                <w:szCs w:val="18"/>
                <w:color w:val="auto"/>
                <w:w w:val="91"/>
              </w:rPr>
              <w:t>100%</w:t>
            </w: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center"/>
              <w:ind w:left="370"/>
              <w:spacing w:after="0"/>
              <w:rPr>
                <w:sz w:val="20"/>
                <w:szCs w:val="20"/>
                <w:color w:val="auto"/>
              </w:rPr>
            </w:pPr>
            <w:r>
              <w:rPr>
                <w:rFonts w:ascii="Arial" w:cs="Arial" w:eastAsia="Arial" w:hAnsi="Arial"/>
                <w:sz w:val="18"/>
                <w:szCs w:val="18"/>
                <w:color w:val="auto"/>
                <w:w w:val="89"/>
              </w:rPr>
              <w:t>623,921</w:t>
            </w:r>
          </w:p>
        </w:tc>
      </w:tr>
      <w:tr>
        <w:trPr>
          <w:trHeight w:val="297"/>
        </w:trPr>
        <w:tc>
          <w:tcPr>
            <w:tcW w:w="3160" w:type="dxa"/>
            <w:vAlign w:val="bottom"/>
          </w:tcPr>
          <w:p>
            <w:pPr>
              <w:spacing w:after="0"/>
              <w:rPr>
                <w:sz w:val="20"/>
                <w:szCs w:val="20"/>
                <w:color w:val="auto"/>
              </w:rPr>
            </w:pPr>
            <w:r>
              <w:rPr>
                <w:rFonts w:ascii="Arial" w:cs="Arial" w:eastAsia="Arial" w:hAnsi="Arial"/>
                <w:sz w:val="18"/>
                <w:szCs w:val="18"/>
                <w:color w:val="auto"/>
              </w:rPr>
              <w:t>Vivid Sehgal</w:t>
            </w:r>
          </w:p>
        </w:tc>
        <w:tc>
          <w:tcPr>
            <w:tcW w:w="3320" w:type="dxa"/>
            <w:vAlign w:val="bottom"/>
          </w:tcPr>
          <w:p>
            <w:pPr>
              <w:jc w:val="center"/>
              <w:ind w:left="930"/>
              <w:spacing w:after="0"/>
              <w:rPr>
                <w:sz w:val="20"/>
                <w:szCs w:val="20"/>
                <w:color w:val="auto"/>
              </w:rPr>
            </w:pPr>
            <w:r>
              <w:rPr>
                <w:rFonts w:ascii="Arial" w:cs="Arial" w:eastAsia="Arial" w:hAnsi="Arial"/>
                <w:sz w:val="18"/>
                <w:szCs w:val="18"/>
                <w:color w:val="auto"/>
                <w:w w:val="94"/>
              </w:rPr>
              <w:t>75%</w:t>
            </w: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center"/>
              <w:ind w:left="370"/>
              <w:spacing w:after="0"/>
              <w:rPr>
                <w:sz w:val="20"/>
                <w:szCs w:val="20"/>
                <w:color w:val="auto"/>
              </w:rPr>
            </w:pPr>
            <w:r>
              <w:rPr>
                <w:rFonts w:ascii="Arial" w:cs="Arial" w:eastAsia="Arial" w:hAnsi="Arial"/>
                <w:sz w:val="18"/>
                <w:szCs w:val="18"/>
                <w:color w:val="auto"/>
                <w:w w:val="89"/>
              </w:rPr>
              <w:t>260,419</w:t>
            </w:r>
          </w:p>
        </w:tc>
      </w:tr>
      <w:tr>
        <w:trPr>
          <w:trHeight w:val="297"/>
        </w:trPr>
        <w:tc>
          <w:tcPr>
            <w:tcW w:w="3160" w:type="dxa"/>
            <w:vAlign w:val="bottom"/>
          </w:tcPr>
          <w:p>
            <w:pPr>
              <w:spacing w:after="0"/>
              <w:rPr>
                <w:sz w:val="20"/>
                <w:szCs w:val="20"/>
                <w:color w:val="auto"/>
              </w:rPr>
            </w:pPr>
            <w:r>
              <w:rPr>
                <w:rFonts w:ascii="Arial" w:cs="Arial" w:eastAsia="Arial" w:hAnsi="Arial"/>
                <w:sz w:val="18"/>
                <w:szCs w:val="18"/>
                <w:color w:val="auto"/>
              </w:rPr>
              <w:t>Damien McDonald</w:t>
            </w:r>
          </w:p>
        </w:tc>
        <w:tc>
          <w:tcPr>
            <w:tcW w:w="3320" w:type="dxa"/>
            <w:vAlign w:val="bottom"/>
          </w:tcPr>
          <w:p>
            <w:pPr>
              <w:jc w:val="center"/>
              <w:ind w:left="930"/>
              <w:spacing w:after="0"/>
              <w:rPr>
                <w:sz w:val="20"/>
                <w:szCs w:val="20"/>
                <w:color w:val="auto"/>
              </w:rPr>
            </w:pPr>
            <w:r>
              <w:rPr>
                <w:rFonts w:ascii="Arial" w:cs="Arial" w:eastAsia="Arial" w:hAnsi="Arial"/>
                <w:sz w:val="18"/>
                <w:szCs w:val="18"/>
                <w:color w:val="auto"/>
                <w:w w:val="94"/>
              </w:rPr>
              <w:t>85%</w:t>
            </w: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center"/>
              <w:ind w:left="370"/>
              <w:spacing w:after="0"/>
              <w:rPr>
                <w:sz w:val="20"/>
                <w:szCs w:val="20"/>
                <w:color w:val="auto"/>
              </w:rPr>
            </w:pPr>
            <w:r>
              <w:rPr>
                <w:rFonts w:ascii="Arial" w:cs="Arial" w:eastAsia="Arial" w:hAnsi="Arial"/>
                <w:sz w:val="18"/>
                <w:szCs w:val="18"/>
                <w:color w:val="auto"/>
                <w:w w:val="90"/>
              </w:rPr>
              <w:t>88,564</w:t>
            </w:r>
          </w:p>
        </w:tc>
      </w:tr>
      <w:tr>
        <w:trPr>
          <w:trHeight w:val="297"/>
        </w:trPr>
        <w:tc>
          <w:tcPr>
            <w:tcW w:w="3160" w:type="dxa"/>
            <w:vAlign w:val="bottom"/>
          </w:tcPr>
          <w:p>
            <w:pPr>
              <w:spacing w:after="0"/>
              <w:rPr>
                <w:sz w:val="20"/>
                <w:szCs w:val="20"/>
                <w:color w:val="auto"/>
              </w:rPr>
            </w:pPr>
            <w:r>
              <w:rPr>
                <w:rFonts w:ascii="Arial" w:cs="Arial" w:eastAsia="Arial" w:hAnsi="Arial"/>
                <w:sz w:val="18"/>
                <w:szCs w:val="18"/>
                <w:color w:val="auto"/>
              </w:rPr>
              <w:t>Brian Sheridan</w:t>
            </w:r>
          </w:p>
        </w:tc>
        <w:tc>
          <w:tcPr>
            <w:tcW w:w="3320" w:type="dxa"/>
            <w:vAlign w:val="bottom"/>
          </w:tcPr>
          <w:p>
            <w:pPr>
              <w:jc w:val="center"/>
              <w:ind w:left="930"/>
              <w:spacing w:after="0"/>
              <w:rPr>
                <w:sz w:val="20"/>
                <w:szCs w:val="20"/>
                <w:color w:val="auto"/>
              </w:rPr>
            </w:pPr>
            <w:r>
              <w:rPr>
                <w:rFonts w:ascii="Arial" w:cs="Arial" w:eastAsia="Arial" w:hAnsi="Arial"/>
                <w:sz w:val="18"/>
                <w:szCs w:val="18"/>
                <w:color w:val="auto"/>
                <w:w w:val="94"/>
              </w:rPr>
              <w:t>62%</w:t>
            </w: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center"/>
              <w:ind w:left="370"/>
              <w:spacing w:after="0"/>
              <w:rPr>
                <w:sz w:val="20"/>
                <w:szCs w:val="20"/>
                <w:color w:val="auto"/>
              </w:rPr>
            </w:pPr>
            <w:r>
              <w:rPr>
                <w:rFonts w:ascii="Arial" w:cs="Arial" w:eastAsia="Arial" w:hAnsi="Arial"/>
                <w:sz w:val="18"/>
                <w:szCs w:val="18"/>
                <w:color w:val="auto"/>
                <w:w w:val="89"/>
              </w:rPr>
              <w:t>161,402</w:t>
            </w:r>
          </w:p>
        </w:tc>
      </w:tr>
      <w:tr>
        <w:trPr>
          <w:trHeight w:val="297"/>
        </w:trPr>
        <w:tc>
          <w:tcPr>
            <w:tcW w:w="3160" w:type="dxa"/>
            <w:vAlign w:val="bottom"/>
          </w:tcPr>
          <w:p>
            <w:pPr>
              <w:spacing w:after="0"/>
              <w:rPr>
                <w:sz w:val="20"/>
                <w:szCs w:val="20"/>
                <w:color w:val="auto"/>
              </w:rPr>
            </w:pPr>
            <w:r>
              <w:rPr>
                <w:rFonts w:ascii="Arial" w:cs="Arial" w:eastAsia="Arial" w:hAnsi="Arial"/>
                <w:sz w:val="18"/>
                <w:szCs w:val="18"/>
                <w:color w:val="auto"/>
              </w:rPr>
              <w:t>David Wise</w:t>
            </w:r>
          </w:p>
        </w:tc>
        <w:tc>
          <w:tcPr>
            <w:tcW w:w="3320" w:type="dxa"/>
            <w:vAlign w:val="bottom"/>
          </w:tcPr>
          <w:p>
            <w:pPr>
              <w:jc w:val="center"/>
              <w:ind w:left="930"/>
              <w:spacing w:after="0"/>
              <w:rPr>
                <w:sz w:val="20"/>
                <w:szCs w:val="20"/>
                <w:color w:val="auto"/>
              </w:rPr>
            </w:pPr>
            <w:r>
              <w:rPr>
                <w:rFonts w:ascii="Arial" w:cs="Arial" w:eastAsia="Arial" w:hAnsi="Arial"/>
                <w:sz w:val="18"/>
                <w:szCs w:val="18"/>
                <w:color w:val="auto"/>
                <w:w w:val="94"/>
              </w:rPr>
              <w:t>62%</w:t>
            </w: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center"/>
              <w:ind w:left="370"/>
              <w:spacing w:after="0"/>
              <w:rPr>
                <w:sz w:val="20"/>
                <w:szCs w:val="20"/>
                <w:color w:val="auto"/>
              </w:rPr>
            </w:pPr>
            <w:r>
              <w:rPr>
                <w:rFonts w:ascii="Arial" w:cs="Arial" w:eastAsia="Arial" w:hAnsi="Arial"/>
                <w:sz w:val="18"/>
                <w:szCs w:val="18"/>
                <w:color w:val="auto"/>
                <w:w w:val="89"/>
              </w:rPr>
              <w:t>170,227</w:t>
            </w:r>
          </w:p>
        </w:tc>
      </w:tr>
      <w:tr>
        <w:trPr>
          <w:trHeight w:val="297"/>
        </w:trPr>
        <w:tc>
          <w:tcPr>
            <w:tcW w:w="3160" w:type="dxa"/>
            <w:vAlign w:val="bottom"/>
          </w:tcPr>
          <w:p>
            <w:pPr>
              <w:spacing w:after="0"/>
              <w:rPr>
                <w:sz w:val="20"/>
                <w:szCs w:val="20"/>
                <w:color w:val="auto"/>
              </w:rPr>
            </w:pPr>
            <w:r>
              <w:rPr>
                <w:rFonts w:ascii="Arial" w:cs="Arial" w:eastAsia="Arial" w:hAnsi="Arial"/>
                <w:sz w:val="18"/>
                <w:szCs w:val="18"/>
                <w:color w:val="auto"/>
              </w:rPr>
              <w:t>Michel Darnaud</w:t>
            </w:r>
          </w:p>
        </w:tc>
        <w:tc>
          <w:tcPr>
            <w:tcW w:w="3320" w:type="dxa"/>
            <w:vAlign w:val="bottom"/>
          </w:tcPr>
          <w:p>
            <w:pPr>
              <w:jc w:val="center"/>
              <w:ind w:left="930"/>
              <w:spacing w:after="0"/>
              <w:rPr>
                <w:sz w:val="20"/>
                <w:szCs w:val="20"/>
                <w:color w:val="auto"/>
              </w:rPr>
            </w:pPr>
            <w:r>
              <w:rPr>
                <w:rFonts w:ascii="Arial" w:cs="Arial" w:eastAsia="Arial" w:hAnsi="Arial"/>
                <w:sz w:val="18"/>
                <w:szCs w:val="18"/>
                <w:color w:val="auto"/>
                <w:w w:val="94"/>
              </w:rPr>
              <w:t>62%</w:t>
            </w: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center"/>
              <w:ind w:left="370"/>
              <w:spacing w:after="0"/>
              <w:rPr>
                <w:sz w:val="20"/>
                <w:szCs w:val="20"/>
                <w:color w:val="auto"/>
              </w:rPr>
            </w:pPr>
            <w:r>
              <w:rPr>
                <w:rFonts w:ascii="Arial" w:cs="Arial" w:eastAsia="Arial" w:hAnsi="Arial"/>
                <w:sz w:val="18"/>
                <w:szCs w:val="18"/>
                <w:color w:val="auto"/>
                <w:w w:val="89"/>
              </w:rPr>
              <w:t>246,804</w:t>
            </w:r>
          </w:p>
        </w:tc>
      </w:tr>
      <w:tr>
        <w:trPr>
          <w:trHeight w:val="297"/>
        </w:trPr>
        <w:tc>
          <w:tcPr>
            <w:tcW w:w="3160" w:type="dxa"/>
            <w:vAlign w:val="bottom"/>
          </w:tcPr>
          <w:p>
            <w:pPr>
              <w:spacing w:after="0"/>
              <w:rPr>
                <w:sz w:val="20"/>
                <w:szCs w:val="20"/>
                <w:color w:val="auto"/>
              </w:rPr>
            </w:pPr>
            <w:r>
              <w:rPr>
                <w:rFonts w:ascii="Arial" w:cs="Arial" w:eastAsia="Arial" w:hAnsi="Arial"/>
                <w:sz w:val="18"/>
                <w:szCs w:val="18"/>
                <w:color w:val="auto"/>
              </w:rPr>
              <w:t>Jacques Gutedel</w:t>
            </w:r>
          </w:p>
        </w:tc>
        <w:tc>
          <w:tcPr>
            <w:tcW w:w="3320" w:type="dxa"/>
            <w:vAlign w:val="bottom"/>
          </w:tcPr>
          <w:p>
            <w:pPr>
              <w:jc w:val="center"/>
              <w:ind w:left="930"/>
              <w:spacing w:after="0"/>
              <w:rPr>
                <w:sz w:val="20"/>
                <w:szCs w:val="20"/>
                <w:color w:val="auto"/>
              </w:rPr>
            </w:pPr>
            <w:r>
              <w:rPr>
                <w:rFonts w:ascii="Arial" w:cs="Arial" w:eastAsia="Arial" w:hAnsi="Arial"/>
                <w:sz w:val="18"/>
                <w:szCs w:val="18"/>
                <w:color w:val="auto"/>
                <w:w w:val="94"/>
              </w:rPr>
              <w:t>65%</w:t>
            </w: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center"/>
              <w:ind w:left="370"/>
              <w:spacing w:after="0"/>
              <w:rPr>
                <w:sz w:val="20"/>
                <w:szCs w:val="20"/>
                <w:color w:val="auto"/>
              </w:rPr>
            </w:pPr>
            <w:r>
              <w:rPr>
                <w:rFonts w:ascii="Arial" w:cs="Arial" w:eastAsia="Arial" w:hAnsi="Arial"/>
                <w:sz w:val="18"/>
                <w:szCs w:val="18"/>
                <w:color w:val="auto"/>
                <w:w w:val="89"/>
              </w:rPr>
              <w:t>258,546</w:t>
            </w:r>
          </w:p>
        </w:tc>
      </w:tr>
    </w:tbl>
    <w:p>
      <w:pPr>
        <w:spacing w:after="0" w:line="89" w:lineRule="exact"/>
        <w:rPr>
          <w:sz w:val="20"/>
          <w:szCs w:val="20"/>
          <w:color w:val="auto"/>
        </w:rPr>
      </w:pPr>
    </w:p>
    <w:p>
      <w:pPr>
        <w:ind w:left="80"/>
        <w:spacing w:after="0"/>
        <w:rPr>
          <w:sz w:val="20"/>
          <w:szCs w:val="20"/>
          <w:color w:val="auto"/>
        </w:rPr>
      </w:pPr>
      <w:r>
        <w:rPr>
          <w:rFonts w:ascii="Arial" w:cs="Arial" w:eastAsia="Arial" w:hAnsi="Arial"/>
          <w:sz w:val="13"/>
          <w:szCs w:val="13"/>
          <w:color w:val="auto"/>
        </w:rPr>
        <w:t>*</w:t>
      </w:r>
      <w:r>
        <w:rPr>
          <w:rFonts w:ascii="Arial" w:cs="Arial" w:eastAsia="Arial" w:hAnsi="Arial"/>
          <w:sz w:val="14"/>
          <w:szCs w:val="14"/>
          <w:color w:val="auto"/>
        </w:rPr>
        <w:t>Exchange rate of $1.10710 per Euro, $1.35635 per British Pound and</w:t>
      </w:r>
    </w:p>
    <w:p>
      <w:pPr>
        <w:ind w:left="80"/>
        <w:spacing w:after="0" w:line="221" w:lineRule="auto"/>
        <w:rPr>
          <w:sz w:val="20"/>
          <w:szCs w:val="20"/>
          <w:color w:val="auto"/>
        </w:rPr>
      </w:pPr>
      <w:r>
        <w:rPr>
          <w:rFonts w:ascii="Arial" w:cs="Arial" w:eastAsia="Arial" w:hAnsi="Arial"/>
          <w:sz w:val="14"/>
          <w:szCs w:val="14"/>
          <w:color w:val="auto"/>
        </w:rPr>
        <w:t>$1.01567 per Swiss Franc, each of which reflects the applicable period</w:t>
      </w:r>
    </w:p>
    <w:p>
      <w:pPr>
        <w:ind w:left="80"/>
        <w:spacing w:after="0" w:line="221" w:lineRule="auto"/>
        <w:rPr>
          <w:sz w:val="20"/>
          <w:szCs w:val="20"/>
          <w:color w:val="auto"/>
        </w:rPr>
      </w:pPr>
      <w:r>
        <w:rPr>
          <w:rFonts w:ascii="Arial" w:cs="Arial" w:eastAsia="Arial" w:hAnsi="Arial"/>
          <w:sz w:val="14"/>
          <w:szCs w:val="14"/>
          <w:color w:val="auto"/>
        </w:rPr>
        <w:t>average  published  rate  from  the  OANDA  Corporation  currency</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database between January 1, 2016 and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64" w:right="2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April 25, 2017</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sectPr>
      <w:pgSz w:w="11900" w:h="16838" w:orient="portrait"/>
      <w:cols w:equalWidth="0" w:num="1">
        <w:col w:w="11000"/>
      </w:cols>
      <w:pgMar w:left="240" w:top="36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2019-12-08T02:46:30Z</dcterms:created>
  <dcterms:modified xsi:type="dcterms:W3CDTF">2019-12-08T02:46:30Z</dcterms:modified>
</cp:coreProperties>
</file>