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155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5556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McDonald Damien</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03/01/2018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4"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5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02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020" w:type="dxa"/>
            <w:vAlign w:val="bottom"/>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20" w:type="dxa"/>
            <w:vAlign w:val="bottom"/>
          </w:tcPr>
          <w:p>
            <w:pPr>
              <w:spacing w:after="0"/>
              <w:rPr>
                <w:sz w:val="22"/>
                <w:szCs w:val="22"/>
                <w:color w:val="auto"/>
              </w:rPr>
            </w:pPr>
          </w:p>
        </w:tc>
        <w:tc>
          <w:tcPr>
            <w:tcW w:w="1560" w:type="dxa"/>
            <w:vAlign w:val="bottom"/>
          </w:tcPr>
          <w:p>
            <w:pPr>
              <w:ind w:left="1040"/>
              <w:spacing w:after="0"/>
              <w:rPr>
                <w:sz w:val="20"/>
                <w:szCs w:val="20"/>
                <w:color w:val="auto"/>
              </w:rPr>
            </w:pPr>
            <w:r>
              <w:rPr>
                <w:rFonts w:ascii="Arial" w:cs="Arial" w:eastAsia="Arial" w:hAnsi="Arial"/>
                <w:sz w:val="17"/>
                <w:szCs w:val="17"/>
                <w:color w:val="0000FF"/>
              </w:rPr>
              <w:t>CEO</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08"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LONDON</w:t>
            </w:r>
          </w:p>
        </w:tc>
        <w:tc>
          <w:tcPr>
            <w:tcW w:w="1120" w:type="dxa"/>
            <w:vAlign w:val="bottom"/>
          </w:tcPr>
          <w:p>
            <w:pPr>
              <w:ind w:left="280"/>
              <w:spacing w:after="0"/>
              <w:rPr>
                <w:sz w:val="20"/>
                <w:szCs w:val="20"/>
                <w:color w:val="auto"/>
              </w:rPr>
            </w:pPr>
            <w:r>
              <w:rPr>
                <w:rFonts w:ascii="Arial" w:cs="Arial" w:eastAsia="Arial" w:hAnsi="Arial"/>
                <w:sz w:val="17"/>
                <w:szCs w:val="17"/>
                <w:color w:val="0000FF"/>
              </w:rPr>
              <w:t>X0</w:t>
            </w:r>
          </w:p>
        </w:tc>
        <w:tc>
          <w:tcPr>
            <w:tcW w:w="1660" w:type="dxa"/>
            <w:vAlign w:val="bottom"/>
          </w:tcPr>
          <w:p>
            <w:pPr>
              <w:ind w:left="420"/>
              <w:spacing w:after="0"/>
              <w:rPr>
                <w:sz w:val="20"/>
                <w:szCs w:val="20"/>
                <w:color w:val="auto"/>
              </w:rPr>
            </w:pPr>
            <w:r>
              <w:rPr>
                <w:rFonts w:ascii="Arial" w:cs="Arial" w:eastAsia="Arial" w:hAnsi="Arial"/>
                <w:sz w:val="17"/>
                <w:szCs w:val="17"/>
                <w:color w:val="0000FF"/>
              </w:rPr>
              <w:t>W2 6LG</w:t>
            </w:r>
          </w:p>
        </w:tc>
      </w:tr>
      <w:tr>
        <w:trPr>
          <w:trHeight w:val="157"/>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20" w:type="dxa"/>
            <w:vAlign w:val="bottom"/>
            <w:gridSpan w:val="2"/>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03/01/2018</w:t>
            </w:r>
          </w:p>
        </w:tc>
        <w:tc>
          <w:tcPr>
            <w:tcW w:w="10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2"/>
              </w:rPr>
              <w:t>13,353</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23"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24,489</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03/01/2018</w:t>
            </w:r>
          </w:p>
        </w:tc>
        <w:tc>
          <w:tcPr>
            <w:tcW w:w="10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82"/>
              </w:rPr>
              <w:t>4,473</w:t>
            </w:r>
            <w:r>
              <w:rPr>
                <w:rFonts w:ascii="Arial" w:cs="Arial" w:eastAsia="Arial" w:hAnsi="Arial"/>
                <w:sz w:val="22"/>
                <w:szCs w:val="22"/>
                <w:color w:val="008000"/>
                <w:w w:val="82"/>
                <w:vertAlign w:val="superscript"/>
              </w:rPr>
              <w:t>(2)</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89.57</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20,016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6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1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   of</w:t>
            </w: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5"/>
              </w:rPr>
              <w:t>Code (Instr.</w:t>
            </w: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ind w:left="18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ind w:left="24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13,353</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11"/>
                <w:szCs w:val="11"/>
                <w:color w:val="auto"/>
              </w:rPr>
            </w:pPr>
          </w:p>
        </w:tc>
        <w:tc>
          <w:tcPr>
            <w:tcW w:w="1060" w:type="dxa"/>
            <w:vAlign w:val="bottom"/>
          </w:tcPr>
          <w:p>
            <w:pPr>
              <w:jc w:val="right"/>
              <w:ind w:right="138"/>
              <w:spacing w:after="0" w:line="132" w:lineRule="exact"/>
              <w:rPr>
                <w:sz w:val="20"/>
                <w:szCs w:val="20"/>
                <w:color w:val="auto"/>
              </w:rPr>
            </w:pPr>
            <w:r>
              <w:rPr>
                <w:rFonts w:ascii="Arial" w:cs="Arial" w:eastAsia="Arial" w:hAnsi="Arial"/>
                <w:sz w:val="13"/>
                <w:szCs w:val="13"/>
                <w:color w:val="0000FF"/>
              </w:rPr>
              <w:t>03/01/2018</w:t>
            </w:r>
          </w:p>
        </w:tc>
        <w:tc>
          <w:tcPr>
            <w:tcW w:w="1200" w:type="dxa"/>
            <w:vAlign w:val="bottom"/>
          </w:tcPr>
          <w:p>
            <w:pPr>
              <w:spacing w:after="0"/>
              <w:rPr>
                <w:sz w:val="11"/>
                <w:szCs w:val="11"/>
                <w:color w:val="auto"/>
              </w:rPr>
            </w:pPr>
          </w:p>
        </w:tc>
        <w:tc>
          <w:tcPr>
            <w:tcW w:w="720" w:type="dxa"/>
            <w:vAlign w:val="bottom"/>
          </w:tcPr>
          <w:p>
            <w:pPr>
              <w:ind w:left="160"/>
              <w:spacing w:after="0" w:line="132" w:lineRule="exact"/>
              <w:rPr>
                <w:sz w:val="20"/>
                <w:szCs w:val="20"/>
                <w:color w:val="auto"/>
              </w:rPr>
            </w:pPr>
            <w:r>
              <w:rPr>
                <w:rFonts w:ascii="Arial" w:cs="Arial" w:eastAsia="Arial" w:hAnsi="Arial"/>
                <w:sz w:val="13"/>
                <w:szCs w:val="13"/>
                <w:color w:val="0000FF"/>
              </w:rPr>
              <w:t>M</w:t>
            </w:r>
          </w:p>
        </w:tc>
        <w:tc>
          <w:tcPr>
            <w:tcW w:w="1000" w:type="dxa"/>
            <w:vAlign w:val="bottom"/>
          </w:tcPr>
          <w:p>
            <w:pPr>
              <w:ind w:left="500"/>
              <w:spacing w:after="0" w:line="132" w:lineRule="exact"/>
              <w:rPr>
                <w:sz w:val="20"/>
                <w:szCs w:val="20"/>
                <w:color w:val="auto"/>
              </w:rPr>
            </w:pPr>
            <w:r>
              <w:rPr>
                <w:rFonts w:ascii="Arial" w:cs="Arial" w:eastAsia="Arial" w:hAnsi="Arial"/>
                <w:sz w:val="13"/>
                <w:szCs w:val="13"/>
                <w:color w:val="0000FF"/>
              </w:rPr>
              <w:t>13,353</w:t>
            </w:r>
          </w:p>
        </w:tc>
        <w:tc>
          <w:tcPr>
            <w:tcW w:w="82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ind w:left="1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20" w:type="dxa"/>
            <w:vAlign w:val="bottom"/>
            <w:gridSpan w:val="2"/>
          </w:tcPr>
          <w:p>
            <w:pPr>
              <w:ind w:left="220"/>
              <w:spacing w:after="0" w:line="132" w:lineRule="exact"/>
              <w:rPr>
                <w:sz w:val="20"/>
                <w:szCs w:val="20"/>
                <w:color w:val="auto"/>
              </w:rPr>
            </w:pPr>
            <w:r>
              <w:rPr>
                <w:rFonts w:ascii="Arial" w:cs="Arial" w:eastAsia="Arial" w:hAnsi="Arial"/>
                <w:sz w:val="13"/>
                <w:szCs w:val="13"/>
                <w:color w:val="0000FF"/>
              </w:rPr>
              <w:t>108,093</w:t>
            </w: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ind w:left="80"/>
              <w:spacing w:after="0" w:line="148" w:lineRule="exact"/>
              <w:rPr>
                <w:sz w:val="20"/>
                <w:szCs w:val="20"/>
                <w:color w:val="auto"/>
              </w:rPr>
            </w:pPr>
            <w:r>
              <w:rPr>
                <w:rFonts w:ascii="Arial" w:cs="Arial" w:eastAsia="Arial" w:hAnsi="Arial"/>
                <w:sz w:val="13"/>
                <w:szCs w:val="13"/>
                <w:color w:val="0000FF"/>
              </w:rPr>
              <w:t>Shares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52" w:lineRule="exact"/>
        <w:rPr>
          <w:rFonts w:ascii="Arial" w:cs="Arial" w:eastAsia="Arial" w:hAnsi="Arial"/>
          <w:sz w:val="13"/>
          <w:szCs w:val="13"/>
          <w:color w:val="008000"/>
        </w:rPr>
      </w:pPr>
    </w:p>
    <w:p>
      <w:pPr>
        <w:ind w:left="40" w:right="34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Such shares were forfeited and the associated value was used to offset the tax liability associated with the March 1, 2018 vesting of 13,353 RSUs.</w:t>
      </w:r>
    </w:p>
    <w:p>
      <w:pPr>
        <w:spacing w:after="0" w:line="9" w:lineRule="exact"/>
        <w:rPr>
          <w:rFonts w:ascii="Arial" w:cs="Arial" w:eastAsia="Arial" w:hAnsi="Arial"/>
          <w:sz w:val="13"/>
          <w:szCs w:val="13"/>
          <w:color w:val="008000"/>
        </w:rPr>
      </w:pPr>
    </w:p>
    <w:p>
      <w:pPr>
        <w:ind w:left="40" w:right="56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ordinary share (Ordinary Share) of LivaNova PLC (the Company), GBP 1.00 par value, in accordance with the terms of the LivaNova PLC 2015 Incentive Award Plan (the Plan).</w:t>
      </w:r>
    </w:p>
    <w:p>
      <w:pPr>
        <w:spacing w:after="0" w:line="9" w:lineRule="exact"/>
        <w:rPr>
          <w:rFonts w:ascii="Arial" w:cs="Arial" w:eastAsia="Arial" w:hAnsi="Arial"/>
          <w:sz w:val="13"/>
          <w:szCs w:val="13"/>
          <w:color w:val="008000"/>
        </w:rPr>
      </w:pPr>
    </w:p>
    <w:p>
      <w:pPr>
        <w:ind w:left="40" w:right="220" w:firstLine="8"/>
        <w:spacing w:after="0" w:line="249"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May 5, 2017, reporting person was granted 53,409 RSUs that vest 25% on the second day after release of LivaNova's full-year 2017 financial results, February 28, 2018 (Measure Date), provided and to the extent that a market condition is achieved on the Measure Date. The market condition is a stock price that ranges between a threshold price, at which one-third of the RSUs become eligible for vesting and a target price, at which all of the RSUs become eligible for vesting, with the number of RSUs eligible for vesting at a price between the threshold price and the target price determined by linear interpolation. The number included in column 5 of Table II reflects the RSUs eligible for vesting at the target price.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8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Sarah K. Mohr as POA</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03/05/2018</w:t>
            </w:r>
          </w:p>
        </w:tc>
      </w:tr>
      <w:tr>
        <w:trPr>
          <w:trHeight w:val="235"/>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6894"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2019-12-08T13:00:46Z</dcterms:created>
  <dcterms:modified xsi:type="dcterms:W3CDTF">2019-12-08T13:00:46Z</dcterms:modified>
</cp:coreProperties>
</file>