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02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0258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4"/>
            <w:vMerge w:val="restart"/>
          </w:tcPr>
          <w:p>
            <w:pPr>
              <w:spacing w:after="0"/>
              <w:rPr>
                <w:rFonts w:ascii="Arial" w:cs="Arial" w:eastAsia="Arial" w:hAnsi="Arial"/>
                <w:sz w:val="22"/>
                <w:szCs w:val="22"/>
                <w:color w:val="0000EE"/>
                <w:w w:val="98"/>
              </w:rPr>
            </w:pPr>
            <w:hyperlink r:id="rId12">
              <w:r>
                <w:rPr>
                  <w:rFonts w:ascii="Arial" w:cs="Arial" w:eastAsia="Arial" w:hAnsi="Arial"/>
                  <w:sz w:val="22"/>
                  <w:szCs w:val="22"/>
                  <w:color w:val="0000EE"/>
                  <w:w w:val="98"/>
                </w:rPr>
                <w:t>O'Kane Sharon</w:t>
              </w:r>
            </w:hyperlink>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LivaNova PLC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LIVN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4"/>
            <w:vMerge w:val="continue"/>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7"/>
            <w:vMerge w:val="continue"/>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5 MERCHANT SQUARE</w:t>
            </w:r>
          </w:p>
        </w:tc>
        <w:tc>
          <w:tcPr>
            <w:tcW w:w="1200" w:type="dxa"/>
            <w:vAlign w:val="bottom"/>
          </w:tcPr>
          <w:p>
            <w:pPr>
              <w:spacing w:after="0"/>
              <w:rPr>
                <w:sz w:val="19"/>
                <w:szCs w:val="19"/>
                <w:color w:val="auto"/>
              </w:rPr>
            </w:pPr>
          </w:p>
        </w:tc>
        <w:tc>
          <w:tcPr>
            <w:tcW w:w="1540" w:type="dxa"/>
            <w:vAlign w:val="bottom"/>
            <w:gridSpan w:val="6"/>
          </w:tcPr>
          <w:p>
            <w:pPr>
              <w:ind w:left="240"/>
              <w:spacing w:after="0"/>
              <w:rPr>
                <w:sz w:val="20"/>
                <w:szCs w:val="20"/>
                <w:color w:val="auto"/>
              </w:rPr>
            </w:pPr>
            <w:r>
              <w:rPr>
                <w:rFonts w:ascii="Arial" w:cs="Arial" w:eastAsia="Arial" w:hAnsi="Arial"/>
                <w:sz w:val="18"/>
                <w:szCs w:val="18"/>
                <w:color w:val="0000FF"/>
              </w:rPr>
              <w:t>06/15/2016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NORTH WHARF ROAD</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8"/>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8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LONDON</w:t>
            </w:r>
          </w:p>
        </w:tc>
        <w:tc>
          <w:tcPr>
            <w:tcW w:w="220" w:type="dxa"/>
            <w:vAlign w:val="bottom"/>
            <w:gridSpan w:val="2"/>
          </w:tcPr>
          <w:p>
            <w:pPr>
              <w:spacing w:after="0"/>
              <w:rPr>
                <w:sz w:val="20"/>
                <w:szCs w:val="20"/>
                <w:color w:val="auto"/>
              </w:rPr>
            </w:pPr>
            <w:r>
              <w:rPr>
                <w:rFonts w:ascii="Arial" w:cs="Arial" w:eastAsia="Arial" w:hAnsi="Arial"/>
                <w:sz w:val="18"/>
                <w:szCs w:val="18"/>
                <w:color w:val="0000FF"/>
                <w:w w:val="90"/>
              </w:rPr>
              <w:t>X0</w:t>
            </w:r>
          </w:p>
        </w:tc>
        <w:tc>
          <w:tcPr>
            <w:tcW w:w="102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W2 1AY</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60" w:type="dxa"/>
            <w:vAlign w:val="bottom"/>
            <w:gridSpan w:val="8"/>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ind w:left="16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00" w:type="dxa"/>
            <w:vAlign w:val="bottom"/>
            <w:tcBorders>
              <w:bottom w:val="single" w:sz="8" w:color="2C2C2C"/>
            </w:tcBorders>
            <w:gridSpan w:val="3"/>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2440" w:type="dxa"/>
            <w:vAlign w:val="bottom"/>
            <w:tcBorders>
              <w:bottom w:val="single" w:sz="8" w:color="2C2C2C"/>
            </w:tcBorders>
            <w:gridSpan w:val="4"/>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7"/>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4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5"/>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3"/>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00"/>
              <w:spacing w:after="0"/>
              <w:rPr>
                <w:sz w:val="20"/>
                <w:szCs w:val="20"/>
                <w:color w:val="auto"/>
              </w:rPr>
            </w:pPr>
            <w:r>
              <w:rPr>
                <w:rFonts w:ascii="Arial" w:cs="Arial" w:eastAsia="Arial" w:hAnsi="Arial"/>
                <w:sz w:val="18"/>
                <w:szCs w:val="18"/>
                <w:color w:val="0000FF"/>
              </w:rPr>
              <w:t>06/15/2016</w:t>
            </w:r>
          </w:p>
        </w:tc>
        <w:tc>
          <w:tcPr>
            <w:tcW w:w="2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37"/>
              <w:spacing w:after="0"/>
              <w:rPr>
                <w:sz w:val="20"/>
                <w:szCs w:val="20"/>
                <w:color w:val="auto"/>
              </w:rPr>
            </w:pPr>
            <w:r>
              <w:rPr>
                <w:rFonts w:ascii="Arial" w:cs="Arial" w:eastAsia="Arial" w:hAnsi="Arial"/>
                <w:sz w:val="14"/>
                <w:szCs w:val="14"/>
                <w:color w:val="0000FF"/>
              </w:rPr>
              <w:t>M</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1,209</w:t>
            </w:r>
            <w:r>
              <w:rPr>
                <w:rFonts w:ascii="Arial" w:cs="Arial" w:eastAsia="Arial" w:hAnsi="Arial"/>
                <w:sz w:val="22"/>
                <w:szCs w:val="22"/>
                <w:color w:val="008000"/>
                <w:vertAlign w:val="superscript"/>
              </w:rPr>
              <w:t>(1)</w:t>
            </w:r>
          </w:p>
        </w:tc>
        <w:tc>
          <w:tcPr>
            <w:tcW w:w="6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740" w:type="dxa"/>
            <w:vAlign w:val="bottom"/>
            <w:tcBorders>
              <w:bottom w:val="single" w:sz="8" w:color="2C2C2C"/>
            </w:tcBorders>
            <w:gridSpan w:val="3"/>
          </w:tcPr>
          <w:p>
            <w:pPr>
              <w:ind w:left="10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48.485</w:t>
            </w:r>
          </w:p>
        </w:tc>
        <w:tc>
          <w:tcPr>
            <w:tcW w:w="1220" w:type="dxa"/>
            <w:vAlign w:val="bottom"/>
            <w:tcBorders>
              <w:bottom w:val="single" w:sz="8" w:color="2C2C2C"/>
            </w:tcBorders>
            <w:gridSpan w:val="2"/>
          </w:tcPr>
          <w:p>
            <w:pPr>
              <w:jc w:val="right"/>
              <w:ind w:right="359"/>
              <w:spacing w:after="0"/>
              <w:rPr>
                <w:sz w:val="20"/>
                <w:szCs w:val="20"/>
                <w:color w:val="auto"/>
              </w:rPr>
            </w:pPr>
            <w:r>
              <w:rPr>
                <w:rFonts w:ascii="Arial" w:cs="Arial" w:eastAsia="Arial" w:hAnsi="Arial"/>
                <w:sz w:val="18"/>
                <w:szCs w:val="18"/>
                <w:color w:val="0000FF"/>
              </w:rPr>
              <w:t>1,209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00"/>
              <w:spacing w:after="0"/>
              <w:rPr>
                <w:sz w:val="20"/>
                <w:szCs w:val="20"/>
                <w:color w:val="auto"/>
              </w:rPr>
            </w:pPr>
            <w:r>
              <w:rPr>
                <w:rFonts w:ascii="Arial" w:cs="Arial" w:eastAsia="Arial" w:hAnsi="Arial"/>
                <w:sz w:val="18"/>
                <w:szCs w:val="18"/>
                <w:color w:val="0000FF"/>
              </w:rPr>
              <w:t>06/15/2016</w:t>
            </w:r>
          </w:p>
        </w:tc>
        <w:tc>
          <w:tcPr>
            <w:tcW w:w="2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7"/>
              <w:spacing w:after="0"/>
              <w:rPr>
                <w:sz w:val="20"/>
                <w:szCs w:val="20"/>
                <w:color w:val="auto"/>
              </w:rPr>
            </w:pPr>
            <w:r>
              <w:rPr>
                <w:rFonts w:ascii="Arial" w:cs="Arial" w:eastAsia="Arial" w:hAnsi="Arial"/>
                <w:sz w:val="14"/>
                <w:szCs w:val="14"/>
                <w:color w:val="0000FF"/>
                <w:w w:val="98"/>
              </w:rPr>
              <w:t>D</w:t>
            </w:r>
          </w:p>
        </w:tc>
        <w:tc>
          <w:tcPr>
            <w:tcW w:w="740" w:type="dxa"/>
            <w:vAlign w:val="bottom"/>
            <w:tcBorders>
              <w:bottom w:val="single" w:sz="8" w:color="2C2C2C"/>
            </w:tcBorders>
          </w:tcPr>
          <w:p>
            <w:pPr>
              <w:jc w:val="right"/>
              <w:ind w:right="13"/>
              <w:spacing w:after="0"/>
              <w:rPr>
                <w:sz w:val="20"/>
                <w:szCs w:val="20"/>
                <w:color w:val="auto"/>
              </w:rPr>
            </w:pPr>
            <w:r>
              <w:rPr>
                <w:rFonts w:ascii="Arial" w:cs="Arial" w:eastAsia="Arial" w:hAnsi="Arial"/>
                <w:sz w:val="18"/>
                <w:szCs w:val="18"/>
                <w:color w:val="0000FF"/>
              </w:rPr>
              <w:t>1,209</w:t>
            </w:r>
          </w:p>
        </w:tc>
        <w:tc>
          <w:tcPr>
            <w:tcW w:w="660" w:type="dxa"/>
            <w:vAlign w:val="bottom"/>
            <w:tcBorders>
              <w:bottom w:val="single" w:sz="8" w:color="2C2C2C"/>
            </w:tcBorders>
          </w:tcPr>
          <w:p>
            <w:pPr>
              <w:ind w:left="28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w:t>
            </w:r>
          </w:p>
        </w:tc>
        <w:tc>
          <w:tcPr>
            <w:tcW w:w="740" w:type="dxa"/>
            <w:vAlign w:val="bottom"/>
            <w:tcBorders>
              <w:bottom w:val="single" w:sz="8" w:color="2C2C2C"/>
            </w:tcBorders>
            <w:gridSpan w:val="3"/>
          </w:tcPr>
          <w:p>
            <w:pPr>
              <w:ind w:left="10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48.485</w:t>
            </w:r>
          </w:p>
        </w:tc>
        <w:tc>
          <w:tcPr>
            <w:tcW w:w="1220" w:type="dxa"/>
            <w:vAlign w:val="bottom"/>
            <w:tcBorders>
              <w:bottom w:val="single" w:sz="8" w:color="2C2C2C"/>
            </w:tcBorders>
            <w:gridSpan w:val="2"/>
          </w:tcPr>
          <w:p>
            <w:pPr>
              <w:jc w:val="right"/>
              <w:ind w:right="519"/>
              <w:spacing w:after="0"/>
              <w:rPr>
                <w:sz w:val="20"/>
                <w:szCs w:val="20"/>
                <w:color w:val="auto"/>
              </w:rPr>
            </w:pPr>
            <w:r>
              <w:rPr>
                <w:rFonts w:ascii="Arial" w:cs="Arial" w:eastAsia="Arial" w:hAnsi="Arial"/>
                <w:sz w:val="18"/>
                <w:szCs w:val="18"/>
                <w:color w:val="0000FF"/>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7"/>
          </w:tcPr>
          <w:p>
            <w:pPr>
              <w:jc w:val="center"/>
              <w:ind w:left="76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5"/>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ind w:left="240"/>
              <w:spacing w:after="0"/>
              <w:rPr>
                <w:sz w:val="20"/>
                <w:szCs w:val="20"/>
                <w:color w:val="auto"/>
              </w:rPr>
            </w:pPr>
            <w:r>
              <w:rPr>
                <w:rFonts w:ascii="Arial" w:cs="Arial" w:eastAsia="Arial" w:hAnsi="Arial"/>
                <w:sz w:val="11"/>
                <w:szCs w:val="11"/>
                <w:color w:val="008000"/>
              </w:rPr>
              <w:t>(3)</w:t>
            </w: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8"/>
                <w:szCs w:val="18"/>
                <w:color w:val="0000FF"/>
              </w:rPr>
              <w:t>1,209</w:t>
            </w:r>
          </w:p>
        </w:tc>
        <w:tc>
          <w:tcPr>
            <w:tcW w:w="200" w:type="dxa"/>
            <w:vAlign w:val="bottom"/>
          </w:tcPr>
          <w:p>
            <w:pPr>
              <w:spacing w:after="0"/>
              <w:rPr>
                <w:sz w:val="16"/>
                <w:szCs w:val="16"/>
                <w:color w:val="auto"/>
              </w:rPr>
            </w:pPr>
          </w:p>
        </w:tc>
        <w:tc>
          <w:tcPr>
            <w:tcW w:w="600" w:type="dxa"/>
            <w:vAlign w:val="bottom"/>
            <w:vMerge w:val="restart"/>
          </w:tcPr>
          <w:p>
            <w:pPr>
              <w:ind w:left="100"/>
              <w:spacing w:after="0"/>
              <w:rPr>
                <w:sz w:val="20"/>
                <w:szCs w:val="20"/>
                <w:color w:val="auto"/>
              </w:rPr>
            </w:pP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ind w:left="200"/>
              <w:spacing w:after="0" w:line="133" w:lineRule="exact"/>
              <w:rPr>
                <w:sz w:val="20"/>
                <w:szCs w:val="20"/>
                <w:color w:val="auto"/>
              </w:rPr>
            </w:pPr>
            <w:r>
              <w:rPr>
                <w:rFonts w:ascii="Arial" w:cs="Arial" w:eastAsia="Arial" w:hAnsi="Arial"/>
                <w:sz w:val="14"/>
                <w:szCs w:val="14"/>
                <w:color w:val="0000FF"/>
              </w:rPr>
              <w:t>06/15/2016</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3"/>
          </w:tcPr>
          <w:p>
            <w:pPr>
              <w:ind w:left="80"/>
              <w:spacing w:after="0" w:line="133" w:lineRule="exact"/>
              <w:rPr>
                <w:sz w:val="20"/>
                <w:szCs w:val="20"/>
                <w:color w:val="auto"/>
              </w:rPr>
            </w:pPr>
            <w:r>
              <w:rPr>
                <w:rFonts w:ascii="Arial" w:cs="Arial" w:eastAsia="Arial" w:hAnsi="Arial"/>
                <w:sz w:val="14"/>
                <w:szCs w:val="14"/>
                <w:color w:val="0000FF"/>
              </w:rPr>
              <w:t>M</w:t>
            </w:r>
          </w:p>
        </w:tc>
        <w:tc>
          <w:tcPr>
            <w:tcW w:w="200" w:type="dxa"/>
            <w:vAlign w:val="bottom"/>
          </w:tcPr>
          <w:p>
            <w:pPr>
              <w:spacing w:after="0"/>
              <w:rPr>
                <w:sz w:val="11"/>
                <w:szCs w:val="11"/>
                <w:color w:val="auto"/>
              </w:rPr>
            </w:pPr>
          </w:p>
        </w:tc>
        <w:tc>
          <w:tcPr>
            <w:tcW w:w="720" w:type="dxa"/>
            <w:vAlign w:val="bottom"/>
          </w:tcPr>
          <w:p>
            <w:pPr>
              <w:ind w:left="400"/>
              <w:spacing w:after="0" w:line="133" w:lineRule="exact"/>
              <w:rPr>
                <w:sz w:val="20"/>
                <w:szCs w:val="20"/>
                <w:color w:val="auto"/>
              </w:rPr>
            </w:pPr>
            <w:r>
              <w:rPr>
                <w:rFonts w:ascii="Arial" w:cs="Arial" w:eastAsia="Arial" w:hAnsi="Arial"/>
                <w:sz w:val="14"/>
                <w:szCs w:val="14"/>
                <w:color w:val="0000FF"/>
                <w:w w:val="85"/>
              </w:rPr>
              <w:t>1,209</w:t>
            </w:r>
          </w:p>
        </w:tc>
        <w:tc>
          <w:tcPr>
            <w:tcW w:w="1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20" w:type="dxa"/>
            <w:vAlign w:val="bottom"/>
          </w:tcPr>
          <w:p>
            <w:pPr>
              <w:ind w:left="380"/>
              <w:spacing w:after="0" w:line="133"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ind w:left="120"/>
              <w:spacing w:after="0" w:line="149" w:lineRule="exact"/>
              <w:rPr>
                <w:sz w:val="20"/>
                <w:szCs w:val="20"/>
                <w:color w:val="auto"/>
              </w:rPr>
            </w:pPr>
            <w:r>
              <w:rPr>
                <w:rFonts w:ascii="Arial" w:cs="Arial" w:eastAsia="Arial" w:hAnsi="Arial"/>
                <w:sz w:val="14"/>
                <w:szCs w:val="14"/>
                <w:color w:val="0000FF"/>
              </w:rPr>
              <w:t>Stock</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8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Restricted stock units ("RSUs") vested on June 15, 2016. The referenced RSUs are being settled in cash based on the closing price of the ordinary shares of LivaNova PLC (the "Company") on June 14, 2016. The Company is settling the RSUs in cash because it does not currently have ordinary shares available to settle the RSUs pursuant to their terms.</w:t>
      </w: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disposed of to the Company to cover applicable taxes and to cash cover the remainder shares.</w:t>
      </w:r>
    </w:p>
    <w:p>
      <w:pPr>
        <w:spacing w:after="0" w:line="41" w:lineRule="exact"/>
        <w:rPr>
          <w:rFonts w:ascii="Arial" w:cs="Arial" w:eastAsia="Arial" w:hAnsi="Arial"/>
          <w:sz w:val="14"/>
          <w:szCs w:val="14"/>
          <w:color w:val="008000"/>
        </w:rPr>
      </w:pPr>
    </w:p>
    <w:p>
      <w:pPr>
        <w:ind w:left="40" w:right="26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October 19, 2015, reporting person was granted 1,209 RSUs which vest on the date of the next Annual General Meeting of the Company. Each RSU represents a contingent right to receive one ordinary share of the Company in accordance with the terms of the LivaNova PLC 2015 Incentive Award Plan. All of such RSUs vested and all restrictions thereon lapsed on June 15, 2016.</w:t>
      </w:r>
    </w:p>
    <w:tbl>
      <w:tblPr>
        <w:tblLayout w:type="fixed"/>
        <w:tblInd w:w="6860" w:type="dxa"/>
        <w:tblCellMar>
          <w:top w:w="0" w:type="dxa"/>
          <w:left w:w="0" w:type="dxa"/>
          <w:bottom w:w="0" w:type="dxa"/>
          <w:right w:w="0" w:type="dxa"/>
        </w:tblCellMar>
      </w:tblPr>
      <w:tr>
        <w:trPr>
          <w:trHeight w:val="199"/>
        </w:trPr>
        <w:tc>
          <w:tcPr>
            <w:tcW w:w="2120" w:type="dxa"/>
            <w:vAlign w:val="bottom"/>
            <w:gridSpan w:val="2"/>
          </w:tcPr>
          <w:p>
            <w:pPr>
              <w:spacing w:after="0" w:line="199" w:lineRule="exact"/>
              <w:rPr>
                <w:sz w:val="20"/>
                <w:szCs w:val="20"/>
                <w:color w:val="auto"/>
              </w:rPr>
            </w:pPr>
            <w:r>
              <w:rPr>
                <w:rFonts w:ascii="Arial" w:cs="Arial" w:eastAsia="Arial" w:hAnsi="Arial"/>
                <w:sz w:val="18"/>
                <w:szCs w:val="18"/>
                <w:color w:val="0000FF"/>
              </w:rPr>
              <w:t>/s/ Sharon O'Kane</w:t>
            </w:r>
          </w:p>
        </w:tc>
        <w:tc>
          <w:tcPr>
            <w:tcW w:w="98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6"/>
              </w:rPr>
              <w:t>06/16/2016</w:t>
            </w:r>
          </w:p>
        </w:tc>
      </w:tr>
      <w:tr>
        <w:trPr>
          <w:trHeight w:val="20"/>
        </w:trPr>
        <w:tc>
          <w:tcPr>
            <w:tcW w:w="12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5980"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2019-12-09T02:22:42Z</dcterms:created>
  <dcterms:modified xsi:type="dcterms:W3CDTF">2019-12-09T02:22:42Z</dcterms:modified>
</cp:coreProperties>
</file>