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20549</w:t>
      </w:r>
    </w:p>
    <w:p>
      <w:pPr>
        <w:spacing w:after="0" w:line="107"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140"/>
          </w:cols>
          <w:pgMar w:left="580" w:top="239" w:right="1179" w:bottom="1440" w:gutter="0" w:footer="0" w:header="0"/>
        </w:sectPr>
      </w:pPr>
    </w:p>
    <w:p>
      <w:pPr>
        <w:spacing w:after="0" w:line="107" w:lineRule="exact"/>
        <w:rPr>
          <w:sz w:val="24"/>
          <w:szCs w:val="24"/>
          <w:color w:val="auto"/>
        </w:rPr>
      </w:pPr>
    </w:p>
    <w:p>
      <w:pPr>
        <w:ind w:left="3200" w:firstLine="489"/>
        <w:spacing w:after="0" w:line="308" w:lineRule="auto"/>
        <w:rPr>
          <w:sz w:val="20"/>
          <w:szCs w:val="20"/>
          <w:color w:val="auto"/>
        </w:rPr>
      </w:pPr>
      <w:r>
        <w:rPr>
          <w:rFonts w:ascii="Arial" w:cs="Arial" w:eastAsia="Arial" w:hAnsi="Arial"/>
          <w:sz w:val="15"/>
          <w:szCs w:val="15"/>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 w:lineRule="exact"/>
        <w:rPr>
          <w:sz w:val="24"/>
          <w:szCs w:val="24"/>
          <w:color w:val="auto"/>
        </w:rPr>
      </w:pPr>
    </w:p>
    <w:p>
      <w:pPr>
        <w:sectPr>
          <w:pgSz w:w="11900" w:h="16838" w:orient="portrait"/>
          <w:cols w:equalWidth="0" w:num="2">
            <w:col w:w="7140" w:space="340"/>
            <w:col w:w="2660"/>
          </w:cols>
          <w:pgMar w:left="580" w:top="239" w:right="1179" w:bottom="1440" w:gutter="0" w:footer="0" w:header="0"/>
          <w:type w:val="continuous"/>
        </w:sectPr>
      </w:pPr>
    </w:p>
    <w:p>
      <w:pPr>
        <w:ind w:left="5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2"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27940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220345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67"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right="280" w:hanging="368"/>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860" w:hanging="368"/>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-3987800</wp:posOffset>
            </wp:positionV>
            <wp:extent cx="5734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-3559175</wp:posOffset>
            </wp:positionV>
            <wp:extent cx="5734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-3002280</wp:posOffset>
            </wp:positionV>
            <wp:extent cx="5734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-2581910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-2153285</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-1090295</wp:posOffset>
            </wp:positionV>
            <wp:extent cx="5734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-670560</wp:posOffset>
            </wp:positionV>
            <wp:extent cx="5734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-250190</wp:posOffset>
            </wp:positionV>
            <wp:extent cx="5734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177800</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422275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413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4137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NOTICE OF 2021 ANNUAL GENERAL MEETING OF SHAREHOLDERS</w:t>
      </w:r>
    </w:p>
    <w:p>
      <w:pPr>
        <w:spacing w:after="0" w:line="14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Notice is hereby given that the 2021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ectPr>
          <w:pgSz w:w="11900" w:h="16838" w:orient="portrait"/>
          <w:cols w:equalWidth="0" w:num="1">
            <w:col w:w="9879"/>
          </w:cols>
          <w:pgMar w:left="580" w:top="131" w:right="1440" w:bottom="1440" w:gutter="0" w:footer="0" w:header="0"/>
        </w:sectPr>
      </w:pPr>
    </w:p>
    <w:p>
      <w:pPr>
        <w:spacing w:after="0" w:line="120"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Wednesday, June 09, 2021</w:t>
      </w:r>
    </w:p>
    <w:p>
      <w:pPr>
        <w:spacing w:after="0" w:line="167" w:lineRule="exact"/>
        <w:rPr>
          <w:sz w:val="20"/>
          <w:szCs w:val="20"/>
          <w:color w:val="auto"/>
        </w:rPr>
      </w:pPr>
    </w:p>
    <w:p>
      <w:pPr>
        <w:sectPr>
          <w:pgSz w:w="11900" w:h="16838" w:orient="portrait"/>
          <w:cols w:equalWidth="0" w:num="2">
            <w:col w:w="2260" w:space="720"/>
            <w:col w:w="6899"/>
          </w:cols>
          <w:pgMar w:left="580" w:top="131" w:right="1440" w:bottom="1440" w:gutter="0" w:footer="0" w:header="0"/>
          <w:type w:val="continuous"/>
        </w:sectPr>
      </w:pPr>
    </w:p>
    <w:p>
      <w:pPr>
        <w:jc w:val="center"/>
        <w:ind w:left="70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13:00 British Summer Time</w:t>
      </w:r>
    </w:p>
    <w:p>
      <w:pPr>
        <w:spacing w:after="0" w:line="156" w:lineRule="exact"/>
        <w:rPr>
          <w:sz w:val="20"/>
          <w:szCs w:val="20"/>
          <w:color w:val="auto"/>
        </w:rPr>
      </w:pPr>
    </w:p>
    <w:p>
      <w:pPr>
        <w:sectPr>
          <w:pgSz w:w="11900" w:h="16838" w:orient="portrait"/>
          <w:cols w:equalWidth="0" w:num="2">
            <w:col w:w="2260" w:space="720"/>
            <w:col w:w="68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Virtual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www.meetingcenter.io/282913758 (password: LIVN2021)</w:t>
      </w:r>
    </w:p>
    <w:p>
      <w:pPr>
        <w:spacing w:after="0" w:line="156" w:lineRule="exact"/>
        <w:rPr>
          <w:sz w:val="20"/>
          <w:szCs w:val="20"/>
          <w:color w:val="auto"/>
        </w:rPr>
      </w:pPr>
    </w:p>
    <w:p>
      <w:pPr>
        <w:sectPr>
          <w:pgSz w:w="11900" w:h="16838" w:orient="portrait"/>
          <w:cols w:equalWidth="0" w:num="2">
            <w:col w:w="2500" w:space="480"/>
            <w:col w:w="68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22, 2021 (at the close of The Nasdaq Stock Market LLC (“Nasdaq”) exchange)</w:t>
      </w:r>
    </w:p>
    <w:p>
      <w:pPr>
        <w:spacing w:after="0" w:line="169" w:lineRule="exact"/>
        <w:rPr>
          <w:sz w:val="20"/>
          <w:szCs w:val="20"/>
          <w:color w:val="auto"/>
        </w:rPr>
      </w:pPr>
    </w:p>
    <w:p>
      <w:pPr>
        <w:sectPr>
          <w:pgSz w:w="11900" w:h="16838" w:orient="portrait"/>
          <w:cols w:equalWidth="0" w:num="2">
            <w:col w:w="2260" w:space="720"/>
            <w:col w:w="6899"/>
          </w:cols>
          <w:pgMar w:left="580" w:top="131" w:right="1440" w:bottom="1440" w:gutter="0" w:footer="0" w:header="0"/>
          <w:type w:val="continuous"/>
        </w:sectPr>
      </w:pPr>
    </w:p>
    <w:p>
      <w:pPr>
        <w:ind w:left="1260" w:right="439" w:firstLine="360"/>
        <w:spacing w:after="0" w:line="239" w:lineRule="auto"/>
        <w:rPr>
          <w:sz w:val="20"/>
          <w:szCs w:val="20"/>
          <w:color w:val="auto"/>
        </w:rPr>
      </w:pPr>
      <w:r>
        <w:rPr>
          <w:rFonts w:ascii="Arial" w:cs="Arial" w:eastAsia="Arial" w:hAnsi="Arial"/>
          <w:sz w:val="18"/>
          <w:szCs w:val="18"/>
          <w:color w:val="auto"/>
        </w:rPr>
        <w:t xml:space="preserve">Who Can Attend: Record and beneficial holders as of the Record Date may attend. If you plan to attend the meeting, please follow the registration instructions as outlined in this proxy statement. The meeting is a virtual meeting, no physical meeting will be held. A member who is entitled to attend and vote is entitled to appoint another person to vote on his/her behalf the ordinary shares with nominal value £1 per share (each, an “Ordinary Share”) held by him/her, as his/her proxy to exercise all or any of his/her rights to attend, speak and vote at the meeting. For information on attending the meeting and appointing a proxy, see our </w:t>
      </w:r>
      <w:r>
        <w:rPr>
          <w:rFonts w:ascii="Arial" w:cs="Arial" w:eastAsia="Arial" w:hAnsi="Arial"/>
          <w:sz w:val="18"/>
          <w:szCs w:val="18"/>
          <w:i w:val="1"/>
          <w:iCs w:val="1"/>
          <w:color w:val="auto"/>
        </w:rPr>
        <w:t>Frequently Asked Questions about the AGM.</w:t>
      </w:r>
    </w:p>
    <w:p>
      <w:pPr>
        <w:spacing w:after="0" w:line="12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Number of Votes Outstanding: The Company has only one class of voting shares, namely that of ordinary shares. At April 22, 2021, there were 48,856,606 total ordinary shares outstanding, each carrying one vote.</w:t>
      </w:r>
    </w:p>
    <w:p>
      <w:pPr>
        <w:spacing w:after="0" w:line="101"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Date of Mailing: This notice and proxy statement is being mailed or made available to shareholders on April 30, 2021.</w:t>
      </w:r>
    </w:p>
    <w:p>
      <w:pPr>
        <w:spacing w:after="0" w:line="16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ITEMS OF BUSINESS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You will be asked to consider and, if thought fit, pass the following resolutions:</w:t>
      </w:r>
    </w:p>
    <w:p>
      <w:pPr>
        <w:spacing w:after="0" w:line="144" w:lineRule="exact"/>
        <w:rPr>
          <w:sz w:val="20"/>
          <w:szCs w:val="20"/>
          <w:color w:val="auto"/>
        </w:rPr>
      </w:pPr>
    </w:p>
    <w:p>
      <w:pPr>
        <w:ind w:left="1620" w:right="639" w:hanging="36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elect, by separate resolutions, each of the following ten (10) directors for a term expiring at the AGM to be held in 2022:</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Francesco Bianchi</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Ms. Stacy Enxing Seng</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William Kozy</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Damien McDonald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Daniel Moore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Alfred Novak</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Sharon O’Kane, PhD</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Arthur L. Rosenthal, PhD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Ms. Andrea Saia</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Todd Schermerhorn</w:t>
      </w:r>
    </w:p>
    <w:p>
      <w:pPr>
        <w:spacing w:after="0" w:line="157" w:lineRule="exact"/>
        <w:rPr>
          <w:rFonts w:ascii="Arial" w:cs="Arial" w:eastAsia="Arial" w:hAnsi="Arial"/>
          <w:sz w:val="18"/>
          <w:szCs w:val="18"/>
          <w:color w:val="auto"/>
        </w:rPr>
      </w:pPr>
    </w:p>
    <w:p>
      <w:pPr>
        <w:ind w:left="1620" w:right="739" w:hanging="36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approve, on an advisory basis, the Company’s compensation of its named executive officers (“US Say-on-Pay”).</w:t>
      </w:r>
    </w:p>
    <w:p>
      <w:pPr>
        <w:spacing w:after="0" w:line="89" w:lineRule="exact"/>
        <w:rPr>
          <w:rFonts w:ascii="Arial" w:cs="Arial" w:eastAsia="Arial" w:hAnsi="Arial"/>
          <w:sz w:val="18"/>
          <w:szCs w:val="18"/>
          <w:color w:val="auto"/>
        </w:rPr>
      </w:pPr>
    </w:p>
    <w:p>
      <w:pPr>
        <w:ind w:left="1620" w:right="599" w:hanging="36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ratify the appointment of PricewaterhouseCoopers LLP, a Delaware limited liability partnership, as the Company’s independent registered public accountancy firm.</w:t>
      </w:r>
    </w:p>
    <w:p>
      <w:pPr>
        <w:spacing w:after="0" w:line="89" w:lineRule="exact"/>
        <w:rPr>
          <w:rFonts w:ascii="Arial" w:cs="Arial" w:eastAsia="Arial" w:hAnsi="Arial"/>
          <w:sz w:val="18"/>
          <w:szCs w:val="18"/>
          <w:color w:val="auto"/>
        </w:rPr>
      </w:pPr>
    </w:p>
    <w:p>
      <w:pPr>
        <w:ind w:left="1620" w:hanging="36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generally and unconditionally authorize the directors,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spacing w:after="0" w:line="248" w:lineRule="auto"/>
        <w:rPr>
          <w:sz w:val="20"/>
          <w:szCs w:val="20"/>
          <w:color w:val="auto"/>
        </w:rPr>
      </w:pPr>
      <w:r>
        <w:rPr>
          <w:rFonts w:ascii="Arial" w:cs="Arial" w:eastAsia="Arial" w:hAnsi="Arial"/>
          <w:sz w:val="18"/>
          <w:szCs w:val="18"/>
          <w:color w:val="auto"/>
        </w:rPr>
        <w:t>section 551 of the Companies Act 2006 (the “Companies Act”) to exercise all powers of the Company to allot shares in the Company and to grant rights to subscribe for, or to convert any security into, shares in the Company up to an aggregate nominal amount of £16,122,679,</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provided that:</w:t>
      </w:r>
    </w:p>
    <w:p>
      <w:pPr>
        <w:spacing w:after="0" w:line="158" w:lineRule="exact"/>
        <w:rPr>
          <w:sz w:val="20"/>
          <w:szCs w:val="20"/>
          <w:color w:val="auto"/>
        </w:rPr>
      </w:pPr>
    </w:p>
    <w:p>
      <w:pPr>
        <w:ind w:left="1980" w:right="519" w:hanging="360"/>
        <w:spacing w:after="0" w:line="254"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110" w:lineRule="exact"/>
        <w:rPr>
          <w:rFonts w:ascii="Arial" w:cs="Arial" w:eastAsia="Arial" w:hAnsi="Arial"/>
          <w:sz w:val="18"/>
          <w:szCs w:val="18"/>
          <w:color w:val="auto"/>
        </w:rPr>
      </w:pPr>
    </w:p>
    <w:p>
      <w:pPr>
        <w:ind w:left="1980" w:right="439" w:hanging="360"/>
        <w:spacing w:after="0" w:line="259"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119" w:lineRule="exact"/>
        <w:rPr>
          <w:rFonts w:ascii="Arial" w:cs="Arial" w:eastAsia="Arial" w:hAnsi="Arial"/>
          <w:sz w:val="18"/>
          <w:szCs w:val="18"/>
          <w:color w:val="auto"/>
        </w:rPr>
      </w:pPr>
    </w:p>
    <w:p>
      <w:pPr>
        <w:ind w:left="1620" w:right="559" w:hanging="360"/>
        <w:spacing w:after="0" w:line="272"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Special Resolution</w:t>
      </w:r>
      <w:r>
        <w:rPr>
          <w:rFonts w:ascii="Arial" w:cs="Arial" w:eastAsia="Arial" w:hAnsi="Arial"/>
          <w:sz w:val="17"/>
          <w:szCs w:val="17"/>
          <w:color w:val="auto"/>
        </w:rPr>
        <w:t>: Subject to the passing of resolution 4 and in accordance with sections 570 and 573 of the Companies Act, to empower the directors generally to allot equity securities (as defined in section 560 of the Companies Act) for cash pursuant to the authority conferred by resolution 4,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w:t>
      </w:r>
    </w:p>
    <w:p>
      <w:pPr>
        <w:spacing w:after="0" w:line="96" w:lineRule="exact"/>
        <w:rPr>
          <w:sz w:val="20"/>
          <w:szCs w:val="20"/>
          <w:color w:val="auto"/>
        </w:rPr>
      </w:pPr>
    </w:p>
    <w:p>
      <w:pPr>
        <w:ind w:left="1980" w:hanging="360"/>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an aggregate nominal amount of £2,442,830 for any purpose; and</w:t>
      </w:r>
    </w:p>
    <w:p>
      <w:pPr>
        <w:spacing w:after="0" w:line="157" w:lineRule="exact"/>
        <w:rPr>
          <w:rFonts w:ascii="Arial" w:cs="Arial" w:eastAsia="Arial" w:hAnsi="Arial"/>
          <w:sz w:val="18"/>
          <w:szCs w:val="18"/>
          <w:color w:val="auto"/>
        </w:rPr>
      </w:pPr>
    </w:p>
    <w:p>
      <w:pPr>
        <w:ind w:left="1980" w:right="1139" w:hanging="360"/>
        <w:spacing w:after="0" w:line="263"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amount set out under (a) above), up to an aggregate nominal amount of £2.442,830 to be used only for the purposes of financing an acquisition or other capital investment.</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provided that:</w:t>
      </w:r>
    </w:p>
    <w:p>
      <w:pPr>
        <w:spacing w:after="0" w:line="144" w:lineRule="exact"/>
        <w:rPr>
          <w:sz w:val="20"/>
          <w:szCs w:val="20"/>
          <w:color w:val="auto"/>
        </w:rPr>
      </w:pPr>
    </w:p>
    <w:p>
      <w:pPr>
        <w:ind w:left="1980" w:right="439" w:hanging="360"/>
        <w:spacing w:after="0" w:line="254" w:lineRule="auto"/>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127" w:lineRule="exact"/>
        <w:rPr>
          <w:rFonts w:ascii="Arial" w:cs="Arial" w:eastAsia="Arial" w:hAnsi="Arial"/>
          <w:sz w:val="18"/>
          <w:szCs w:val="18"/>
          <w:color w:val="auto"/>
        </w:rPr>
      </w:pPr>
    </w:p>
    <w:p>
      <w:pPr>
        <w:ind w:left="1980" w:right="479" w:hanging="360"/>
        <w:spacing w:after="0" w:line="257" w:lineRule="auto"/>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this power replaces (except for any power conferred by resolution 4)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106"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approve, on an advisory basis, the United Kingdom (“UK”) directors’ remuneration report in the form set out in the Company’s UK annual report and accounts for the period ended December 31, 2020.</w:t>
      </w:r>
    </w:p>
    <w:p>
      <w:pPr>
        <w:spacing w:after="0" w:line="116" w:lineRule="exact"/>
        <w:rPr>
          <w:rFonts w:ascii="Arial" w:cs="Arial" w:eastAsia="Arial" w:hAnsi="Arial"/>
          <w:sz w:val="18"/>
          <w:szCs w:val="18"/>
          <w:color w:val="auto"/>
        </w:rPr>
      </w:pPr>
    </w:p>
    <w:p>
      <w:pPr>
        <w:ind w:left="1620" w:right="519" w:hanging="360"/>
        <w:spacing w:after="0" w:line="308"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Ordinary Resolution</w:t>
      </w:r>
      <w:r>
        <w:rPr>
          <w:rFonts w:ascii="Arial" w:cs="Arial" w:eastAsia="Arial" w:hAnsi="Arial"/>
          <w:sz w:val="17"/>
          <w:szCs w:val="17"/>
          <w:color w:val="auto"/>
        </w:rPr>
        <w:t>: To receive and adopt the Company’s audited UK statutory accounts for the year ended December 31, 2020, together with the reports of the directors and the auditors thereon.</w:t>
      </w:r>
    </w:p>
    <w:p>
      <w:pPr>
        <w:spacing w:after="0" w:line="78" w:lineRule="exact"/>
        <w:rPr>
          <w:rFonts w:ascii="Arial" w:cs="Arial" w:eastAsia="Arial" w:hAnsi="Arial"/>
          <w:sz w:val="17"/>
          <w:szCs w:val="17"/>
          <w:color w:val="auto"/>
        </w:rPr>
      </w:pPr>
    </w:p>
    <w:p>
      <w:pPr>
        <w:ind w:left="1620" w:right="91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re-appoint PricewaterhouseCoopers LLP, a limited liability partnership organized under the laws of England, as the Company’s UK statutory auditor.</w:t>
      </w:r>
    </w:p>
    <w:p>
      <w:pPr>
        <w:spacing w:after="0" w:line="89"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Ordinary Resolution</w:t>
      </w:r>
      <w:r>
        <w:rPr>
          <w:rFonts w:ascii="Arial" w:cs="Arial" w:eastAsia="Arial" w:hAnsi="Arial"/>
          <w:sz w:val="18"/>
          <w:szCs w:val="18"/>
          <w:color w:val="auto"/>
        </w:rPr>
        <w:t>: To authorize the directors and/or the Audit and Compliance Committee to determine the remuneration of the Company’s UK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575945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HOW TO VOTE</w:t>
      </w:r>
    </w:p>
    <w:p>
      <w:pPr>
        <w:spacing w:after="0" w:line="14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 xml:space="preserve">You may vote at the AGM by proxy or virtually at www.meetingcenter.io/282913758 (password: LIVN2021). Please see the section entitled </w:t>
      </w:r>
      <w:r>
        <w:rPr>
          <w:rFonts w:ascii="Arial" w:cs="Arial" w:eastAsia="Arial" w:hAnsi="Arial"/>
          <w:sz w:val="18"/>
          <w:szCs w:val="18"/>
          <w:i w:val="1"/>
          <w:iCs w:val="1"/>
          <w:color w:val="auto"/>
        </w:rPr>
        <w:t>Frequently Asked Questions About the AGM</w:t>
      </w:r>
      <w:r>
        <w:rPr>
          <w:rFonts w:ascii="Arial" w:cs="Arial" w:eastAsia="Arial" w:hAnsi="Arial"/>
          <w:sz w:val="18"/>
          <w:szCs w:val="18"/>
          <w:color w:val="auto"/>
        </w:rPr>
        <w:t xml:space="preserve"> for detailed information on how shareholders of record, beneficial holders and CDI holders may virtually attend and vote at the AGM.</w:t>
      </w:r>
    </w:p>
    <w:p>
      <w:pPr>
        <w:spacing w:after="0" w:line="119"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 xml:space="preserve">You may also vote in advance of the meeting. Depending on whether you are a shareholder of record, a beneficial holder or a CDI holder, you will be able to do so by mail, the internet or telephone. Please see our </w:t>
      </w:r>
      <w:r>
        <w:rPr>
          <w:rFonts w:ascii="Arial" w:cs="Arial" w:eastAsia="Arial" w:hAnsi="Arial"/>
          <w:sz w:val="18"/>
          <w:szCs w:val="18"/>
          <w:i w:val="1"/>
          <w:iCs w:val="1"/>
          <w:color w:val="auto"/>
        </w:rPr>
        <w:t>Frequently Asked Questions About the AGM</w:t>
      </w:r>
      <w:r>
        <w:rPr>
          <w:rFonts w:ascii="Arial" w:cs="Arial" w:eastAsia="Arial" w:hAnsi="Arial"/>
          <w:sz w:val="18"/>
          <w:szCs w:val="18"/>
          <w:color w:val="auto"/>
        </w:rPr>
        <w:t>.</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SECTION 527 NOTICE — WEBSITE MATERIALS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85166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Keyna P. Skeffington</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Company Secretary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3370580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76"/>
        </w:trPr>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1260" w:type="dxa"/>
            <w:vAlign w:val="bottom"/>
          </w:tcPr>
          <w:p>
            <w:pPr>
              <w:spacing w:after="0"/>
              <w:rPr>
                <w:sz w:val="16"/>
                <w:szCs w:val="16"/>
                <w:color w:val="auto"/>
              </w:rPr>
            </w:pPr>
          </w:p>
        </w:tc>
        <w:tc>
          <w:tcPr>
            <w:tcW w:w="1180" w:type="dxa"/>
            <w:vAlign w:val="bottom"/>
            <w:gridSpan w:val="4"/>
            <w:shd w:val="clear" w:color="auto" w:fill="CCEEFF"/>
          </w:tcPr>
          <w:p>
            <w:pPr>
              <w:spacing w:after="0" w:line="189"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Proxy Summary</w:t>
              </w:r>
            </w:hyperlink>
          </w:p>
        </w:tc>
        <w:tc>
          <w:tcPr>
            <w:tcW w:w="6840" w:type="dxa"/>
            <w:vAlign w:val="bottom"/>
            <w:tcBorders>
              <w:left w:val="single" w:sz="8" w:color="CCEEFF"/>
            </w:tcBorders>
            <w:gridSpan w:val="28"/>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26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4340" w:type="dxa"/>
            <w:vAlign w:val="bottom"/>
            <w:gridSpan w:val="26"/>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Cautionary Note Regarding Forward-Looking Statements</w:t>
              </w:r>
            </w:hyperlink>
          </w:p>
        </w:tc>
        <w:tc>
          <w:tcPr>
            <w:tcW w:w="3680" w:type="dxa"/>
            <w:vAlign w:val="bottom"/>
            <w:gridSpan w:val="6"/>
          </w:tcPr>
          <w:p>
            <w:pPr>
              <w:spacing w:after="0"/>
              <w:rPr>
                <w:sz w:val="20"/>
                <w:szCs w:val="20"/>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760" w:type="dxa"/>
            <w:vAlign w:val="bottom"/>
            <w:tcBorders>
              <w:right w:val="single" w:sz="8" w:color="CCEEFF"/>
            </w:tcBorders>
            <w:gridSpan w:val="7"/>
            <w:shd w:val="clear" w:color="auto" w:fill="CCEEFF"/>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Resolutions and Voting</w:t>
              </w:r>
            </w:hyperlink>
          </w:p>
        </w:tc>
        <w:tc>
          <w:tcPr>
            <w:tcW w:w="2580" w:type="dxa"/>
            <w:vAlign w:val="bottom"/>
            <w:gridSpan w:val="19"/>
            <w:shd w:val="clear" w:color="auto" w:fill="CCEEFF"/>
          </w:tcPr>
          <w:p>
            <w:pPr>
              <w:spacing w:after="0"/>
              <w:rPr>
                <w:sz w:val="20"/>
                <w:szCs w:val="20"/>
                <w:color w:val="auto"/>
              </w:rPr>
            </w:pPr>
          </w:p>
        </w:tc>
        <w:tc>
          <w:tcPr>
            <w:tcW w:w="3680" w:type="dxa"/>
            <w:vAlign w:val="bottom"/>
            <w:tcBorders>
              <w:left w:val="single" w:sz="8" w:color="CCEEFF"/>
            </w:tcBorders>
            <w:gridSpan w:val="6"/>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760" w:type="dxa"/>
            <w:vAlign w:val="bottom"/>
            <w:gridSpan w:val="15"/>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Proposal No. 1 Election of Directors</w:t>
              </w:r>
            </w:hyperlink>
          </w:p>
        </w:tc>
        <w:tc>
          <w:tcPr>
            <w:tcW w:w="5260" w:type="dxa"/>
            <w:vAlign w:val="bottom"/>
            <w:gridSpan w:val="17"/>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760" w:type="dxa"/>
            <w:vAlign w:val="bottom"/>
            <w:tcBorders>
              <w:right w:val="single" w:sz="8" w:color="CCEEFF"/>
            </w:tcBorders>
            <w:gridSpan w:val="15"/>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5260" w:type="dxa"/>
            <w:vAlign w:val="bottom"/>
            <w:gridSpan w:val="17"/>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The Board of Directors</w:t>
              </w:r>
            </w:hyperlink>
          </w:p>
        </w:tc>
        <w:tc>
          <w:tcPr>
            <w:tcW w:w="6080" w:type="dxa"/>
            <w:vAlign w:val="bottom"/>
            <w:gridSpan w:val="23"/>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0" w:type="dxa"/>
            <w:vAlign w:val="bottom"/>
            <w:gridSpan w:val="21"/>
            <w:shd w:val="clear" w:color="auto" w:fill="CCEEFF"/>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Board Qualifications and Director Selections</w:t>
              </w:r>
            </w:hyperlink>
          </w:p>
        </w:tc>
        <w:tc>
          <w:tcPr>
            <w:tcW w:w="4260" w:type="dxa"/>
            <w:vAlign w:val="bottom"/>
            <w:gridSpan w:val="9"/>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11"/>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Board Diversity and Tenure</w:t>
              </w:r>
            </w:hyperlink>
          </w:p>
        </w:tc>
        <w:tc>
          <w:tcPr>
            <w:tcW w:w="1300" w:type="dxa"/>
            <w:vAlign w:val="bottom"/>
            <w:gridSpan w:val="10"/>
          </w:tcPr>
          <w:p>
            <w:pPr>
              <w:spacing w:after="0"/>
              <w:rPr>
                <w:sz w:val="21"/>
                <w:szCs w:val="21"/>
                <w:color w:val="auto"/>
              </w:rPr>
            </w:pPr>
          </w:p>
        </w:tc>
        <w:tc>
          <w:tcPr>
            <w:tcW w:w="4260" w:type="dxa"/>
            <w:vAlign w:val="bottom"/>
            <w:gridSpan w:val="9"/>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Information Regarding Directors and Director Nominees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240" w:type="dxa"/>
            <w:vAlign w:val="bottom"/>
            <w:tcBorders>
              <w:top w:val="single" w:sz="8" w:color="0000EE"/>
            </w:tcBorders>
            <w:gridSpan w:val="2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Family Relationships</w:t>
              </w:r>
            </w:hyperlink>
          </w:p>
        </w:tc>
        <w:tc>
          <w:tcPr>
            <w:tcW w:w="2420" w:type="dxa"/>
            <w:vAlign w:val="bottom"/>
            <w:tcBorders>
              <w:top w:val="single" w:sz="8" w:color="CCEEFF"/>
            </w:tcBorders>
            <w:gridSpan w:val="3"/>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Committee Interlocks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Director Independence</w:t>
              </w:r>
            </w:hyperlink>
          </w:p>
        </w:tc>
        <w:tc>
          <w:tcPr>
            <w:tcW w:w="1040" w:type="dxa"/>
            <w:vAlign w:val="bottom"/>
            <w:tcBorders>
              <w:top w:val="single" w:sz="8" w:color="0000EE"/>
            </w:tcBorders>
            <w:gridSpan w:val="10"/>
          </w:tcPr>
          <w:p>
            <w:pPr>
              <w:spacing w:after="0"/>
              <w:rPr>
                <w:sz w:val="21"/>
                <w:szCs w:val="21"/>
                <w:color w:val="auto"/>
              </w:rPr>
            </w:pPr>
          </w:p>
        </w:tc>
        <w:tc>
          <w:tcPr>
            <w:tcW w:w="4900" w:type="dxa"/>
            <w:vAlign w:val="bottom"/>
            <w:tcBorders>
              <w:top w:val="single" w:sz="8" w:color="CCEEFF"/>
            </w:tcBorders>
            <w:gridSpan w:val="1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Board Leadership Structure</w:t>
              </w:r>
            </w:hyperlink>
          </w:p>
        </w:tc>
        <w:tc>
          <w:tcPr>
            <w:tcW w:w="5560" w:type="dxa"/>
            <w:vAlign w:val="bottom"/>
            <w:tcBorders>
              <w:left w:val="single" w:sz="8" w:color="CCEEFF"/>
              <w:bottom w:val="single" w:sz="8" w:color="CCEEFF"/>
            </w:tcBorders>
            <w:gridSpan w:val="19"/>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Board Role in Risk Management</w:t>
              </w:r>
            </w:hyperlink>
          </w:p>
        </w:tc>
        <w:tc>
          <w:tcPr>
            <w:tcW w:w="518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Board, Committees and Shareholder Meetings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5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Audit and Compliance Committee</w:t>
              </w:r>
            </w:hyperlink>
          </w:p>
        </w:tc>
        <w:tc>
          <w:tcPr>
            <w:tcW w:w="720" w:type="dxa"/>
            <w:vAlign w:val="bottom"/>
            <w:tcBorders>
              <w:top w:val="single" w:sz="8" w:color="0000EE"/>
            </w:tcBorders>
            <w:gridSpan w:val="4"/>
          </w:tcPr>
          <w:p>
            <w:pPr>
              <w:spacing w:after="0"/>
              <w:rPr>
                <w:sz w:val="21"/>
                <w:szCs w:val="21"/>
                <w:color w:val="auto"/>
              </w:rPr>
            </w:pPr>
          </w:p>
        </w:tc>
        <w:tc>
          <w:tcPr>
            <w:tcW w:w="4180" w:type="dxa"/>
            <w:vAlign w:val="bottom"/>
            <w:tcBorders>
              <w:top w:val="single" w:sz="8" w:color="CCEEFF"/>
            </w:tcBorders>
            <w:gridSpan w:val="8"/>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right w:val="single" w:sz="8" w:color="CCEEFF"/>
            </w:tcBorders>
            <w:gridSpan w:val="10"/>
            <w:shd w:val="clear" w:color="auto" w:fill="CCEEFF"/>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Compensation Committee</w:t>
              </w:r>
            </w:hyperlink>
          </w:p>
        </w:tc>
        <w:tc>
          <w:tcPr>
            <w:tcW w:w="5560" w:type="dxa"/>
            <w:vAlign w:val="bottom"/>
            <w:tcBorders>
              <w:left w:val="single" w:sz="8" w:color="CCEEFF"/>
              <w:bottom w:val="single" w:sz="8" w:color="CCEEFF"/>
            </w:tcBorders>
            <w:gridSpan w:val="19"/>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80" w:type="dxa"/>
            <w:vAlign w:val="bottom"/>
            <w:gridSpan w:val="2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Nominating and Corporate Governance Committee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Governance Policies and Practices</w:t>
              </w:r>
            </w:hyperlink>
          </w:p>
        </w:tc>
        <w:tc>
          <w:tcPr>
            <w:tcW w:w="506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Stock Ownership Guidelines</w:t>
              </w:r>
            </w:hyperlink>
          </w:p>
        </w:tc>
        <w:tc>
          <w:tcPr>
            <w:tcW w:w="526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0000EE"/>
              <w:right w:val="single" w:sz="8" w:color="CCEEFF"/>
            </w:tcBorders>
            <w:gridSpan w:val="19"/>
            <w:shd w:val="clear" w:color="auto" w:fill="CCEEFF"/>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Corporate Governance Best Practices</w:t>
              </w:r>
            </w:hyperlink>
          </w:p>
        </w:tc>
        <w:tc>
          <w:tcPr>
            <w:tcW w:w="464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Communication with Directors</w:t>
              </w:r>
            </w:hyperlink>
          </w:p>
        </w:tc>
        <w:tc>
          <w:tcPr>
            <w:tcW w:w="514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0000EE"/>
              <w:right w:val="single" w:sz="8" w:color="CCEEFF"/>
            </w:tcBorders>
            <w:gridSpan w:val="19"/>
            <w:shd w:val="clear" w:color="auto" w:fill="CCEEFF"/>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Code of Business Conduct and Ethics</w:t>
              </w:r>
            </w:hyperlink>
          </w:p>
        </w:tc>
        <w:tc>
          <w:tcPr>
            <w:tcW w:w="464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80" w:type="dxa"/>
            <w:vAlign w:val="bottom"/>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Hedging</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Related Party Transactions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Succession Planning</w:t>
              </w:r>
            </w:hyperlink>
          </w:p>
        </w:tc>
        <w:tc>
          <w:tcPr>
            <w:tcW w:w="440" w:type="dxa"/>
            <w:vAlign w:val="bottom"/>
            <w:tcBorders>
              <w:top w:val="single" w:sz="8" w:color="0000EE"/>
            </w:tcBorders>
            <w:gridSpan w:val="2"/>
          </w:tcPr>
          <w:p>
            <w:pPr>
              <w:spacing w:after="0"/>
              <w:rPr>
                <w:sz w:val="21"/>
                <w:szCs w:val="21"/>
                <w:color w:val="auto"/>
              </w:rPr>
            </w:pPr>
          </w:p>
        </w:tc>
        <w:tc>
          <w:tcPr>
            <w:tcW w:w="5640" w:type="dxa"/>
            <w:vAlign w:val="bottom"/>
            <w:tcBorders>
              <w:top w:val="single" w:sz="8" w:color="CCEEFF"/>
            </w:tcBorders>
            <w:gridSpan w:val="2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Environmental, Sustainability and Corporate Social Responsibility</w:t>
              </w:r>
            </w:hyperlink>
          </w:p>
        </w:tc>
        <w:tc>
          <w:tcPr>
            <w:tcW w:w="2620" w:type="dxa"/>
            <w:vAlign w:val="bottom"/>
            <w:tcBorders>
              <w:bottom w:val="single" w:sz="8" w:color="CCEEFF"/>
            </w:tcBorders>
            <w:gridSpan w:val="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80" w:type="dxa"/>
            <w:vAlign w:val="bottom"/>
            <w:tcBorders>
              <w:bottom w:val="single" w:sz="8" w:color="0000EE"/>
            </w:tcBorders>
            <w:gridSpan w:val="28"/>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Shareholder Engagement and Considertion of Prior Year’s Say on Pay Vote</w:t>
              </w:r>
            </w:hyperlink>
          </w:p>
        </w:tc>
        <w:tc>
          <w:tcPr>
            <w:tcW w:w="19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Availability of Governance Documents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Executive Officers</w:t>
              </w:r>
            </w:hyperlink>
          </w:p>
        </w:tc>
        <w:tc>
          <w:tcPr>
            <w:tcW w:w="6420" w:type="dxa"/>
            <w:vAlign w:val="bottom"/>
            <w:gridSpan w:val="2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Executive Compensation</w:t>
              </w:r>
            </w:hyperlink>
          </w:p>
        </w:tc>
        <w:tc>
          <w:tcPr>
            <w:tcW w:w="6140" w:type="dxa"/>
            <w:vAlign w:val="bottom"/>
            <w:tcBorders>
              <w:bottom w:val="single" w:sz="8" w:color="CCEEFF"/>
            </w:tcBorders>
            <w:gridSpan w:val="2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Compensation Committee Report</w:t>
              </w:r>
            </w:hyperlink>
          </w:p>
        </w:tc>
        <w:tc>
          <w:tcPr>
            <w:tcW w:w="526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Compensation Discussion &amp; Analysis</w:t>
              </w:r>
            </w:hyperlink>
          </w:p>
        </w:tc>
        <w:tc>
          <w:tcPr>
            <w:tcW w:w="498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Our Named Executive Officers</w:t>
              </w:r>
            </w:hyperlink>
          </w:p>
        </w:tc>
        <w:tc>
          <w:tcPr>
            <w:tcW w:w="526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60" w:type="dxa"/>
            <w:vAlign w:val="bottom"/>
            <w:gridSpan w:val="30"/>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CD&amp;A Executive Summary</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6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Participants in Executive Compensation Design and Decision-Making Process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top w:val="single" w:sz="8" w:color="0000EE"/>
              <w:bottom w:val="single" w:sz="8" w:color="0000EE"/>
            </w:tcBorders>
            <w:gridSpan w:val="19"/>
            <w:shd w:val="clear" w:color="auto" w:fill="CCEEFF"/>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Executive Compensation Philosophy</w:t>
              </w:r>
            </w:hyperlink>
          </w:p>
        </w:tc>
        <w:tc>
          <w:tcPr>
            <w:tcW w:w="3120" w:type="dxa"/>
            <w:vAlign w:val="bottom"/>
            <w:tcBorders>
              <w:top w:val="single" w:sz="8" w:color="0000EE"/>
              <w:bottom w:val="single" w:sz="8" w:color="CCEEFF"/>
            </w:tcBorders>
            <w:gridSpan w:val="10"/>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8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How We Establish Executive Compensation Levels</w:t>
              </w:r>
            </w:hyperlink>
          </w:p>
        </w:tc>
        <w:tc>
          <w:tcPr>
            <w:tcW w:w="378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2020 — Compensation at Risk</w:t>
              </w:r>
            </w:hyperlink>
          </w:p>
        </w:tc>
        <w:tc>
          <w:tcPr>
            <w:tcW w:w="5360" w:type="dxa"/>
            <w:vAlign w:val="bottom"/>
            <w:tcBorders>
              <w:bottom w:val="single" w:sz="8" w:color="CCEEFF"/>
            </w:tcBorders>
            <w:gridSpan w:val="18"/>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Elements of Compensation</w:t>
              </w:r>
            </w:hyperlink>
          </w:p>
        </w:tc>
        <w:tc>
          <w:tcPr>
            <w:tcW w:w="562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Base Salary</w:t>
              </w:r>
            </w:hyperlink>
          </w:p>
        </w:tc>
        <w:tc>
          <w:tcPr>
            <w:tcW w:w="6580" w:type="dxa"/>
            <w:vAlign w:val="bottom"/>
            <w:tcBorders>
              <w:bottom w:val="single" w:sz="8" w:color="CCEEFF"/>
            </w:tcBorders>
            <w:gridSpan w:val="2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60" w:type="dxa"/>
            <w:vAlign w:val="bottom"/>
            <w:gridSpan w:val="30"/>
          </w:tcPr>
          <w:p>
            <w:pPr>
              <w:ind w:left="180"/>
              <w:spacing w:after="0"/>
              <w:rPr>
                <w:rFonts w:ascii="Arial" w:cs="Arial" w:eastAsia="Arial" w:hAnsi="Arial"/>
                <w:sz w:val="18"/>
                <w:szCs w:val="18"/>
                <w:color w:val="0000EE"/>
              </w:rPr>
            </w:pPr>
            <w:hyperlink w:anchor="page37">
              <w:r>
                <w:rPr>
                  <w:rFonts w:ascii="Arial" w:cs="Arial" w:eastAsia="Arial" w:hAnsi="Arial"/>
                  <w:sz w:val="18"/>
                  <w:szCs w:val="18"/>
                  <w:color w:val="0000EE"/>
                </w:rPr>
                <w:t>Short-Term Incentives: 2020 Short-Term Incentive Plan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1260" w:type="dxa"/>
            <w:vAlign w:val="bottom"/>
          </w:tcPr>
          <w:p>
            <w:pPr>
              <w:spacing w:after="0"/>
              <w:rPr>
                <w:sz w:val="21"/>
                <w:szCs w:val="21"/>
                <w:color w:val="auto"/>
              </w:rPr>
            </w:pPr>
          </w:p>
        </w:tc>
      </w:tr>
      <w:tr>
        <w:trPr>
          <w:trHeight w:val="945"/>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6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Long-Term Incentives: 2020 Long-Term Incentive Plan</w:t>
              </w:r>
            </w:hyperlink>
          </w:p>
        </w:tc>
        <w:tc>
          <w:tcPr>
            <w:tcW w:w="3300" w:type="dxa"/>
            <w:vAlign w:val="bottom"/>
            <w:tcBorders>
              <w:bottom w:val="single" w:sz="8" w:color="CCEEFF"/>
            </w:tcBorders>
            <w:gridSpan w:val="12"/>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33</w:t>
              </w:r>
            </w:hyperlink>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gridSpan w:val="40"/>
          </w:tcPr>
          <w:p>
            <w:pPr>
              <w:ind w:left="360"/>
              <w:spacing w:after="0"/>
              <w:rPr>
                <w:rFonts w:ascii="Arial" w:cs="Arial" w:eastAsia="Arial" w:hAnsi="Arial"/>
                <w:sz w:val="18"/>
                <w:szCs w:val="18"/>
                <w:color w:val="0000EE"/>
              </w:rPr>
            </w:pPr>
            <w:hyperlink w:anchor="page42">
              <w:r>
                <w:rPr>
                  <w:rFonts w:ascii="Arial" w:cs="Arial" w:eastAsia="Arial" w:hAnsi="Arial"/>
                  <w:sz w:val="18"/>
                  <w:szCs w:val="18"/>
                  <w:color w:val="0000EE"/>
                </w:rPr>
                <w:t>Other Benefits and Perquisites</w:t>
              </w:r>
            </w:hyperlink>
          </w:p>
        </w:tc>
        <w:tc>
          <w:tcPr>
            <w:tcW w:w="180" w:type="dxa"/>
            <w:vAlign w:val="bottom"/>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36</w:t>
              </w:r>
            </w:hyperlink>
          </w:p>
        </w:tc>
        <w:tc>
          <w:tcPr>
            <w:tcW w:w="1260" w:type="dxa"/>
            <w:vAlign w:val="bottom"/>
          </w:tcPr>
          <w:p>
            <w:pPr>
              <w:spacing w:after="0"/>
              <w:rPr>
                <w:sz w:val="18"/>
                <w:szCs w:val="18"/>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Health/Welfare Plans</w:t>
              </w:r>
            </w:hyperlink>
          </w:p>
        </w:tc>
        <w:tc>
          <w:tcPr>
            <w:tcW w:w="5880" w:type="dxa"/>
            <w:vAlign w:val="bottom"/>
            <w:tcBorders>
              <w:bottom w:val="single" w:sz="8" w:color="CCEEFF"/>
            </w:tcBorders>
            <w:gridSpan w:val="29"/>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36</w:t>
              </w:r>
            </w:hyperlink>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8020" w:type="dxa"/>
            <w:vAlign w:val="bottom"/>
            <w:gridSpan w:val="4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Compensation Tables</w:t>
              </w:r>
            </w:hyperlink>
          </w:p>
        </w:tc>
        <w:tc>
          <w:tcPr>
            <w:tcW w:w="180" w:type="dxa"/>
            <w:vAlign w:val="bottom"/>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2020 Summary Compensation Table</w:t>
              </w:r>
            </w:hyperlink>
          </w:p>
        </w:tc>
        <w:tc>
          <w:tcPr>
            <w:tcW w:w="5100" w:type="dxa"/>
            <w:vAlign w:val="bottom"/>
            <w:tcBorders>
              <w:bottom w:val="single" w:sz="8" w:color="CCEEFF"/>
            </w:tcBorders>
            <w:gridSpan w:val="2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2020 Grants of Plan-Based Awards Table</w:t>
              </w:r>
            </w:hyperlink>
          </w:p>
        </w:tc>
        <w:tc>
          <w:tcPr>
            <w:tcW w:w="180" w:type="dxa"/>
            <w:vAlign w:val="bottom"/>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38</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2020 Outstanding Equity Awards at Year End</w:t>
              </w:r>
            </w:hyperlink>
          </w:p>
        </w:tc>
        <w:tc>
          <w:tcPr>
            <w:tcW w:w="440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40</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2020 Option Exercises and Stock Vested</w:t>
              </w:r>
            </w:hyperlink>
          </w:p>
        </w:tc>
        <w:tc>
          <w:tcPr>
            <w:tcW w:w="180" w:type="dxa"/>
            <w:vAlign w:val="bottom"/>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2020 Pension Benefits</w:t>
              </w:r>
            </w:hyperlink>
          </w:p>
        </w:tc>
        <w:tc>
          <w:tcPr>
            <w:tcW w:w="6140" w:type="dxa"/>
            <w:vAlign w:val="bottom"/>
            <w:tcBorders>
              <w:bottom w:val="single" w:sz="8" w:color="CCEEFF"/>
            </w:tcBorders>
            <w:gridSpan w:val="3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2020 Non-qualified Deferred Compensations</w:t>
              </w:r>
            </w:hyperlink>
          </w:p>
        </w:tc>
        <w:tc>
          <w:tcPr>
            <w:tcW w:w="180" w:type="dxa"/>
            <w:vAlign w:val="bottom"/>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44</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Equity Compensation Plan Information</w:t>
              </w:r>
            </w:hyperlink>
          </w:p>
        </w:tc>
        <w:tc>
          <w:tcPr>
            <w:tcW w:w="4880" w:type="dxa"/>
            <w:vAlign w:val="bottom"/>
            <w:tcBorders>
              <w:bottom w:val="single" w:sz="8" w:color="CCEEFF"/>
            </w:tcBorders>
            <w:gridSpan w:val="19"/>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44</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Potential Payments Upon Change in Control</w:t>
              </w:r>
            </w:hyperlink>
          </w:p>
        </w:tc>
        <w:tc>
          <w:tcPr>
            <w:tcW w:w="180" w:type="dxa"/>
            <w:vAlign w:val="bottom"/>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45</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CEO Pay Ratio</w:t>
              </w:r>
            </w:hyperlink>
          </w:p>
        </w:tc>
        <w:tc>
          <w:tcPr>
            <w:tcW w:w="6680" w:type="dxa"/>
            <w:vAlign w:val="bottom"/>
            <w:tcBorders>
              <w:bottom w:val="single" w:sz="8" w:color="CCEEFF"/>
            </w:tcBorders>
            <w:gridSpan w:val="3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50</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2020 Director Compensation Table</w:t>
              </w:r>
            </w:hyperlink>
          </w:p>
        </w:tc>
        <w:tc>
          <w:tcPr>
            <w:tcW w:w="180" w:type="dxa"/>
            <w:vAlign w:val="bottom"/>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51</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280" w:type="dxa"/>
            <w:vAlign w:val="bottom"/>
            <w:tcBorders>
              <w:bottom w:val="single" w:sz="8" w:color="0000EE"/>
            </w:tcBorders>
            <w:gridSpan w:val="39"/>
            <w:shd w:val="clear" w:color="auto" w:fill="CCEEFF"/>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Proposal No. 2 Advisory (Non-Binding) Vote to Approve Executive Compensation (Say on Pay)</w:t>
              </w:r>
            </w:hyperlink>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53</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Audit Matters</w:t>
              </w:r>
            </w:hyperlink>
          </w:p>
        </w:tc>
        <w:tc>
          <w:tcPr>
            <w:tcW w:w="180" w:type="dxa"/>
            <w:vAlign w:val="bottom"/>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Audit and Compliance Committee Report</w:t>
              </w:r>
            </w:hyperlink>
          </w:p>
        </w:tc>
        <w:tc>
          <w:tcPr>
            <w:tcW w:w="470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Fees Paid to PricewaterhouseCoopers</w:t>
              </w:r>
            </w:hyperlink>
          </w:p>
        </w:tc>
        <w:tc>
          <w:tcPr>
            <w:tcW w:w="180" w:type="dxa"/>
            <w:vAlign w:val="bottom"/>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Pre-Approval Policies and Procedures</w:t>
              </w:r>
            </w:hyperlink>
          </w:p>
        </w:tc>
        <w:tc>
          <w:tcPr>
            <w:tcW w:w="4960" w:type="dxa"/>
            <w:vAlign w:val="bottom"/>
            <w:tcBorders>
              <w:bottom w:val="single" w:sz="8" w:color="CCEEFF"/>
            </w:tcBorders>
            <w:gridSpan w:val="20"/>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8020" w:type="dxa"/>
            <w:vAlign w:val="bottom"/>
            <w:gridSpan w:val="4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No. 3 Ratification of the Appointment of PwC USA as the Company’s Independent</w:t>
              </w:r>
            </w:hyperlink>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Registered Public Accounting Firm</w:t>
              </w:r>
            </w:hyperlink>
          </w:p>
        </w:tc>
        <w:tc>
          <w:tcPr>
            <w:tcW w:w="1040" w:type="dxa"/>
            <w:vAlign w:val="bottom"/>
            <w:gridSpan w:val="4"/>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5360" w:type="dxa"/>
            <w:vAlign w:val="bottom"/>
            <w:tcBorders>
              <w:bottom w:val="single" w:sz="8" w:color="0000EE"/>
            </w:tcBorders>
            <w:gridSpan w:val="32"/>
            <w:shd w:val="clear" w:color="auto" w:fill="CCEEFF"/>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Proposal No. 4 Ordinary Resolution to Grant Authority to Allot Shares</w:t>
              </w:r>
            </w:hyperlink>
          </w:p>
        </w:tc>
        <w:tc>
          <w:tcPr>
            <w:tcW w:w="2660" w:type="dxa"/>
            <w:vAlign w:val="bottom"/>
            <w:tcBorders>
              <w:bottom w:val="single" w:sz="8" w:color="CCEEFF"/>
            </w:tcBorders>
            <w:gridSpan w:val="9"/>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8020" w:type="dxa"/>
            <w:vAlign w:val="bottom"/>
            <w:gridSpan w:val="4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Proposal No. 5 Special Resolution to Grant Power to Disapply Pre-emptive Rights</w:t>
              </w:r>
            </w:hyperlink>
          </w:p>
        </w:tc>
        <w:tc>
          <w:tcPr>
            <w:tcW w:w="18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58</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Share Ownership Information</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Delinquent Section 16(a) Reports</w:t>
              </w:r>
            </w:hyperlink>
          </w:p>
        </w:tc>
        <w:tc>
          <w:tcPr>
            <w:tcW w:w="180" w:type="dxa"/>
            <w:vAlign w:val="bottom"/>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Proposals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61</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Proposal No. 6 Advisory Vote to Approve the UK Directors’ Remuneration Report</w:t>
              </w:r>
            </w:hyperlink>
          </w:p>
        </w:tc>
        <w:tc>
          <w:tcPr>
            <w:tcW w:w="180" w:type="dxa"/>
            <w:vAlign w:val="bottom"/>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61</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Proposal No. 7 To Receive and Adopt the UK Annual Report and Accounts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62</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8020" w:type="dxa"/>
            <w:vAlign w:val="bottom"/>
            <w:gridSpan w:val="4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No. 8 Re-appointment of PricewaterhouseCoopers LLP as the Company’s UK Statutory</w:t>
              </w:r>
            </w:hyperlink>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4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Auditor</w:t>
              </w:r>
            </w:hyperlink>
          </w:p>
        </w:tc>
        <w:tc>
          <w:tcPr>
            <w:tcW w:w="70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140" w:type="dxa"/>
            <w:vAlign w:val="bottom"/>
            <w:tcBorders>
              <w:bottom w:val="single" w:sz="8" w:color="0000EE"/>
            </w:tcBorders>
            <w:gridSpan w:val="38"/>
            <w:shd w:val="clear" w:color="auto" w:fill="CCEEFF"/>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Proposal No. 9 Authorization of the Directors and /or the Audit and Compliance Committee to</w:t>
              </w:r>
            </w:hyperlink>
          </w:p>
        </w:tc>
        <w:tc>
          <w:tcPr>
            <w:tcW w:w="88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0000EE"/>
            </w:tcBorders>
            <w:gridSpan w:val="35"/>
            <w:shd w:val="clear" w:color="auto" w:fill="CCEEFF"/>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Determine the Remuneration of PwC UK in its Capacity as UK Statutory Auditor</w:t>
              </w:r>
            </w:hyperlink>
          </w:p>
        </w:tc>
        <w:tc>
          <w:tcPr>
            <w:tcW w:w="1680" w:type="dxa"/>
            <w:vAlign w:val="bottom"/>
            <w:tcBorders>
              <w:bottom w:val="single" w:sz="8" w:color="CCEEFF"/>
            </w:tcBorders>
            <w:gridSpan w:val="5"/>
            <w:shd w:val="clear" w:color="auto" w:fill="CCEEFF"/>
          </w:tcPr>
          <w:p>
            <w:pPr>
              <w:spacing w:after="0"/>
              <w:rPr>
                <w:sz w:val="20"/>
                <w:szCs w:val="20"/>
                <w:color w:val="auto"/>
              </w:rPr>
            </w:pPr>
          </w:p>
        </w:tc>
        <w:tc>
          <w:tcPr>
            <w:tcW w:w="18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c>
          <w:tcPr>
            <w:tcW w:w="1260" w:type="dxa"/>
            <w:vAlign w:val="bottom"/>
          </w:tcPr>
          <w:p>
            <w:pPr>
              <w:spacing w:after="0"/>
              <w:rPr>
                <w:sz w:val="20"/>
                <w:szCs w:val="20"/>
                <w:color w:val="auto"/>
              </w:rPr>
            </w:pPr>
          </w:p>
        </w:tc>
      </w:tr>
      <w:tr>
        <w:trPr>
          <w:trHeight w:val="230"/>
        </w:trPr>
        <w:tc>
          <w:tcPr>
            <w:tcW w:w="1260" w:type="dxa"/>
            <w:vAlign w:val="bottom"/>
          </w:tcPr>
          <w:p>
            <w:pPr>
              <w:spacing w:after="0"/>
              <w:rPr>
                <w:sz w:val="19"/>
                <w:szCs w:val="19"/>
                <w:color w:val="auto"/>
              </w:rPr>
            </w:pPr>
          </w:p>
        </w:tc>
        <w:tc>
          <w:tcPr>
            <w:tcW w:w="8020" w:type="dxa"/>
            <w:vAlign w:val="bottom"/>
            <w:gridSpan w:val="4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General Matters</w:t>
              </w:r>
            </w:hyperlink>
          </w:p>
        </w:tc>
        <w:tc>
          <w:tcPr>
            <w:tcW w:w="180" w:type="dxa"/>
            <w:vAlign w:val="bottom"/>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Shareholder Proposals for the 2022 AGM</w:t>
              </w:r>
            </w:hyperlink>
          </w:p>
        </w:tc>
        <w:tc>
          <w:tcPr>
            <w:tcW w:w="470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Saving Resources: Householding and Electronic Communications</w:t>
              </w:r>
            </w:hyperlink>
          </w:p>
        </w:tc>
        <w:tc>
          <w:tcPr>
            <w:tcW w:w="180" w:type="dxa"/>
            <w:vAlign w:val="bottom"/>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Annual Reports and Proxy Materials</w:t>
              </w:r>
            </w:hyperlink>
          </w:p>
        </w:tc>
        <w:tc>
          <w:tcPr>
            <w:tcW w:w="5080" w:type="dxa"/>
            <w:vAlign w:val="bottom"/>
            <w:tcBorders>
              <w:bottom w:val="single" w:sz="8" w:color="CCEEFF"/>
            </w:tcBorders>
            <w:gridSpan w:val="2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Expenses of Solicitation</w:t>
              </w:r>
            </w:hyperlink>
          </w:p>
        </w:tc>
        <w:tc>
          <w:tcPr>
            <w:tcW w:w="180" w:type="dxa"/>
            <w:vAlign w:val="bottom"/>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0000EE"/>
            </w:tcBorders>
            <w:gridSpan w:val="29"/>
            <w:shd w:val="clear" w:color="auto" w:fill="CCEEFF"/>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Frequently Asked Questions About the Annual General Meeting</w:t>
              </w:r>
            </w:hyperlink>
          </w:p>
        </w:tc>
        <w:tc>
          <w:tcPr>
            <w:tcW w:w="298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gridSpan w:val="4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Business</w:t>
              </w:r>
            </w:hyperlink>
          </w:p>
        </w:tc>
        <w:tc>
          <w:tcPr>
            <w:tcW w:w="180" w:type="dxa"/>
            <w:vAlign w:val="bottom"/>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c>
          <w:tcPr>
            <w:tcW w:w="1260" w:type="dxa"/>
            <w:vAlign w:val="bottom"/>
          </w:tcPr>
          <w:p>
            <w:pPr>
              <w:spacing w:after="0"/>
              <w:rPr>
                <w:sz w:val="19"/>
                <w:szCs w:val="19"/>
                <w:color w:val="auto"/>
              </w:rPr>
            </w:pPr>
          </w:p>
        </w:tc>
      </w:tr>
      <w:tr>
        <w:trPr>
          <w:trHeight w:val="257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Proxy Summary</w:t>
      </w:r>
    </w:p>
    <w:p>
      <w:pPr>
        <w:spacing w:after="0" w:line="162" w:lineRule="exact"/>
        <w:rPr>
          <w:sz w:val="20"/>
          <w:szCs w:val="20"/>
          <w:color w:val="auto"/>
        </w:rPr>
      </w:pPr>
    </w:p>
    <w:p>
      <w:pPr>
        <w:jc w:val="both"/>
        <w:ind w:left="1280" w:right="679" w:firstLine="360"/>
        <w:spacing w:after="0" w:line="286" w:lineRule="auto"/>
        <w:rPr>
          <w:sz w:val="20"/>
          <w:szCs w:val="20"/>
          <w:color w:val="auto"/>
        </w:rPr>
      </w:pPr>
      <w:r>
        <w:rPr>
          <w:rFonts w:ascii="Arial" w:cs="Arial" w:eastAsia="Arial" w:hAnsi="Arial"/>
          <w:sz w:val="17"/>
          <w:szCs w:val="17"/>
          <w:color w:val="auto"/>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First and foremost, please vote. Your vote and participation are very important to us.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2021 Annual General Meeting of Shareholders</w:t>
      </w:r>
    </w:p>
    <w:p>
      <w:pPr>
        <w:spacing w:after="0" w:line="162"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Date and Time:</w:t>
      </w:r>
      <w:r>
        <w:rPr>
          <w:sz w:val="20"/>
          <w:szCs w:val="20"/>
          <w:color w:val="auto"/>
        </w:rPr>
        <w:tab/>
      </w:r>
      <w:r>
        <w:rPr>
          <w:rFonts w:ascii="Arial" w:cs="Arial" w:eastAsia="Arial" w:hAnsi="Arial"/>
          <w:sz w:val="16"/>
          <w:szCs w:val="16"/>
          <w:color w:val="auto"/>
        </w:rPr>
        <w:t>Wednesday, June 9, 2021at 13:00 (Local Time in London)</w:t>
      </w:r>
    </w:p>
    <w:p>
      <w:pPr>
        <w:spacing w:after="0" w:line="158"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Virtually on the internet at www.meetingcenter.io/282913758 (password: LIVN2021)</w:t>
      </w:r>
    </w:p>
    <w:p>
      <w:pPr>
        <w:spacing w:after="0" w:line="158"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Record Date:</w:t>
      </w:r>
      <w:r>
        <w:rPr>
          <w:sz w:val="20"/>
          <w:szCs w:val="20"/>
          <w:color w:val="auto"/>
        </w:rPr>
        <w:tab/>
      </w:r>
      <w:r>
        <w:rPr>
          <w:rFonts w:ascii="Arial" w:cs="Arial" w:eastAsia="Arial" w:hAnsi="Arial"/>
          <w:sz w:val="17"/>
          <w:szCs w:val="17"/>
          <w:color w:val="auto"/>
        </w:rPr>
        <w:t>April 22, 2021</w:t>
      </w:r>
    </w:p>
    <w:p>
      <w:pPr>
        <w:spacing w:after="0" w:line="144"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Mailing Date:</w:t>
      </w:r>
      <w:r>
        <w:rPr>
          <w:sz w:val="20"/>
          <w:szCs w:val="20"/>
          <w:color w:val="auto"/>
        </w:rPr>
        <w:tab/>
      </w:r>
      <w:r>
        <w:rPr>
          <w:rFonts w:ascii="Arial" w:cs="Arial" w:eastAsia="Arial" w:hAnsi="Arial"/>
          <w:sz w:val="17"/>
          <w:szCs w:val="17"/>
          <w:color w:val="auto"/>
        </w:rPr>
        <w:t>April 30, 2021</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Voting Methods and Deadlines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 advance:</w:t>
      </w:r>
    </w:p>
    <w:p>
      <w:pPr>
        <w:spacing w:after="0" w:line="198"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ind w:left="2220" w:right="499"/>
        <w:spacing w:after="0" w:line="260" w:lineRule="auto"/>
        <w:rPr>
          <w:sz w:val="20"/>
          <w:szCs w:val="20"/>
          <w:color w:val="auto"/>
        </w:rPr>
      </w:pPr>
      <w:r>
        <w:rPr>
          <w:rFonts w:ascii="Arial" w:cs="Arial" w:eastAsia="Arial" w:hAnsi="Arial"/>
          <w:sz w:val="18"/>
          <w:szCs w:val="18"/>
          <w:color w:val="auto"/>
        </w:rPr>
        <w:t>www.meetingcenter.io/282913758 (password: LIVN2021) or as directed by your broker, as the case may be</w:t>
      </w:r>
    </w:p>
    <w:p>
      <w:pPr>
        <w:spacing w:after="0" w:line="73"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Telephone</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Call the number on your proxy card</w:t>
      </w:r>
    </w:p>
    <w:p>
      <w:pPr>
        <w:spacing w:after="0" w:line="13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By mail</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 date and return your proxy card in the enclosed envelope</w:t>
      </w:r>
    </w:p>
    <w:p>
      <w:pPr>
        <w:spacing w:after="0" w:line="315"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 xml:space="preserve">At the meeting:  </w:t>
      </w:r>
      <w:r>
        <w:rPr>
          <w:rFonts w:ascii="Arial" w:cs="Arial" w:eastAsia="Arial" w:hAnsi="Arial"/>
          <w:sz w:val="17"/>
          <w:szCs w:val="17"/>
          <w:color w:val="auto"/>
        </w:rPr>
        <w:t>Attend virtually at www.meetingcenter.io/282913758 (password: LIVN2021)</w:t>
      </w: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Questions and Answers About Attending our AGM and Voting</w:t>
      </w:r>
    </w:p>
    <w:p>
      <w:pPr>
        <w:spacing w:after="0" w:line="148" w:lineRule="exact"/>
        <w:rPr>
          <w:sz w:val="20"/>
          <w:szCs w:val="20"/>
          <w:color w:val="auto"/>
        </w:rPr>
      </w:pPr>
    </w:p>
    <w:p>
      <w:pPr>
        <w:ind w:left="1280" w:right="51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Please review the questions and answers about our AGM and voting beginning on page </w:t>
      </w:r>
      <w:hyperlink w:anchor="page72">
        <w:r>
          <w:rPr>
            <w:rFonts w:ascii="Arial" w:cs="Arial" w:eastAsia="Arial" w:hAnsi="Arial"/>
            <w:sz w:val="18"/>
            <w:szCs w:val="18"/>
            <w:u w:val="single" w:color="auto"/>
            <w:color w:val="0000EE"/>
          </w:rPr>
          <w:t>66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help you vote and be aware of what you need to do to attend the AGM virtually. Please note that if you hold your shares through an intermediary, such as a bank or broker, you must obtain a legal proxy from your intermediary and then register in advance to attend the AGM virtually on the internet.</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Board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For More</w:t>
            </w:r>
          </w:p>
        </w:tc>
      </w:tr>
      <w:tr>
        <w:trPr>
          <w:trHeight w:val="186"/>
        </w:trPr>
        <w:tc>
          <w:tcPr>
            <w:tcW w:w="5820" w:type="dxa"/>
            <w:vAlign w:val="bottom"/>
            <w:gridSpan w:val="13"/>
          </w:tcPr>
          <w:p>
            <w:pPr>
              <w:spacing w:after="0"/>
              <w:rPr>
                <w:sz w:val="20"/>
                <w:szCs w:val="20"/>
                <w:color w:val="auto"/>
              </w:rPr>
            </w:pPr>
            <w:r>
              <w:rPr>
                <w:rFonts w:ascii="Arial" w:cs="Arial" w:eastAsia="Arial" w:hAnsi="Arial"/>
                <w:sz w:val="14"/>
                <w:szCs w:val="14"/>
                <w:b w:val="1"/>
                <w:bCs w:val="1"/>
                <w:color w:val="auto"/>
              </w:rPr>
              <w:t>Proposal</w:t>
            </w:r>
          </w:p>
        </w:tc>
        <w:tc>
          <w:tcPr>
            <w:tcW w:w="20" w:type="dxa"/>
            <w:vAlign w:val="bottom"/>
          </w:tcPr>
          <w:p>
            <w:pPr>
              <w:spacing w:after="0"/>
              <w:rPr>
                <w:sz w:val="16"/>
                <w:szCs w:val="16"/>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Recommendation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Information</w:t>
            </w:r>
          </w:p>
        </w:tc>
      </w:tr>
      <w:tr>
        <w:trPr>
          <w:trHeight w:val="25"/>
        </w:trPr>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6"/>
        </w:trPr>
        <w:tc>
          <w:tcPr>
            <w:tcW w:w="582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1 – To elect, by separate resolutions, the ten director nominees</w:t>
              </w:r>
            </w:hyperlink>
          </w:p>
        </w:tc>
        <w:tc>
          <w:tcPr>
            <w:tcW w:w="20" w:type="dxa"/>
            <w:vAlign w:val="bottom"/>
          </w:tcPr>
          <w:p>
            <w:pPr>
              <w:spacing w:after="0"/>
              <w:rPr>
                <w:sz w:val="17"/>
                <w:szCs w:val="17"/>
                <w:color w:val="auto"/>
              </w:rPr>
            </w:pPr>
          </w:p>
        </w:tc>
        <w:tc>
          <w:tcPr>
            <w:tcW w:w="1280" w:type="dxa"/>
            <w:vAlign w:val="bottom"/>
            <w:gridSpan w:val="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 all</w:t>
              </w:r>
            </w:hyperlink>
          </w:p>
        </w:tc>
        <w:tc>
          <w:tcPr>
            <w:tcW w:w="108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Page 6</w:t>
              </w:r>
            </w:hyperlink>
          </w:p>
        </w:tc>
      </w:tr>
      <w:tr>
        <w:trPr>
          <w:trHeight w:val="196"/>
        </w:trPr>
        <w:tc>
          <w:tcPr>
            <w:tcW w:w="4920" w:type="dxa"/>
            <w:vAlign w:val="bottom"/>
            <w:tcBorders>
              <w:top w:val="single" w:sz="8" w:color="0000EE"/>
            </w:tcBorders>
            <w:gridSpan w:val="5"/>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named in the Proxy Statement to hold office until the 2022 AGM</w:t>
              </w:r>
            </w:hyperlink>
          </w:p>
        </w:tc>
        <w:tc>
          <w:tcPr>
            <w:tcW w:w="480" w:type="dxa"/>
            <w:vAlign w:val="bottom"/>
            <w:tcBorders>
              <w:top w:val="single" w:sz="8" w:color="0000EE"/>
            </w:tcBorders>
            <w:gridSpan w:val="3"/>
          </w:tcPr>
          <w:p>
            <w:pPr>
              <w:spacing w:after="0"/>
              <w:rPr>
                <w:sz w:val="17"/>
                <w:szCs w:val="17"/>
                <w:color w:val="auto"/>
              </w:rPr>
            </w:pPr>
          </w:p>
        </w:tc>
        <w:tc>
          <w:tcPr>
            <w:tcW w:w="4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nominees</w:t>
              </w:r>
            </w:hyperlink>
          </w:p>
        </w:tc>
        <w:tc>
          <w:tcPr>
            <w:tcW w:w="520" w:type="dxa"/>
            <w:vAlign w:val="bottom"/>
            <w:gridSpan w:val="2"/>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4680" w:type="dxa"/>
            <w:vAlign w:val="bottom"/>
            <w:tcBorders>
              <w:top w:val="single" w:sz="8" w:color="0000EE"/>
            </w:tcBorders>
            <w:gridSpan w:val="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Proposal 2 – To approve, on an advisory basis, the Company’s</w:t>
              </w:r>
            </w:hyperlink>
          </w:p>
        </w:tc>
        <w:tc>
          <w:tcPr>
            <w:tcW w:w="240" w:type="dxa"/>
            <w:vAlign w:val="bottom"/>
            <w:tcBorders>
              <w:top w:val="single" w:sz="8" w:color="0000EE"/>
            </w:tcBorders>
          </w:tcPr>
          <w:p>
            <w:pPr>
              <w:spacing w:after="0"/>
              <w:rPr>
                <w:sz w:val="20"/>
                <w:szCs w:val="20"/>
                <w:color w:val="auto"/>
              </w:rPr>
            </w:pPr>
          </w:p>
        </w:tc>
        <w:tc>
          <w:tcPr>
            <w:tcW w:w="90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0000EE"/>
            </w:tcBorders>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580" w:type="dxa"/>
            <w:vAlign w:val="bottom"/>
            <w:gridSpan w:val="3"/>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Page 53</w:t>
              </w:r>
            </w:hyperlink>
          </w:p>
        </w:tc>
      </w:tr>
      <w:tr>
        <w:trPr>
          <w:trHeight w:val="196"/>
        </w:trPr>
        <w:tc>
          <w:tcPr>
            <w:tcW w:w="3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compensation of its named executive officers</w:t>
              </w:r>
            </w:hyperlink>
          </w:p>
        </w:tc>
        <w:tc>
          <w:tcPr>
            <w:tcW w:w="1260" w:type="dxa"/>
            <w:vAlign w:val="bottom"/>
            <w:tcBorders>
              <w:top w:val="single" w:sz="8" w:color="0000EE"/>
            </w:tcBorders>
          </w:tcPr>
          <w:p>
            <w:pPr>
              <w:spacing w:after="0"/>
              <w:rPr>
                <w:sz w:val="17"/>
                <w:szCs w:val="17"/>
                <w:color w:val="auto"/>
              </w:rPr>
            </w:pPr>
          </w:p>
        </w:tc>
        <w:tc>
          <w:tcPr>
            <w:tcW w:w="11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5560" w:type="dxa"/>
            <w:vAlign w:val="bottom"/>
            <w:gridSpan w:val="11"/>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Proposal 3 – To ratify the appointment of PricewaterhouseCoopers LLP, a</w:t>
              </w:r>
            </w:hyperlink>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Page 56</w:t>
              </w:r>
            </w:hyperlink>
          </w:p>
        </w:tc>
      </w:tr>
      <w:tr>
        <w:trPr>
          <w:trHeight w:val="196"/>
        </w:trPr>
        <w:tc>
          <w:tcPr>
            <w:tcW w:w="5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Delaware limited liability partnership, as the Company’s independent</w:t>
              </w:r>
            </w:hyperlink>
          </w:p>
        </w:tc>
        <w:tc>
          <w:tcPr>
            <w:tcW w:w="320" w:type="dxa"/>
            <w:vAlign w:val="bottom"/>
            <w:tcBorders>
              <w:top w:val="single" w:sz="8" w:color="0000EE"/>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registered public accountancy firm</w:t>
              </w:r>
            </w:hyperlink>
          </w:p>
        </w:tc>
        <w:tc>
          <w:tcPr>
            <w:tcW w:w="32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6"/>
        </w:trPr>
        <w:tc>
          <w:tcPr>
            <w:tcW w:w="5540" w:type="dxa"/>
            <w:vAlign w:val="bottom"/>
            <w:gridSpan w:val="10"/>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Proposal 4 – To grant authority to allot shares up to an aggregate nominal</w:t>
              </w:r>
            </w:hyperlink>
          </w:p>
        </w:tc>
        <w:tc>
          <w:tcPr>
            <w:tcW w:w="28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Page 57</w:t>
              </w:r>
            </w:hyperlink>
          </w:p>
        </w:tc>
      </w:tr>
      <w:tr>
        <w:trPr>
          <w:trHeight w:val="196"/>
        </w:trPr>
        <w:tc>
          <w:tcPr>
            <w:tcW w:w="554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 xml:space="preserve">amount of </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16,122,679 for a maximum period to end of the earlier of the</w:t>
              </w:r>
            </w:hyperlink>
          </w:p>
        </w:tc>
        <w:tc>
          <w:tcPr>
            <w:tcW w:w="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5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date of the 2022 AGM or fifteen (15) months from the date of the 2021</w:t>
              </w:r>
            </w:hyperlink>
          </w:p>
        </w:tc>
        <w:tc>
          <w:tcPr>
            <w:tcW w:w="120" w:type="dxa"/>
            <w:vAlign w:val="bottom"/>
            <w:tcBorders>
              <w:top w:val="single" w:sz="8" w:color="0000EE"/>
            </w:tcBorders>
            <w:gridSpan w:val="2"/>
          </w:tcPr>
          <w:p>
            <w:pPr>
              <w:spacing w:after="0"/>
              <w:rPr>
                <w:sz w:val="17"/>
                <w:szCs w:val="17"/>
                <w:color w:val="auto"/>
              </w:rPr>
            </w:pPr>
          </w:p>
        </w:tc>
        <w:tc>
          <w:tcPr>
            <w:tcW w:w="3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5820" w:type="dxa"/>
            <w:vAlign w:val="bottom"/>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AGM</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Board</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For More</w:t>
            </w:r>
          </w:p>
        </w:tc>
      </w:tr>
      <w:tr>
        <w:trPr>
          <w:trHeight w:val="186"/>
        </w:trPr>
        <w:tc>
          <w:tcPr>
            <w:tcW w:w="5820" w:type="dxa"/>
            <w:vAlign w:val="bottom"/>
            <w:gridSpan w:val="21"/>
          </w:tcPr>
          <w:p>
            <w:pPr>
              <w:spacing w:after="0"/>
              <w:rPr>
                <w:sz w:val="20"/>
                <w:szCs w:val="20"/>
                <w:color w:val="auto"/>
              </w:rPr>
            </w:pPr>
            <w:r>
              <w:rPr>
                <w:rFonts w:ascii="Arial" w:cs="Arial" w:eastAsia="Arial" w:hAnsi="Arial"/>
                <w:sz w:val="14"/>
                <w:szCs w:val="14"/>
                <w:b w:val="1"/>
                <w:bCs w:val="1"/>
                <w:color w:val="auto"/>
              </w:rPr>
              <w:t>Proposal</w:t>
            </w:r>
          </w:p>
        </w:tc>
        <w:tc>
          <w:tcPr>
            <w:tcW w:w="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Recommendation</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Information</w:t>
            </w:r>
          </w:p>
        </w:tc>
      </w:tr>
      <w:tr>
        <w:trPr>
          <w:trHeight w:val="26"/>
        </w:trPr>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6"/>
        </w:trPr>
        <w:tc>
          <w:tcPr>
            <w:tcW w:w="582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Proposal 5 – Special ResolutionTo grant power to disapply pre-emptive</w:t>
              </w:r>
            </w:hyperlink>
          </w:p>
        </w:tc>
        <w:tc>
          <w:tcPr>
            <w:tcW w:w="20" w:type="dxa"/>
            <w:vAlign w:val="bottom"/>
          </w:tcPr>
          <w:p>
            <w:pPr>
              <w:spacing w:after="0"/>
              <w:rPr>
                <w:sz w:val="17"/>
                <w:szCs w:val="17"/>
                <w:color w:val="auto"/>
              </w:rPr>
            </w:pPr>
          </w:p>
        </w:tc>
        <w:tc>
          <w:tcPr>
            <w:tcW w:w="1280" w:type="dxa"/>
            <w:vAlign w:val="bottom"/>
            <w:gridSpan w:val="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Page 58</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rights when the Board allots (issues) shares for cash:</w:t>
              </w:r>
            </w:hyperlink>
          </w:p>
        </w:tc>
        <w:tc>
          <w:tcPr>
            <w:tcW w:w="18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31"/>
        </w:trPr>
        <w:tc>
          <w:tcPr>
            <w:tcW w:w="5820" w:type="dxa"/>
            <w:vAlign w:val="bottom"/>
            <w:gridSpan w:val="21"/>
          </w:tcPr>
          <w:p>
            <w:pPr>
              <w:ind w:left="180"/>
              <w:spacing w:after="0"/>
              <w:rPr>
                <w:rFonts w:ascii="Arial" w:cs="Arial" w:eastAsia="Arial" w:hAnsi="Arial"/>
                <w:sz w:val="18"/>
                <w:szCs w:val="18"/>
                <w:color w:val="0000EE"/>
              </w:rPr>
            </w:pPr>
            <w:hyperlink w:anchor="page64">
              <w:r>
                <w:rPr>
                  <w:rFonts w:ascii="Arial" w:cs="Arial" w:eastAsia="Arial" w:hAnsi="Arial"/>
                  <w:sz w:val="18"/>
                  <w:szCs w:val="18"/>
                  <w:color w:val="0000EE"/>
                </w:rPr>
                <w:t xml:space="preserve">(a)  up to an aggregate nominal amount of </w:t>
              </w:r>
              <w:r>
                <w:rPr>
                  <w:rFonts w:ascii="Arial" w:cs="Arial" w:eastAsia="Arial" w:hAnsi="Arial"/>
                  <w:sz w:val="18"/>
                  <w:szCs w:val="18"/>
                  <w:u w:val="single" w:color="auto"/>
                  <w:color w:val="0000EE"/>
                </w:rPr>
                <w:t>£</w:t>
              </w:r>
              <w:r>
                <w:rPr>
                  <w:rFonts w:ascii="Arial" w:cs="Arial" w:eastAsia="Arial" w:hAnsi="Arial"/>
                  <w:sz w:val="18"/>
                  <w:szCs w:val="18"/>
                  <w:color w:val="0000EE"/>
                </w:rPr>
                <w:t>2,442,830 for any purpose</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and</w:t>
              </w:r>
            </w:hyperlink>
          </w:p>
        </w:tc>
        <w:tc>
          <w:tcPr>
            <w:tcW w:w="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54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4"/>
        </w:trPr>
        <w:tc>
          <w:tcPr>
            <w:tcW w:w="5820" w:type="dxa"/>
            <w:vAlign w:val="bottom"/>
            <w:gridSpan w:val="21"/>
          </w:tcPr>
          <w:p>
            <w:pPr>
              <w:ind w:left="180"/>
              <w:spacing w:after="0"/>
              <w:rPr>
                <w:rFonts w:ascii="Arial" w:cs="Arial" w:eastAsia="Arial" w:hAnsi="Arial"/>
                <w:sz w:val="18"/>
                <w:szCs w:val="18"/>
                <w:color w:val="0000EE"/>
              </w:rPr>
            </w:pPr>
            <w:hyperlink w:anchor="page64">
              <w:r>
                <w:rPr>
                  <w:rFonts w:ascii="Arial" w:cs="Arial" w:eastAsia="Arial" w:hAnsi="Arial"/>
                  <w:sz w:val="18"/>
                  <w:szCs w:val="18"/>
                  <w:color w:val="0000EE"/>
                </w:rPr>
                <w:t>(b)  (in addition to the amount set out under (a) above), up to an</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 xml:space="preserve">aggregate nominal amount of </w:t>
              </w:r>
              <w:r>
                <w:rPr>
                  <w:rFonts w:ascii="Arial" w:cs="Arial" w:eastAsia="Arial" w:hAnsi="Arial"/>
                  <w:sz w:val="18"/>
                  <w:szCs w:val="18"/>
                  <w:u w:val="single" w:color="auto"/>
                  <w:color w:val="0000EE"/>
                </w:rPr>
                <w:t>£</w:t>
              </w:r>
              <w:r>
                <w:rPr>
                  <w:rFonts w:ascii="Arial" w:cs="Arial" w:eastAsia="Arial" w:hAnsi="Arial"/>
                  <w:sz w:val="18"/>
                  <w:szCs w:val="18"/>
                  <w:color w:val="0000EE"/>
                </w:rPr>
                <w:t>2,442,830 to be used only for the</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purposes of financing an acquisition or other capital investment.</w:t>
              </w:r>
            </w:hyperlink>
          </w:p>
        </w:tc>
        <w:tc>
          <w:tcPr>
            <w:tcW w:w="4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64"/>
        </w:trPr>
        <w:tc>
          <w:tcPr>
            <w:tcW w:w="582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Proposal 6 – To approve, on an advisory basis, the UK directors’</w:t>
              </w:r>
            </w:hyperlink>
          </w:p>
        </w:tc>
        <w:tc>
          <w:tcPr>
            <w:tcW w:w="20" w:type="dxa"/>
            <w:vAlign w:val="bottom"/>
          </w:tcPr>
          <w:p>
            <w:pPr>
              <w:spacing w:after="0"/>
              <w:rPr>
                <w:sz w:val="22"/>
                <w:szCs w:val="22"/>
                <w:color w:val="auto"/>
              </w:rPr>
            </w:pPr>
          </w:p>
        </w:tc>
        <w:tc>
          <w:tcPr>
            <w:tcW w:w="128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Page 61</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remuneration report in the form set out in the Company’s UK annual</w:t>
              </w:r>
            </w:hyperlink>
          </w:p>
        </w:tc>
        <w:tc>
          <w:tcPr>
            <w:tcW w:w="6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4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report and accounts for the period ended December 31, 2020</w:t>
              </w:r>
            </w:hyperlink>
          </w:p>
        </w:tc>
        <w:tc>
          <w:tcPr>
            <w:tcW w:w="12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5360" w:type="dxa"/>
            <w:vAlign w:val="bottom"/>
            <w:gridSpan w:val="1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Proposal 7 – To receive and adopt the Company’s audited UK statutory</w:t>
              </w:r>
            </w:hyperlink>
          </w:p>
        </w:tc>
        <w:tc>
          <w:tcPr>
            <w:tcW w:w="460" w:type="dxa"/>
            <w:vAlign w:val="bottom"/>
            <w:gridSpan w:val="7"/>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Page 62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20" w:type="dxa"/>
            <w:vAlign w:val="bottom"/>
            <w:gridSpan w:val="21"/>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accounts for the year ended December 31, 2020, together with the reports</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of the directors and auditors thereon</w:t>
              </w:r>
            </w:hyperlink>
          </w:p>
        </w:tc>
        <w:tc>
          <w:tcPr>
            <w:tcW w:w="2800" w:type="dxa"/>
            <w:vAlign w:val="bottom"/>
            <w:tcBorders>
              <w:top w:val="single" w:sz="8" w:color="0000EE"/>
            </w:tcBorders>
            <w:gridSpan w:val="10"/>
          </w:tcPr>
          <w:p>
            <w:pPr>
              <w:spacing w:after="0"/>
              <w:rPr>
                <w:sz w:val="17"/>
                <w:szCs w:val="17"/>
                <w:color w:val="auto"/>
              </w:rPr>
            </w:pPr>
          </w:p>
        </w:tc>
        <w:tc>
          <w:tcPr>
            <w:tcW w:w="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58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8 – To re-appoint PricewaterhouseCoopers LLP, a limited</w:t>
              </w:r>
            </w:hyperlink>
          </w:p>
        </w:tc>
        <w:tc>
          <w:tcPr>
            <w:tcW w:w="20" w:type="dxa"/>
            <w:vAlign w:val="bottom"/>
          </w:tcPr>
          <w:p>
            <w:pPr>
              <w:spacing w:after="0"/>
              <w:rPr>
                <w:sz w:val="20"/>
                <w:szCs w:val="20"/>
                <w:color w:val="auto"/>
              </w:rPr>
            </w:pPr>
          </w:p>
        </w:tc>
        <w:tc>
          <w:tcPr>
            <w:tcW w:w="128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Page 63</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780" w:type="dxa"/>
            <w:vAlign w:val="bottom"/>
            <w:gridSpan w:val="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partnership organized under the laws of England, as the Company’s UK</w:t>
              </w:r>
            </w:hyperlink>
          </w:p>
        </w:tc>
        <w:tc>
          <w:tcPr>
            <w:tcW w:w="4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statutory auditor</w:t>
              </w:r>
            </w:hyperlink>
          </w:p>
        </w:tc>
        <w:tc>
          <w:tcPr>
            <w:tcW w:w="458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5460" w:type="dxa"/>
            <w:vAlign w:val="bottom"/>
            <w:gridSpan w:val="17"/>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Proposal 9 – To authorize the directors and/or the Audit and Compliance</w:t>
              </w:r>
            </w:hyperlink>
          </w:p>
        </w:tc>
        <w:tc>
          <w:tcPr>
            <w:tcW w:w="36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w:t>
              </w:r>
              <w:r>
                <w:rPr>
                  <w:rFonts w:ascii="Arial" w:cs="Arial" w:eastAsia="Arial" w:hAnsi="Arial"/>
                  <w:sz w:val="18"/>
                  <w:szCs w:val="18"/>
                  <w:b w:val="1"/>
                  <w:bCs w:val="1"/>
                  <w:color w:val="0000EE"/>
                </w:rPr>
                <w:t>FOR</w:t>
              </w:r>
              <w:r>
                <w:rPr>
                  <w:rFonts w:ascii="Arial" w:cs="Arial" w:eastAsia="Arial" w:hAnsi="Arial"/>
                  <w:sz w:val="18"/>
                  <w:szCs w:val="18"/>
                  <w:color w:val="0000EE"/>
                </w:rPr>
                <w:t>”</w:t>
              </w:r>
            </w:hyperlink>
          </w:p>
        </w:tc>
        <w:tc>
          <w:tcPr>
            <w:tcW w:w="1080" w:type="dxa"/>
            <w:vAlign w:val="bottom"/>
            <w:gridSpan w:val="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Page 64</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920" w:type="dxa"/>
            <w:vAlign w:val="bottom"/>
            <w:gridSpan w:val="1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820" w:type="dxa"/>
            <w:vAlign w:val="bottom"/>
            <w:gridSpan w:val="21"/>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Committee to determine the remuneration of the Company’s UK statutory</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auditor</w:t>
              </w:r>
            </w:hyperlink>
          </w:p>
        </w:tc>
        <w:tc>
          <w:tcPr>
            <w:tcW w:w="5020" w:type="dxa"/>
            <w:vAlign w:val="bottom"/>
            <w:tcBorders>
              <w:top w:val="single" w:sz="8" w:color="0000EE"/>
            </w:tcBorders>
            <w:gridSpan w:val="16"/>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4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ind w:left="1280" w:right="579" w:firstLine="3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You are being asked to vote, by separate ordinary resolutions, on the election of the following ten nominees, each for a one-year term. Election is by a majority of the votes cast. Detailed information about each Director’s background and skills begins on page </w:t>
      </w:r>
      <w:hyperlink w:anchor="page16">
        <w:r>
          <w:rPr>
            <w:rFonts w:ascii="Arial" w:cs="Arial" w:eastAsia="Arial" w:hAnsi="Arial"/>
            <w:sz w:val="18"/>
            <w:szCs w:val="18"/>
            <w:u w:val="single" w:color="auto"/>
            <w:color w:val="0000EE"/>
          </w:rPr>
          <w:t>10</w:t>
        </w:r>
      </w:hyperlink>
      <w:r>
        <w:rPr>
          <w:rFonts w:ascii="Arial" w:cs="Arial" w:eastAsia="Arial" w:hAnsi="Arial"/>
          <w:sz w:val="18"/>
          <w:szCs w:val="18"/>
          <w:color w:val="auto"/>
        </w:rPr>
        <w:t>.</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Director</w:t>
            </w: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Age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Since</w:t>
            </w:r>
          </w:p>
        </w:tc>
        <w:tc>
          <w:tcPr>
            <w:tcW w:w="3440" w:type="dxa"/>
            <w:vAlign w:val="bottom"/>
            <w:gridSpan w:val="2"/>
          </w:tcPr>
          <w:p>
            <w:pPr>
              <w:ind w:left="1080"/>
              <w:spacing w:after="0"/>
              <w:rPr>
                <w:sz w:val="20"/>
                <w:szCs w:val="20"/>
                <w:color w:val="auto"/>
              </w:rPr>
            </w:pPr>
            <w:r>
              <w:rPr>
                <w:rFonts w:ascii="Arial" w:cs="Arial" w:eastAsia="Arial" w:hAnsi="Arial"/>
                <w:sz w:val="14"/>
                <w:szCs w:val="14"/>
                <w:b w:val="1"/>
                <w:bCs w:val="1"/>
                <w:color w:val="auto"/>
              </w:rPr>
              <w:t>Principal Position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Independent</w:t>
            </w:r>
          </w:p>
        </w:tc>
      </w:tr>
      <w:tr>
        <w:trPr>
          <w:trHeight w:val="25"/>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236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360" w:type="dxa"/>
            <w:vAlign w:val="bottom"/>
          </w:tcPr>
          <w:p>
            <w:pPr>
              <w:ind w:left="10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Chair, Seven Capital Partners S.r.l.</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360" w:type="dxa"/>
            <w:vAlign w:val="bottom"/>
            <w:gridSpan w:val="2"/>
          </w:tcPr>
          <w:p>
            <w:pPr>
              <w:spacing w:after="0"/>
              <w:rPr>
                <w:sz w:val="20"/>
                <w:szCs w:val="20"/>
                <w:color w:val="auto"/>
              </w:rPr>
            </w:pPr>
            <w:r>
              <w:rPr>
                <w:rFonts w:ascii="Arial" w:cs="Arial" w:eastAsia="Arial" w:hAnsi="Arial"/>
                <w:sz w:val="18"/>
                <w:szCs w:val="18"/>
                <w:color w:val="auto"/>
              </w:rPr>
              <w:t>Stacy Enxing Seng</w:t>
            </w:r>
          </w:p>
        </w:tc>
        <w:tc>
          <w:tcPr>
            <w:tcW w:w="360" w:type="dxa"/>
            <w:vAlign w:val="bottom"/>
          </w:tcPr>
          <w:p>
            <w:pPr>
              <w:ind w:left="1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Venture Partner, Lightstone Ventures</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William Kozy</w:t>
            </w:r>
          </w:p>
        </w:tc>
        <w:tc>
          <w:tcPr>
            <w:tcW w:w="360" w:type="dxa"/>
            <w:vAlign w:val="bottom"/>
          </w:tcPr>
          <w:p>
            <w:pPr>
              <w:ind w:left="10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Retired, EVP and COO, Becton,</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Dickinson and Company</w:t>
            </w:r>
          </w:p>
        </w:tc>
        <w:tc>
          <w:tcPr>
            <w:tcW w:w="860" w:type="dxa"/>
            <w:vAlign w:val="bottom"/>
          </w:tcPr>
          <w:p>
            <w:pPr>
              <w:spacing w:after="0"/>
              <w:rPr>
                <w:sz w:val="20"/>
                <w:szCs w:val="20"/>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color w:val="auto"/>
              </w:rPr>
              <w:t>Damien McDonald</w:t>
            </w:r>
          </w:p>
        </w:tc>
        <w:tc>
          <w:tcPr>
            <w:tcW w:w="360" w:type="dxa"/>
            <w:vAlign w:val="bottom"/>
          </w:tcPr>
          <w:p>
            <w:pPr>
              <w:ind w:left="1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CEO, LivaNova</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2360" w:type="dxa"/>
            <w:vAlign w:val="bottom"/>
            <w:gridSpan w:val="2"/>
          </w:tcPr>
          <w:p>
            <w:pPr>
              <w:spacing w:after="0"/>
              <w:rPr>
                <w:sz w:val="20"/>
                <w:szCs w:val="20"/>
                <w:color w:val="auto"/>
              </w:rPr>
            </w:pPr>
            <w:r>
              <w:rPr>
                <w:rFonts w:ascii="Arial" w:cs="Arial" w:eastAsia="Arial" w:hAnsi="Arial"/>
                <w:sz w:val="18"/>
                <w:szCs w:val="18"/>
                <w:color w:val="auto"/>
              </w:rPr>
              <w:t>Daniel Moore</w:t>
            </w:r>
          </w:p>
        </w:tc>
        <w:tc>
          <w:tcPr>
            <w:tcW w:w="360" w:type="dxa"/>
            <w:vAlign w:val="bottom"/>
          </w:tcPr>
          <w:p>
            <w:pPr>
              <w:ind w:left="1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Chair of the Board; private investor</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color w:val="auto"/>
              </w:rPr>
              <w:t>Alfred Novak</w:t>
            </w:r>
          </w:p>
        </w:tc>
        <w:tc>
          <w:tcPr>
            <w:tcW w:w="360" w:type="dxa"/>
            <w:vAlign w:val="bottom"/>
          </w:tcPr>
          <w:p>
            <w:pPr>
              <w:ind w:left="10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Private investor</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42"/>
        </w:trPr>
        <w:tc>
          <w:tcPr>
            <w:tcW w:w="236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360" w:type="dxa"/>
            <w:vAlign w:val="bottom"/>
          </w:tcPr>
          <w:p>
            <w:pPr>
              <w:ind w:left="1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Entrepreneur in Residence, University</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College Dublin</w:t>
            </w:r>
          </w:p>
        </w:tc>
        <w:tc>
          <w:tcPr>
            <w:tcW w:w="860" w:type="dxa"/>
            <w:vAlign w:val="bottom"/>
          </w:tcPr>
          <w:p>
            <w:pPr>
              <w:spacing w:after="0"/>
              <w:rPr>
                <w:sz w:val="20"/>
                <w:szCs w:val="20"/>
                <w:color w:val="auto"/>
              </w:rPr>
            </w:pPr>
          </w:p>
        </w:tc>
      </w:tr>
      <w:tr>
        <w:trPr>
          <w:trHeight w:val="283"/>
        </w:trPr>
        <w:tc>
          <w:tcPr>
            <w:tcW w:w="2360" w:type="dxa"/>
            <w:vAlign w:val="bottom"/>
            <w:gridSpan w:val="2"/>
          </w:tcPr>
          <w:p>
            <w:pPr>
              <w:spacing w:after="0"/>
              <w:rPr>
                <w:sz w:val="20"/>
                <w:szCs w:val="20"/>
                <w:color w:val="auto"/>
              </w:rPr>
            </w:pPr>
            <w:r>
              <w:rPr>
                <w:rFonts w:ascii="Arial" w:cs="Arial" w:eastAsia="Arial" w:hAnsi="Arial"/>
                <w:sz w:val="18"/>
                <w:szCs w:val="18"/>
                <w:color w:val="auto"/>
              </w:rPr>
              <w:t>Arthur L. Rosenthal, Ph.D.</w:t>
            </w:r>
          </w:p>
        </w:tc>
        <w:tc>
          <w:tcPr>
            <w:tcW w:w="360" w:type="dxa"/>
            <w:vAlign w:val="bottom"/>
          </w:tcPr>
          <w:p>
            <w:pPr>
              <w:ind w:left="10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Retired CEO, EyeCue, Inc..</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42"/>
        </w:trPr>
        <w:tc>
          <w:tcPr>
            <w:tcW w:w="2360" w:type="dxa"/>
            <w:vAlign w:val="bottom"/>
            <w:gridSpan w:val="2"/>
          </w:tcPr>
          <w:p>
            <w:pPr>
              <w:spacing w:after="0"/>
              <w:rPr>
                <w:sz w:val="20"/>
                <w:szCs w:val="20"/>
                <w:color w:val="auto"/>
              </w:rPr>
            </w:pPr>
            <w:r>
              <w:rPr>
                <w:rFonts w:ascii="Arial" w:cs="Arial" w:eastAsia="Arial" w:hAnsi="Arial"/>
                <w:sz w:val="18"/>
                <w:szCs w:val="18"/>
                <w:color w:val="auto"/>
              </w:rPr>
              <w:t>Andrea Saia</w:t>
            </w:r>
          </w:p>
        </w:tc>
        <w:tc>
          <w:tcPr>
            <w:tcW w:w="360" w:type="dxa"/>
            <w:vAlign w:val="bottom"/>
          </w:tcPr>
          <w:p>
            <w:pPr>
              <w:ind w:left="10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Retired, Global Head of Vision Care,</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Alcon Division, Novartis AG</w:t>
            </w:r>
          </w:p>
        </w:tc>
        <w:tc>
          <w:tcPr>
            <w:tcW w:w="860" w:type="dxa"/>
            <w:vAlign w:val="bottom"/>
          </w:tcPr>
          <w:p>
            <w:pPr>
              <w:spacing w:after="0"/>
              <w:rPr>
                <w:sz w:val="20"/>
                <w:szCs w:val="20"/>
                <w:color w:val="auto"/>
              </w:rPr>
            </w:pPr>
          </w:p>
        </w:tc>
      </w:tr>
      <w:tr>
        <w:trPr>
          <w:trHeight w:val="256"/>
        </w:trPr>
        <w:tc>
          <w:tcPr>
            <w:tcW w:w="2360" w:type="dxa"/>
            <w:vAlign w:val="bottom"/>
            <w:gridSpan w:val="2"/>
          </w:tcPr>
          <w:p>
            <w:pPr>
              <w:spacing w:after="0"/>
              <w:rPr>
                <w:sz w:val="20"/>
                <w:szCs w:val="20"/>
                <w:color w:val="auto"/>
              </w:rPr>
            </w:pPr>
            <w:r>
              <w:rPr>
                <w:rFonts w:ascii="Arial" w:cs="Arial" w:eastAsia="Arial" w:hAnsi="Arial"/>
                <w:sz w:val="18"/>
                <w:szCs w:val="18"/>
                <w:color w:val="auto"/>
              </w:rPr>
              <w:t>Todd Schermerhorn</w:t>
            </w:r>
          </w:p>
        </w:tc>
        <w:tc>
          <w:tcPr>
            <w:tcW w:w="360" w:type="dxa"/>
            <w:vAlign w:val="bottom"/>
          </w:tcPr>
          <w:p>
            <w:pPr>
              <w:ind w:left="1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Retired, Senior Vice President and Chief</w:t>
            </w: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Financial Officer of C. R. Bard, Inc.,</w:t>
            </w:r>
          </w:p>
        </w:tc>
        <w:tc>
          <w:tcPr>
            <w:tcW w:w="860" w:type="dxa"/>
            <w:vAlign w:val="bottom"/>
          </w:tcPr>
          <w:p>
            <w:pPr>
              <w:spacing w:after="0"/>
              <w:rPr>
                <w:sz w:val="20"/>
                <w:szCs w:val="20"/>
                <w:color w:val="auto"/>
              </w:rPr>
            </w:pPr>
          </w:p>
        </w:tc>
      </w:tr>
    </w:tbl>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Executive Compensation Philosophy</w:t>
      </w:r>
    </w:p>
    <w:p>
      <w:pPr>
        <w:spacing w:after="0" w:line="148" w:lineRule="exact"/>
        <w:rPr>
          <w:sz w:val="20"/>
          <w:szCs w:val="20"/>
          <w:color w:val="auto"/>
        </w:rPr>
      </w:pPr>
    </w:p>
    <w:p>
      <w:pPr>
        <w:ind w:left="1280" w:right="399" w:firstLine="360"/>
        <w:spacing w:after="0" w:line="279" w:lineRule="auto"/>
        <w:rPr>
          <w:sz w:val="20"/>
          <w:szCs w:val="20"/>
          <w:color w:val="auto"/>
        </w:rPr>
      </w:pPr>
      <w:r>
        <w:rPr>
          <w:rFonts w:ascii="Arial" w:cs="Arial" w:eastAsia="Arial" w:hAnsi="Arial"/>
          <w:sz w:val="17"/>
          <w:szCs w:val="17"/>
          <w:color w:val="auto"/>
        </w:rPr>
        <w:t>Our market-competitive executive compensation program acts as an incentive for our named executive officers (“NEOs”) to perform at their highest level, take appropriate risks and drive shareholder return in the short and long term. Our executive compensation program aims to ensure that we recruit and retain key executive officers responsible for our success and align the interests of our executive officers, including our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99"/>
        <w:spacing w:after="0" w:line="277" w:lineRule="auto"/>
        <w:rPr>
          <w:sz w:val="20"/>
          <w:szCs w:val="20"/>
          <w:color w:val="auto"/>
        </w:rPr>
      </w:pPr>
      <w:r>
        <w:rPr>
          <w:rFonts w:ascii="Arial" w:cs="Arial" w:eastAsia="Arial" w:hAnsi="Arial"/>
          <w:sz w:val="18"/>
          <w:szCs w:val="18"/>
          <w:color w:val="auto"/>
        </w:rPr>
        <w:t>NEOs, with shareholders. To achieve these ends, the Compensation Committee structures the executive compensation program to:</w:t>
      </w:r>
    </w:p>
    <w:p>
      <w:pPr>
        <w:spacing w:after="0" w:line="62" w:lineRule="exact"/>
        <w:rPr>
          <w:sz w:val="20"/>
          <w:szCs w:val="20"/>
          <w:color w:val="auto"/>
        </w:rPr>
      </w:pPr>
    </w:p>
    <w:p>
      <w:pPr>
        <w:ind w:left="1820" w:right="49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Target NEO pay around the market median to attract, motivate and retain talented executive officers with the skills and experience to ensure our long-term success;</w:t>
      </w:r>
    </w:p>
    <w:p>
      <w:pPr>
        <w:spacing w:after="0" w:line="62" w:lineRule="exact"/>
        <w:rPr>
          <w:rFonts w:ascii="Arial" w:cs="Arial" w:eastAsia="Arial" w:hAnsi="Arial"/>
          <w:sz w:val="18"/>
          <w:szCs w:val="18"/>
          <w:color w:val="auto"/>
        </w:rPr>
      </w:pPr>
    </w:p>
    <w:p>
      <w:pPr>
        <w:ind w:left="1820" w:right="77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multiple pay and award vehicles that work together to reward performance and retain talent, while maintaining alignment with shareholder interests;</w:t>
      </w:r>
    </w:p>
    <w:p>
      <w:pPr>
        <w:spacing w:after="0" w:line="62" w:lineRule="exact"/>
        <w:rPr>
          <w:rFonts w:ascii="Arial" w:cs="Arial" w:eastAsia="Arial" w:hAnsi="Arial"/>
          <w:sz w:val="18"/>
          <w:szCs w:val="18"/>
          <w:color w:val="auto"/>
        </w:rPr>
      </w:pPr>
    </w:p>
    <w:p>
      <w:pPr>
        <w:ind w:left="1820" w:right="91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Reward individual performance with base salary and a cash-based short-term bonus ensuring a meaningful link to our operational performance and shareholder interests;</w:t>
      </w:r>
    </w:p>
    <w:p>
      <w:pPr>
        <w:spacing w:after="0" w:line="62" w:lineRule="exact"/>
        <w:rPr>
          <w:rFonts w:ascii="Arial" w:cs="Arial" w:eastAsia="Arial" w:hAnsi="Arial"/>
          <w:sz w:val="18"/>
          <w:szCs w:val="18"/>
          <w:color w:val="auto"/>
        </w:rPr>
      </w:pPr>
    </w:p>
    <w:p>
      <w:pPr>
        <w:ind w:left="1820" w:right="121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a substantial portion of each NEO’s compensation as variable pay contingent upon the achievement of our business objectives;</w:t>
      </w:r>
    </w:p>
    <w:p>
      <w:pPr>
        <w:spacing w:after="0" w:line="62" w:lineRule="exact"/>
        <w:rPr>
          <w:rFonts w:ascii="Arial" w:cs="Arial" w:eastAsia="Arial" w:hAnsi="Arial"/>
          <w:sz w:val="18"/>
          <w:szCs w:val="18"/>
          <w:color w:val="auto"/>
        </w:rPr>
      </w:pPr>
    </w:p>
    <w:p>
      <w:pPr>
        <w:ind w:left="1820" w:right="659" w:hanging="182"/>
        <w:spacing w:after="0" w:line="286"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57" w:lineRule="exact"/>
        <w:rPr>
          <w:rFonts w:ascii="Arial" w:cs="Arial" w:eastAsia="Arial" w:hAnsi="Arial"/>
          <w:sz w:val="17"/>
          <w:szCs w:val="17"/>
          <w:color w:val="auto"/>
        </w:rPr>
      </w:pPr>
    </w:p>
    <w:p>
      <w:pPr>
        <w:ind w:left="1820" w:right="77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NEOs to have a meaningful ownership interest in the Company with stock ownership guidelines;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Vest equity awards over time to promote retention;</w:t>
      </w:r>
    </w:p>
    <w:p>
      <w:pPr>
        <w:spacing w:after="0" w:line="117" w:lineRule="exact"/>
        <w:rPr>
          <w:rFonts w:ascii="Arial" w:cs="Arial" w:eastAsia="Arial" w:hAnsi="Arial"/>
          <w:sz w:val="18"/>
          <w:szCs w:val="18"/>
          <w:color w:val="auto"/>
        </w:rPr>
      </w:pPr>
    </w:p>
    <w:p>
      <w:pPr>
        <w:ind w:left="1820" w:right="81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the LivaNova Compensation Recoupment Policy, which provides for the clawback of awards in specified situations, in our award agreements; and</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Work with an independent compensation consultant to ensure our program is meeting its goals.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This proxy statement contains forward-looking statements within the meaning of the United States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Resolutions and Voting</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Voting on a Poll</w:t>
      </w:r>
    </w:p>
    <w:p>
      <w:pPr>
        <w:spacing w:after="0" w:line="158" w:lineRule="exact"/>
        <w:rPr>
          <w:sz w:val="20"/>
          <w:szCs w:val="20"/>
          <w:color w:val="auto"/>
        </w:rPr>
      </w:pPr>
    </w:p>
    <w:p>
      <w:pPr>
        <w:ind w:left="1280" w:right="559" w:firstLine="360"/>
        <w:spacing w:after="0" w:line="277" w:lineRule="auto"/>
        <w:rPr>
          <w:sz w:val="20"/>
          <w:szCs w:val="20"/>
          <w:color w:val="auto"/>
        </w:rPr>
      </w:pPr>
      <w:r>
        <w:rPr>
          <w:rFonts w:ascii="Arial" w:cs="Arial" w:eastAsia="Arial" w:hAnsi="Arial"/>
          <w:sz w:val="18"/>
          <w:szCs w:val="18"/>
          <w:color w:val="auto"/>
        </w:rPr>
        <w:t>In accordance with best practice and our Articles of Association, all voting at the Company’s AGM is done on a poll and not on a show of hands.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Ordinary and Special Resolutions</w:t>
      </w:r>
    </w:p>
    <w:p>
      <w:pPr>
        <w:spacing w:after="0" w:line="158"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color w:val="auto"/>
        </w:rPr>
        <w:t>The Companies Act specifies a number of matters that must be effected by special resolution of a company’s shareholders. A resolution passed on a poll taken at a meeting is passed as a special resolution if it is passed by members representing 75% (or more) of the total voting rights of members who, being entitled to vote, do so virtually at the meeting, by proxy or in advance of the meeting. At the 2021 AGM, there is one special resolution to be voted upon (Proposal 5).</w:t>
      </w:r>
    </w:p>
    <w:p>
      <w:pPr>
        <w:spacing w:after="0" w:line="107" w:lineRule="exact"/>
        <w:rPr>
          <w:sz w:val="20"/>
          <w:szCs w:val="20"/>
          <w:color w:val="auto"/>
        </w:rPr>
      </w:pPr>
    </w:p>
    <w:p>
      <w:pPr>
        <w:ind w:left="1280" w:right="439" w:firstLine="360"/>
        <w:spacing w:after="0" w:line="263" w:lineRule="auto"/>
        <w:rPr>
          <w:sz w:val="20"/>
          <w:szCs w:val="20"/>
          <w:color w:val="auto"/>
        </w:rPr>
      </w:pPr>
      <w:r>
        <w:rPr>
          <w:rFonts w:ascii="Arial" w:cs="Arial" w:eastAsia="Arial" w:hAnsi="Arial"/>
          <w:sz w:val="18"/>
          <w:szCs w:val="18"/>
          <w:color w:val="auto"/>
        </w:rPr>
        <w:t>All other resolutions at the 2021 AGM are ordinary resolutions. These resolutions will pass on a poll at the AGM if members representing a simple majority of the total voting rights of members who, being entitled to vote, do so virtually at the meeting or by proxy or in advance of the meeting.</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Abstentions</w:t>
      </w:r>
    </w:p>
    <w:p>
      <w:pPr>
        <w:spacing w:after="0" w:line="158" w:lineRule="exact"/>
        <w:rPr>
          <w:sz w:val="20"/>
          <w:szCs w:val="20"/>
          <w:color w:val="auto"/>
        </w:rPr>
      </w:pPr>
    </w:p>
    <w:p>
      <w:pPr>
        <w:ind w:left="1280" w:right="599" w:firstLine="360"/>
        <w:spacing w:after="0" w:line="277" w:lineRule="auto"/>
        <w:rPr>
          <w:sz w:val="20"/>
          <w:szCs w:val="20"/>
          <w:color w:val="auto"/>
        </w:rPr>
      </w:pPr>
      <w:r>
        <w:rPr>
          <w:rFonts w:ascii="Arial" w:cs="Arial" w:eastAsia="Arial" w:hAnsi="Arial"/>
          <w:sz w:val="18"/>
          <w:szCs w:val="18"/>
          <w:color w:val="auto"/>
        </w:rPr>
        <w:t>Under English law, an abstention is not a vote in law and will not be counted in the calculation of the proportion of votes ‘for’ or ‘against’ the resolution.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Broker Non-Votes</w:t>
      </w:r>
    </w:p>
    <w:p>
      <w:pPr>
        <w:spacing w:after="0" w:line="158"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If you are a beneficial owner and hold shares through an account with a bank or broker, your shares may be voted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For example, the ratification of the selection of independent auditors is considered a routine matter, and the brokerage firm can vote for or against this resolution at its discretion, but the election of directors is not considered routine for these purposes. The only resolutions that are considered routine are the ratification of the selection of independent auditors for US purposes and re-appointment of independent auditors for UK purposes. All of our other resolutions at the 2021 AGM are non-routine matters.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Possible Selections on the Ballot</w:t>
      </w:r>
    </w:p>
    <w:p>
      <w:pPr>
        <w:spacing w:after="0" w:line="144" w:lineRule="exact"/>
        <w:rPr>
          <w:sz w:val="20"/>
          <w:szCs w:val="20"/>
          <w:color w:val="auto"/>
        </w:rPr>
      </w:pPr>
    </w:p>
    <w:p>
      <w:pPr>
        <w:ind w:left="1280" w:right="699" w:firstLine="360"/>
        <w:spacing w:after="0" w:line="263" w:lineRule="auto"/>
        <w:rPr>
          <w:sz w:val="20"/>
          <w:szCs w:val="20"/>
          <w:color w:val="auto"/>
        </w:rPr>
      </w:pPr>
      <w:r>
        <w:rPr>
          <w:rFonts w:ascii="Arial" w:cs="Arial" w:eastAsia="Arial" w:hAnsi="Arial"/>
          <w:sz w:val="18"/>
          <w:szCs w:val="18"/>
          <w:color w:val="auto"/>
        </w:rPr>
        <w:t>You can vote ‘for’ or ‘against’ a resolution. Each of these votes will have legal effect under English law in that they count as votes cast. An abstention, indicated by electing ‘abstain’ is not a vote under English law as indicated above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Proposal No. 1 Election of Directors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 of Directors’ (the “Board”) established process for director selection begins with an assessment of our strategic objectives and the skills, experience and qualifications needed to further those objectives. Through that process, the Board has determined that its nominees for election as directors at the 2021 AGM collectively represent the best mix of experience, qualifications and skills to further the long-term interests of all shareholders.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is unclassified. Directors are currently elected for one-year terms.</w:t>
      </w:r>
    </w:p>
    <w:p>
      <w:pPr>
        <w:spacing w:after="0" w:line="15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You are being asked to vote, by separate ordinary resolutions, on the election of the following ten director nominees, each for a one-year term. Election is by a majority of the votes cast in an uncontested election such as this one. In a contested election, directors are elected by a plurality of the votes case. Detailed information about each director nominee’s background, skill sets and areas of expertise can be found beginning on page 10.</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1371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Francesco Bianchi</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Stacy Enxing Seng</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Kozy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Daniel Moore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Alfred Novak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Sharon O’Kane, Ph.D.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Arthur L. Rosenthal, Ph.D.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Andrea Saia</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Todd Schermerhorn</w:t>
      </w:r>
    </w:p>
    <w:p>
      <w:pPr>
        <w:spacing w:after="0" w:line="171"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Each director nominee is elected by a simple majority of the total votes cast.</w:t>
      </w:r>
    </w:p>
    <w:p>
      <w:pPr>
        <w:spacing w:after="0" w:line="144"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election to the Board of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Board of Directors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Our Articles of Association provide that the number of directors shall be ten unless otherwise decided by the Board. Effective December 3, 2020, the Board appointed Todd Schermerhorn to serve as a director, temporarily giving the Board 11 members until the 2021 AGM. Hugh Morrison declared not to stand for re-election at the 2021 AGM. Upon the recommendation of our Nominating and Corporate Governance Committee, the Board has nominated the persons named under Proposal No. 1 to serve as directors until the 2022 AGM or their earlier resignation or removal. All directors are elected annually.</w:t>
      </w:r>
    </w:p>
    <w:p>
      <w:pPr>
        <w:spacing w:after="0" w:line="10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7"/>
          <w:szCs w:val="17"/>
          <w:color w:val="auto"/>
        </w:rPr>
        <w:t>With the exception of Mr. McDonald, our chief executive officer (“CEO”), each of the named nominees is independent under applicable rules of Nasdaq and the US Securities and Exchange Commission (“SEC”). Mr. Moore will rotate from the role of chair of the Board effective as of the 2021 AGM. If re-elected,</w:t>
      </w:r>
    </w:p>
    <w:p>
      <w:pPr>
        <w:ind w:left="1260" w:right="659"/>
        <w:spacing w:after="0" w:line="243" w:lineRule="auto"/>
        <w:rPr>
          <w:sz w:val="20"/>
          <w:szCs w:val="20"/>
          <w:color w:val="auto"/>
        </w:rPr>
      </w:pPr>
      <w:r>
        <w:rPr>
          <w:rFonts w:ascii="Arial" w:cs="Arial" w:eastAsia="Arial" w:hAnsi="Arial"/>
          <w:sz w:val="18"/>
          <w:szCs w:val="18"/>
          <w:color w:val="auto"/>
        </w:rPr>
        <w:t>Mr. Kozy will serve as the Company’s independent and non- executive chair of the Board and Ms. Enxing Seng will serve as the chair of the Compensation Committee following the 2021 AGM.</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Qualifications and Director Selection</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selection process for directors is set out in our Corporate Governance Guidelines and in the charter of the Nominating and Corporate Governance Committee. These documents are available at https://investor.livanova.com. The charter authorizes the Nominating and Corporate Governance Committee to determine the qualifications, qualities, skills and other expertise required to be a director but also sets out certain minimum qualification requirements:</w:t>
      </w:r>
    </w:p>
    <w:p>
      <w:pPr>
        <w:spacing w:after="0" w:line="68"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ethical behavior;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accomplishments within their respective fields;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relevant business and financial expertise and experience;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 business judgment; and</w:t>
      </w:r>
    </w:p>
    <w:p>
      <w:pPr>
        <w:spacing w:after="0" w:line="103"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diversity, including with respect to gender, race/ethnicity, geography, professional experience, skills and tenure.</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Board has not introduced term or age limits. While term limits may foster fresh ideas and viewpoints,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w:t>
      </w:r>
    </w:p>
    <w:p>
      <w:pPr>
        <w:spacing w:after="0" w:line="106"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December 2020, the Company updated its Corporate Governance Guidelines to provide that the Board will consider rotation of the chair of the Board and Committee chairs after a chair has served for approximately five successive years after balancing the benefits of rotation against the benefit of continuity, experience and expense.</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Nominating and Corporate Governance Committee conducts an annual skills analysis and considers that analysis in the context of the Company’s strategic plan in order to identify skills and expertise required to lead the Company now and in the future. It also considers the results of the Board and its committees’ annual self-assessments. These assessments are used to enhance the effectiveness of the Board and its committees. The assessments are also used to identify any further gaps as well as Board succession planning and ultimately determines the qualifications, qualities, skills and other expertise (in addition to the minimum requirements set out above) desired at this juncture in the Company’s development. The Nominating and Corporate Governance Committee then assesses all current directors who expressed an interest in being re-nominated as well as potential new candidates and makes its recommendation to the Board.</w:t>
      </w:r>
    </w:p>
    <w:p>
      <w:pPr>
        <w:spacing w:after="0" w:line="12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Nominating and Corporate Governance Committee may consider candidates for our Board from any reasonable source, including from a search firm engaged by the committee and shareholder recommendations subject to the procedures set forth below and the full procedures identified in our</w:t>
      </w: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Corporate Governance Guidelines. Any invitation to join our Board is extended by the Board and by the chair of the Nominating and Corporate Governance Committee.</w:t>
      </w:r>
    </w:p>
    <w:p>
      <w:pPr>
        <w:spacing w:after="0" w:line="8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 No shareholder nominees were submitted for consideration at the 2021 AGM.</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Nominees for consideration by the Nominating and Corporate Governance Committee may be sent in writing to the Office of the Company Secretary, by mail at 20 Eastbourne Terrace, London W2 6LG, United Kingdom, not less than 90 nor more than 120 days prior to the first anniversary of the AGM for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 Exchange Act of 1934, as amended (the “Exchange Act”), including such person’s written consent to be named in the proxy statement as a nominee and to serve as a director if elected. In addition, the nomination must include:</w:t>
      </w:r>
    </w:p>
    <w:p>
      <w:pPr>
        <w:spacing w:after="0" w:line="88" w:lineRule="exact"/>
        <w:rPr>
          <w:sz w:val="20"/>
          <w:szCs w:val="20"/>
          <w:color w:val="auto"/>
        </w:rPr>
      </w:pPr>
    </w:p>
    <w:p>
      <w:pPr>
        <w:ind w:left="1800" w:right="10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shareholder’s or shareholders’ name(s) and address(es) as they appear on the Company’s books;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and number of shares beneficially owned by the nominating shareholder(s);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shareholder(s), each proposed director nominee and any other person or persons (including their names) in connection with the nomination;</w:t>
      </w:r>
    </w:p>
    <w:p>
      <w:pPr>
        <w:spacing w:after="0" w:line="75" w:lineRule="exact"/>
        <w:rPr>
          <w:rFonts w:ascii="Arial" w:cs="Arial" w:eastAsia="Arial" w:hAnsi="Arial"/>
          <w:sz w:val="18"/>
          <w:szCs w:val="18"/>
          <w:color w:val="auto"/>
        </w:rPr>
      </w:pPr>
    </w:p>
    <w:p>
      <w:pPr>
        <w:ind w:left="1800" w:right="83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75"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known by the shareholder(s) giving notice, the name and address of any other shareholder(s) supporting the election of the nominee.</w:t>
      </w:r>
    </w:p>
    <w:p>
      <w:pPr>
        <w:spacing w:after="0" w:line="10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Additionally, under the Companies Act, certain shareholders may require us (i) to include a resolution in our notice of AGM or (ii) require us to include any matter (other than a proposed resolution) in the business to be dealt with at the AGM. Provided that the relevant criteria are met, notice of the resolution or matter must be received by the Company at the Office of the Company Secretary at 20 Eastbourne Terrace, London W2 6LG, United Kingdom at least six weeks prior to the date of the AGM or, if later, at the time notice of the AGM is delivered to shareholders.</w:t>
      </w:r>
    </w:p>
    <w:p>
      <w:pPr>
        <w:spacing w:after="0" w:line="111"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potential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Diversity and Tenure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enshrined in the charter of the Nominating and Corporate Governance Committee, the Board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are focused on ensuring a diverse Board. The ten director nominees consist of the following:</w:t>
      </w:r>
    </w:p>
    <w:p>
      <w:pPr>
        <w:spacing w:after="0" w:line="178" w:lineRule="exact"/>
        <w:rPr>
          <w:sz w:val="20"/>
          <w:szCs w:val="20"/>
          <w:color w:val="auto"/>
        </w:rPr>
      </w:pPr>
    </w:p>
    <w:p>
      <w:pPr>
        <w:ind w:left="2980"/>
        <w:spacing w:after="0"/>
        <w:tabs>
          <w:tab w:leader="none" w:pos="7040" w:val="left"/>
        </w:tabs>
        <w:rPr>
          <w:sz w:val="20"/>
          <w:szCs w:val="20"/>
          <w:color w:val="auto"/>
        </w:rPr>
      </w:pPr>
      <w:r>
        <w:rPr>
          <w:rFonts w:ascii="Arial" w:cs="Arial" w:eastAsia="Arial" w:hAnsi="Arial"/>
          <w:sz w:val="18"/>
          <w:szCs w:val="18"/>
          <w:b w:val="1"/>
          <w:bCs w:val="1"/>
          <w:color w:val="auto"/>
        </w:rPr>
        <w:t>Gender</w:t>
      </w:r>
      <w:r>
        <w:rPr>
          <w:sz w:val="20"/>
          <w:szCs w:val="20"/>
          <w:color w:val="auto"/>
        </w:rPr>
        <w:tab/>
      </w:r>
      <w:r>
        <w:rPr>
          <w:rFonts w:ascii="Arial" w:cs="Arial" w:eastAsia="Arial" w:hAnsi="Arial"/>
          <w:sz w:val="18"/>
          <w:szCs w:val="18"/>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51435</wp:posOffset>
            </wp:positionV>
            <wp:extent cx="5040630" cy="1491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4063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We believe that a variety of tenures provides an effective balance of deep knowledge of our business and industry and new perspectives. The tenure of the Board is as follows:</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137160</wp:posOffset>
            </wp:positionV>
            <wp:extent cx="3248660" cy="1259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866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Background Information Regarding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168910</wp:posOffset>
            </wp:positionV>
            <wp:extent cx="520319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FRANCESCO BIANCHI</w:t>
      </w:r>
    </w:p>
    <w:p>
      <w:pPr>
        <w:spacing w:after="0" w:line="9" w:lineRule="exact"/>
        <w:rPr>
          <w:sz w:val="20"/>
          <w:szCs w:val="20"/>
          <w:color w:val="auto"/>
        </w:rPr>
      </w:pPr>
    </w:p>
    <w:p>
      <w:pPr>
        <w:jc w:val="both"/>
        <w:ind w:left="2600" w:right="439"/>
        <w:spacing w:after="0" w:line="243" w:lineRule="auto"/>
        <w:rPr>
          <w:sz w:val="20"/>
          <w:szCs w:val="20"/>
          <w:color w:val="auto"/>
        </w:rPr>
      </w:pPr>
      <w:r>
        <w:rPr>
          <w:rFonts w:ascii="Arial" w:cs="Arial" w:eastAsia="Arial" w:hAnsi="Arial"/>
          <w:sz w:val="14"/>
          <w:szCs w:val="14"/>
          <w:b w:val="1"/>
          <w:bCs w:val="1"/>
          <w:color w:val="auto"/>
        </w:rPr>
        <w:t xml:space="preserve">Francesco Bianchi </w:t>
      </w:r>
      <w:r>
        <w:rPr>
          <w:rFonts w:ascii="Arial" w:cs="Arial" w:eastAsia="Arial" w:hAnsi="Arial"/>
          <w:sz w:val="14"/>
          <w:szCs w:val="14"/>
          <w:color w:val="auto"/>
        </w:rPr>
        <w:t>has served as the chair of Seven Capital Partners S.r.l., a financial consulting firm, since</w:t>
      </w:r>
      <w:r>
        <w:rPr>
          <w:rFonts w:ascii="Arial" w:cs="Arial" w:eastAsia="Arial" w:hAnsi="Arial"/>
          <w:sz w:val="14"/>
          <w:szCs w:val="14"/>
          <w:b w:val="1"/>
          <w:bCs w:val="1"/>
          <w:color w:val="auto"/>
        </w:rPr>
        <w:t xml:space="preserve"> </w:t>
      </w:r>
      <w:r>
        <w:rPr>
          <w:rFonts w:ascii="Arial" w:cs="Arial" w:eastAsia="Arial" w:hAnsi="Arial"/>
          <w:sz w:val="14"/>
          <w:szCs w:val="14"/>
          <w:color w:val="auto"/>
        </w:rPr>
        <w:t>June 2018. He previously served as the Chief Executive Officer of Seven Capital Partners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-822960</wp:posOffset>
            </wp:positionV>
            <wp:extent cx="5203190" cy="951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03190" cy="9512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78"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120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20"/>
                <w:szCs w:val="20"/>
                <w:color w:val="auto"/>
              </w:rPr>
            </w:pPr>
            <w:r>
              <w:rPr>
                <w:rFonts w:ascii="Arial" w:cs="Arial" w:eastAsia="Arial" w:hAnsi="Arial"/>
                <w:sz w:val="13"/>
                <w:szCs w:val="13"/>
                <w:b w:val="1"/>
                <w:bCs w:val="1"/>
                <w:color w:val="auto"/>
              </w:rPr>
              <w:t>INDEPENDENT</w:t>
            </w:r>
          </w:p>
        </w:tc>
        <w:tc>
          <w:tcPr>
            <w:tcW w:w="2520" w:type="dxa"/>
            <w:vAlign w:val="bottom"/>
          </w:tcPr>
          <w:p>
            <w:pPr>
              <w:ind w:left="80"/>
              <w:spacing w:after="0"/>
              <w:rPr>
                <w:sz w:val="20"/>
                <w:szCs w:val="20"/>
                <w:color w:val="auto"/>
              </w:rPr>
            </w:pPr>
            <w:r>
              <w:rPr>
                <w:rFonts w:ascii="Arial" w:cs="Arial" w:eastAsia="Arial" w:hAnsi="Arial"/>
                <w:sz w:val="14"/>
                <w:szCs w:val="14"/>
                <w:color w:val="auto"/>
                <w:w w:val="99"/>
              </w:rPr>
              <w:t>• Audit and Compliance; Compensation</w:t>
            </w: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0"/>
                <w:szCs w:val="20"/>
                <w:color w:val="auto"/>
              </w:rPr>
            </w:pPr>
            <w:r>
              <w:rPr>
                <w:rFonts w:ascii="Arial" w:cs="Arial" w:eastAsia="Arial" w:hAnsi="Arial"/>
                <w:sz w:val="13"/>
                <w:szCs w:val="13"/>
                <w:color w:val="auto"/>
              </w:rPr>
              <w:t>Age 64</w:t>
            </w:r>
          </w:p>
        </w:tc>
        <w:tc>
          <w:tcPr>
            <w:tcW w:w="25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Other Public Company Directorships:</w:t>
            </w: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200" w:type="dxa"/>
            <w:vAlign w:val="bottom"/>
          </w:tcPr>
          <w:p>
            <w:pPr>
              <w:spacing w:after="0" w:line="141" w:lineRule="exact"/>
              <w:rPr>
                <w:sz w:val="20"/>
                <w:szCs w:val="20"/>
                <w:color w:val="auto"/>
              </w:rPr>
            </w:pPr>
            <w:r>
              <w:rPr>
                <w:rFonts w:ascii="Arial" w:cs="Arial" w:eastAsia="Arial" w:hAnsi="Arial"/>
                <w:sz w:val="13"/>
                <w:szCs w:val="13"/>
                <w:color w:val="auto"/>
              </w:rPr>
              <w:t>Six years of service</w:t>
            </w:r>
          </w:p>
        </w:tc>
        <w:tc>
          <w:tcPr>
            <w:tcW w:w="2520" w:type="dxa"/>
            <w:vAlign w:val="bottom"/>
          </w:tcPr>
          <w:p>
            <w:pPr>
              <w:ind w:left="80"/>
              <w:spacing w:after="0" w:line="141" w:lineRule="exact"/>
              <w:rPr>
                <w:sz w:val="20"/>
                <w:szCs w:val="20"/>
                <w:color w:val="auto"/>
              </w:rPr>
            </w:pPr>
            <w:r>
              <w:rPr>
                <w:rFonts w:ascii="Arial" w:cs="Arial" w:eastAsia="Arial" w:hAnsi="Arial"/>
                <w:sz w:val="14"/>
                <w:szCs w:val="14"/>
                <w:color w:val="auto"/>
              </w:rPr>
              <w:t>• None</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2015</w:t>
            </w:r>
            <w:r>
              <w:rPr>
                <w:rFonts w:ascii="Arial" w:cs="Arial" w:eastAsia="Arial" w:hAnsi="Arial"/>
                <w:sz w:val="13"/>
                <w:szCs w:val="13"/>
                <w:color w:val="auto"/>
              </w:rPr>
              <w:t>)</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0" w:type="dxa"/>
            <w:vAlign w:val="bottom"/>
          </w:tcPr>
          <w:p>
            <w:pPr>
              <w:spacing w:after="0"/>
              <w:rPr>
                <w:sz w:val="20"/>
                <w:szCs w:val="20"/>
                <w:color w:val="auto"/>
              </w:rPr>
            </w:pPr>
            <w:r>
              <w:rPr>
                <w:rFonts w:ascii="Arial" w:cs="Arial" w:eastAsia="Arial" w:hAnsi="Arial"/>
                <w:sz w:val="13"/>
                <w:szCs w:val="13"/>
                <w:color w:val="auto"/>
              </w:rPr>
              <w:t>Chair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Seven Capital</w:t>
            </w: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3"/>
                <w:szCs w:val="13"/>
                <w:color w:val="auto"/>
              </w:rPr>
              <w:t>Partners S.r.l.</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197485</wp:posOffset>
            </wp:positionV>
            <wp:extent cx="520319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319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7" w:right="519"/>
        <w:spacing w:after="0" w:line="259" w:lineRule="auto"/>
        <w:rPr>
          <w:sz w:val="20"/>
          <w:szCs w:val="20"/>
          <w:color w:val="auto"/>
        </w:rPr>
      </w:pPr>
      <w:r>
        <w:rPr>
          <w:rFonts w:ascii="Arial" w:cs="Arial" w:eastAsia="Arial" w:hAnsi="Arial"/>
          <w:sz w:val="14"/>
          <w:szCs w:val="14"/>
          <w:b w:val="1"/>
          <w:bCs w:val="1"/>
          <w:color w:val="auto"/>
        </w:rPr>
        <w:t>Former Public Company Directorships During the Past Five Years: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4"/>
          <w:szCs w:val="14"/>
          <w:color w:val="auto"/>
        </w:rPr>
        <w:t>• Intesa Sanpaulo S.p.A.</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25" w:lineRule="exact"/>
        <w:rPr>
          <w:sz w:val="20"/>
          <w:szCs w:val="20"/>
          <w:color w:val="auto"/>
        </w:rPr>
      </w:pPr>
    </w:p>
    <w:p>
      <w:pPr>
        <w:ind w:left="147" w:right="599" w:hanging="147"/>
        <w:spacing w:after="0" w:line="280" w:lineRule="auto"/>
        <w:tabs>
          <w:tab w:leader="none" w:pos="147" w:val="left"/>
        </w:tabs>
        <w:numPr>
          <w:ilvl w:val="0"/>
          <w:numId w:val="13"/>
        </w:numPr>
        <w:rPr>
          <w:rFonts w:ascii="Arial" w:cs="Arial" w:eastAsia="Arial" w:hAnsi="Arial"/>
          <w:sz w:val="13"/>
          <w:szCs w:val="13"/>
          <w:color w:val="auto"/>
        </w:rPr>
      </w:pPr>
      <w:r>
        <w:rPr>
          <w:rFonts w:ascii="Arial" w:cs="Arial" w:eastAsia="Arial" w:hAnsi="Arial"/>
          <w:sz w:val="13"/>
          <w:szCs w:val="13"/>
          <w:color w:val="auto"/>
        </w:rPr>
        <w:t>Mr. Bianchi is an audit committee financial expert and has an extensive professional background working in strategy and mergers and acquisitions.</w:t>
      </w:r>
    </w:p>
    <w:p>
      <w:pPr>
        <w:spacing w:after="0" w:line="336" w:lineRule="exact"/>
        <w:rPr>
          <w:sz w:val="20"/>
          <w:szCs w:val="20"/>
          <w:color w:val="auto"/>
        </w:rPr>
      </w:pPr>
    </w:p>
    <w:p>
      <w:pPr>
        <w:sectPr>
          <w:pgSz w:w="11900" w:h="16838" w:orient="portrait"/>
          <w:cols w:equalWidth="0" w:num="2">
            <w:col w:w="5373" w:space="720"/>
            <w:col w:w="3786"/>
          </w:cols>
          <w:pgMar w:left="580" w:top="132" w:right="1440" w:bottom="1440" w:gutter="0" w:footer="0" w:header="0"/>
          <w:type w:val="continuous"/>
        </w:sectPr>
      </w:pPr>
    </w:p>
    <w:p>
      <w:pPr>
        <w:spacing w:after="0" w:line="138"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STACY ENXING SENG</w:t>
      </w:r>
    </w:p>
    <w:p>
      <w:pPr>
        <w:jc w:val="both"/>
        <w:ind w:left="2600" w:right="439"/>
        <w:spacing w:after="0" w:line="264" w:lineRule="auto"/>
        <w:rPr>
          <w:sz w:val="20"/>
          <w:szCs w:val="20"/>
          <w:color w:val="auto"/>
        </w:rPr>
      </w:pPr>
      <w:r>
        <w:rPr>
          <w:rFonts w:ascii="Arial" w:cs="Arial" w:eastAsia="Arial" w:hAnsi="Arial"/>
          <w:sz w:val="13"/>
          <w:szCs w:val="13"/>
          <w:b w:val="1"/>
          <w:bCs w:val="1"/>
          <w:color w:val="auto"/>
        </w:rPr>
        <w:t xml:space="preserve">Stacy Enxing Seng </w:t>
      </w:r>
      <w:r>
        <w:rPr>
          <w:rFonts w:ascii="Arial" w:cs="Arial" w:eastAsia="Arial" w:hAnsi="Arial"/>
          <w:sz w:val="13"/>
          <w:szCs w:val="13"/>
          <w:color w:val="auto"/>
        </w:rPr>
        <w:t>has served as a Venture Partner with Lightstone Ventures, a venture capital group focused on</w:t>
      </w:r>
      <w:r>
        <w:rPr>
          <w:rFonts w:ascii="Arial" w:cs="Arial" w:eastAsia="Arial" w:hAnsi="Arial"/>
          <w:sz w:val="13"/>
          <w:szCs w:val="13"/>
          <w:b w:val="1"/>
          <w:bCs w:val="1"/>
          <w:color w:val="auto"/>
        </w:rPr>
        <w:t xml:space="preserve"> </w:t>
      </w:r>
      <w:r>
        <w:rPr>
          <w:rFonts w:ascii="Arial" w:cs="Arial" w:eastAsia="Arial" w:hAnsi="Arial"/>
          <w:sz w:val="13"/>
          <w:szCs w:val="13"/>
          <w:color w:val="auto"/>
        </w:rPr>
        <w:t>medical technology and biotechnology-related investments, since 2016. Prior to joining Lightstone, Ms. Enxing Seng was with Covidien, a global health care products company, as its President, Vascular Therapies (2011 to 2014) and President of Peripheral Vascular (2010 to 2011). Ms. Enxing Seng joined Covidien in 2010 through the $2.6B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-830580</wp:posOffset>
            </wp:positionV>
            <wp:extent cx="5203190" cy="951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03190" cy="95186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p>
      <w:pPr>
        <w:spacing w:after="0" w:line="167"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Committees:</w:t>
      </w:r>
    </w:p>
    <w:p>
      <w:pPr>
        <w:spacing w:after="0" w:line="25" w:lineRule="exact"/>
        <w:rPr>
          <w:sz w:val="20"/>
          <w:szCs w:val="20"/>
          <w:color w:val="auto"/>
        </w:rPr>
      </w:pPr>
    </w:p>
    <w:p>
      <w:pPr>
        <w:ind w:left="1320"/>
        <w:spacing w:after="0"/>
        <w:tabs>
          <w:tab w:leader="none" w:pos="2580" w:val="left"/>
        </w:tabs>
        <w:rPr>
          <w:sz w:val="20"/>
          <w:szCs w:val="20"/>
          <w:color w:val="auto"/>
        </w:rPr>
      </w:pPr>
      <w:r>
        <w:rPr>
          <w:rFonts w:ascii="Arial" w:cs="Arial" w:eastAsia="Arial" w:hAnsi="Arial"/>
          <w:sz w:val="13"/>
          <w:szCs w:val="13"/>
          <w:b w:val="1"/>
          <w:bCs w:val="1"/>
          <w:color w:val="auto"/>
        </w:rPr>
        <w:t>INDEPENDENT</w:t>
      </w:r>
      <w:r>
        <w:rPr>
          <w:sz w:val="20"/>
          <w:szCs w:val="20"/>
          <w:color w:val="auto"/>
        </w:rPr>
        <w:tab/>
      </w:r>
      <w:r>
        <w:rPr>
          <w:rFonts w:ascii="Arial" w:cs="Arial" w:eastAsia="Arial" w:hAnsi="Arial"/>
          <w:sz w:val="14"/>
          <w:szCs w:val="14"/>
          <w:color w:val="auto"/>
        </w:rPr>
        <w:t>• Compensation</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Age 56</w:t>
      </w:r>
    </w:p>
    <w:p>
      <w:pPr>
        <w:ind w:left="2600"/>
        <w:spacing w:after="0" w:line="233" w:lineRule="auto"/>
        <w:rPr>
          <w:sz w:val="20"/>
          <w:szCs w:val="20"/>
          <w:color w:val="auto"/>
        </w:rPr>
      </w:pPr>
      <w:r>
        <w:rPr>
          <w:rFonts w:ascii="Arial" w:cs="Arial" w:eastAsia="Arial" w:hAnsi="Arial"/>
          <w:sz w:val="14"/>
          <w:szCs w:val="14"/>
          <w:b w:val="1"/>
          <w:bCs w:val="1"/>
          <w:color w:val="auto"/>
        </w:rPr>
        <w:t>Other Public Company Directorships:</w:t>
      </w:r>
    </w:p>
    <w:p>
      <w:pPr>
        <w:ind w:left="1320"/>
        <w:spacing w:after="0" w:line="201" w:lineRule="auto"/>
        <w:tabs>
          <w:tab w:leader="none" w:pos="2580" w:val="left"/>
        </w:tabs>
        <w:rPr>
          <w:sz w:val="20"/>
          <w:szCs w:val="20"/>
          <w:color w:val="auto"/>
        </w:rPr>
      </w:pPr>
      <w:r>
        <w:rPr>
          <w:rFonts w:ascii="Arial" w:cs="Arial" w:eastAsia="Arial" w:hAnsi="Arial"/>
          <w:sz w:val="13"/>
          <w:szCs w:val="13"/>
          <w:color w:val="auto"/>
        </w:rPr>
        <w:t>Two years of</w:t>
      </w:r>
      <w:r>
        <w:rPr>
          <w:sz w:val="20"/>
          <w:szCs w:val="20"/>
          <w:color w:val="auto"/>
        </w:rPr>
        <w:tab/>
      </w:r>
      <w:r>
        <w:rPr>
          <w:rFonts w:ascii="Arial" w:cs="Arial" w:eastAsia="Arial" w:hAnsi="Arial"/>
          <w:sz w:val="14"/>
          <w:szCs w:val="14"/>
          <w:color w:val="auto"/>
        </w:rPr>
        <w:t>• Sonova Holding AG; Hill-Rom Holdings, Inc.</w:t>
      </w:r>
    </w:p>
    <w:p>
      <w:pPr>
        <w:ind w:left="1320"/>
        <w:spacing w:after="0" w:line="217" w:lineRule="auto"/>
        <w:rPr>
          <w:sz w:val="20"/>
          <w:szCs w:val="20"/>
          <w:color w:val="auto"/>
        </w:rPr>
      </w:pPr>
      <w:r>
        <w:rPr>
          <w:rFonts w:ascii="Arial" w:cs="Arial" w:eastAsia="Arial" w:hAnsi="Arial"/>
          <w:sz w:val="13"/>
          <w:szCs w:val="13"/>
          <w:color w:val="auto"/>
        </w:rPr>
        <w:t>service</w:t>
      </w:r>
    </w:p>
    <w:p>
      <w:pPr>
        <w:ind w:left="132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2019</w:t>
      </w:r>
      <w:r>
        <w:rPr>
          <w:rFonts w:ascii="Arial" w:cs="Arial" w:eastAsia="Arial" w:hAnsi="Arial"/>
          <w:sz w:val="13"/>
          <w:szCs w:val="13"/>
          <w:color w:val="auto"/>
        </w:rPr>
        <w:t>)</w:t>
      </w:r>
    </w:p>
    <w:p>
      <w:pPr>
        <w:spacing w:after="0" w:line="9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Venture Partner</w:t>
      </w:r>
    </w:p>
    <w:p>
      <w:pPr>
        <w:ind w:left="1320"/>
        <w:spacing w:after="0" w:line="216" w:lineRule="auto"/>
        <w:rPr>
          <w:sz w:val="20"/>
          <w:szCs w:val="20"/>
          <w:color w:val="auto"/>
        </w:rPr>
      </w:pPr>
      <w:r>
        <w:rPr>
          <w:rFonts w:ascii="Arial" w:cs="Arial" w:eastAsia="Arial" w:hAnsi="Arial"/>
          <w:sz w:val="13"/>
          <w:szCs w:val="13"/>
          <w:color w:val="auto"/>
        </w:rPr>
        <w:t>Lightstone</w:t>
      </w:r>
    </w:p>
    <w:p>
      <w:pPr>
        <w:ind w:left="1320"/>
        <w:spacing w:after="0"/>
        <w:rPr>
          <w:sz w:val="20"/>
          <w:szCs w:val="20"/>
          <w:color w:val="auto"/>
        </w:rPr>
      </w:pPr>
      <w:r>
        <w:rPr>
          <w:rFonts w:ascii="Arial" w:cs="Arial" w:eastAsia="Arial" w:hAnsi="Arial"/>
          <w:sz w:val="13"/>
          <w:szCs w:val="13"/>
          <w:color w:val="auto"/>
        </w:rPr>
        <w:t>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384175</wp:posOffset>
            </wp:positionV>
            <wp:extent cx="5212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32" w:lineRule="exact"/>
        <w:rPr>
          <w:sz w:val="20"/>
          <w:szCs w:val="20"/>
          <w:color w:val="auto"/>
        </w:rPr>
      </w:pPr>
    </w:p>
    <w:p>
      <w:pPr>
        <w:ind w:left="147" w:right="499" w:hanging="147"/>
        <w:spacing w:after="0" w:line="264" w:lineRule="auto"/>
        <w:tabs>
          <w:tab w:leader="none" w:pos="1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p>
    <w:p>
      <w:pPr>
        <w:spacing w:after="0" w:line="200" w:lineRule="exact"/>
        <w:rPr>
          <w:sz w:val="20"/>
          <w:szCs w:val="20"/>
          <w:color w:val="auto"/>
        </w:rPr>
      </w:pPr>
    </w:p>
    <w:p>
      <w:pPr>
        <w:sectPr>
          <w:pgSz w:w="11900" w:h="16838" w:orient="portrait"/>
          <w:cols w:equalWidth="0" w:num="2">
            <w:col w:w="5520" w:space="573"/>
            <w:col w:w="3786"/>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0319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WILLIAM KOZY</w:t>
      </w:r>
    </w:p>
    <w:p>
      <w:pPr>
        <w:spacing w:after="0" w:line="9" w:lineRule="exact"/>
        <w:rPr>
          <w:sz w:val="20"/>
          <w:szCs w:val="20"/>
          <w:color w:val="auto"/>
        </w:rPr>
      </w:pPr>
    </w:p>
    <w:p>
      <w:pPr>
        <w:jc w:val="both"/>
        <w:ind w:left="2600" w:right="419"/>
        <w:spacing w:after="0" w:line="244" w:lineRule="auto"/>
        <w:rPr>
          <w:sz w:val="20"/>
          <w:szCs w:val="20"/>
          <w:color w:val="auto"/>
        </w:rPr>
      </w:pPr>
      <w:r>
        <w:rPr>
          <w:rFonts w:ascii="Arial" w:cs="Arial" w:eastAsia="Arial" w:hAnsi="Arial"/>
          <w:sz w:val="14"/>
          <w:szCs w:val="14"/>
          <w:b w:val="1"/>
          <w:bCs w:val="1"/>
          <w:color w:val="auto"/>
        </w:rPr>
        <w:t xml:space="preserve">William Kozy </w:t>
      </w:r>
      <w:r>
        <w:rPr>
          <w:rFonts w:ascii="Arial" w:cs="Arial" w:eastAsia="Arial" w:hAnsi="Arial"/>
          <w:sz w:val="14"/>
          <w:szCs w:val="14"/>
          <w:color w:val="auto"/>
        </w:rPr>
        <w:t>retired from Becton, Dickinson and Company, a global medical technology company, in 2016</w:t>
      </w:r>
      <w:r>
        <w:rPr>
          <w:rFonts w:ascii="Arial" w:cs="Arial" w:eastAsia="Arial" w:hAnsi="Arial"/>
          <w:sz w:val="14"/>
          <w:szCs w:val="14"/>
          <w:b w:val="1"/>
          <w:bCs w:val="1"/>
          <w:color w:val="auto"/>
        </w:rPr>
        <w:t xml:space="preserve"> </w:t>
      </w:r>
      <w:r>
        <w:rPr>
          <w:rFonts w:ascii="Arial" w:cs="Arial" w:eastAsia="Arial" w:hAnsi="Arial"/>
          <w:sz w:val="14"/>
          <w:szCs w:val="14"/>
          <w:color w:val="auto"/>
        </w:rPr>
        <w:t>where he was 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-618490</wp:posOffset>
            </wp:positionV>
            <wp:extent cx="5203190" cy="951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3190" cy="951230"/>
                    </a:xfrm>
                    <a:prstGeom prst="rect">
                      <a:avLst/>
                    </a:prstGeom>
                    <a:noFill/>
                  </pic:spPr>
                </pic:pic>
              </a:graphicData>
            </a:graphic>
          </wp:anchor>
        </w:drawing>
      </w:r>
    </w:p>
    <w:p>
      <w:pPr>
        <w:spacing w:after="0" w:line="129" w:lineRule="exact"/>
        <w:rPr>
          <w:sz w:val="20"/>
          <w:szCs w:val="20"/>
          <w:color w:val="auto"/>
        </w:rPr>
      </w:pPr>
    </w:p>
    <w:p>
      <w:pPr>
        <w:ind w:left="2600"/>
        <w:spacing w:after="0"/>
        <w:tabs>
          <w:tab w:leader="none" w:pos="6080" w:val="left"/>
        </w:tabs>
        <w:rPr>
          <w:sz w:val="20"/>
          <w:szCs w:val="20"/>
          <w:color w:val="auto"/>
        </w:rPr>
      </w:pPr>
      <w:r>
        <w:rPr>
          <w:rFonts w:ascii="Arial" w:cs="Arial" w:eastAsia="Arial" w:hAnsi="Arial"/>
          <w:sz w:val="14"/>
          <w:szCs w:val="14"/>
          <w:b w:val="1"/>
          <w:bCs w:val="1"/>
          <w:color w:val="auto"/>
        </w:rPr>
        <w:t>Committees:</w:t>
      </w:r>
      <w:r>
        <w:rPr>
          <w:sz w:val="20"/>
          <w:szCs w:val="20"/>
          <w:color w:val="auto"/>
        </w:rPr>
        <w:tab/>
      </w:r>
      <w:r>
        <w:rPr>
          <w:rFonts w:ascii="Arial" w:cs="Arial" w:eastAsia="Arial" w:hAnsi="Arial"/>
          <w:sz w:val="14"/>
          <w:szCs w:val="14"/>
          <w:b w:val="1"/>
          <w:bCs w:val="1"/>
          <w:color w:val="auto"/>
        </w:rPr>
        <w:t>Other Public Company Directorships:</w:t>
      </w:r>
    </w:p>
    <w:p>
      <w:pPr>
        <w:spacing w:after="0" w:line="25" w:lineRule="exact"/>
        <w:rPr>
          <w:sz w:val="20"/>
          <w:szCs w:val="20"/>
          <w:color w:val="auto"/>
        </w:rPr>
      </w:pPr>
    </w:p>
    <w:p>
      <w:pPr>
        <w:ind w:left="2600"/>
        <w:spacing w:after="0"/>
        <w:tabs>
          <w:tab w:leader="none" w:pos="6080" w:val="left"/>
        </w:tabs>
        <w:rPr>
          <w:sz w:val="20"/>
          <w:szCs w:val="20"/>
          <w:color w:val="auto"/>
        </w:rPr>
      </w:pPr>
      <w:r>
        <w:rPr>
          <w:rFonts w:ascii="Arial" w:cs="Arial" w:eastAsia="Arial" w:hAnsi="Arial"/>
          <w:sz w:val="14"/>
          <w:szCs w:val="14"/>
          <w:color w:val="auto"/>
        </w:rPr>
        <w:t>• Nominating and Corporate Governance</w:t>
      </w:r>
      <w:r>
        <w:rPr>
          <w:sz w:val="20"/>
          <w:szCs w:val="20"/>
          <w:color w:val="auto"/>
        </w:rPr>
        <w:tab/>
      </w:r>
      <w:r>
        <w:rPr>
          <w:rFonts w:ascii="Arial" w:cs="Arial" w:eastAsia="Arial" w:hAnsi="Arial"/>
          <w:sz w:val="14"/>
          <w:szCs w:val="14"/>
          <w:color w:val="auto"/>
        </w:rPr>
        <w:t>• Cooper Companies, Inc.</w:t>
      </w:r>
    </w:p>
    <w:p>
      <w:pPr>
        <w:spacing w:after="0" w:line="96" w:lineRule="exact"/>
        <w:rPr>
          <w:sz w:val="20"/>
          <w:szCs w:val="20"/>
          <w:color w:val="auto"/>
        </w:rPr>
      </w:pPr>
    </w:p>
    <w:p>
      <w:pPr>
        <w:ind w:left="1320"/>
        <w:spacing w:after="0"/>
        <w:tabs>
          <w:tab w:leader="none" w:pos="6080" w:val="left"/>
        </w:tabs>
        <w:rPr>
          <w:sz w:val="20"/>
          <w:szCs w:val="20"/>
          <w:color w:val="auto"/>
        </w:rPr>
      </w:pPr>
      <w:r>
        <w:rPr>
          <w:rFonts w:ascii="Arial" w:cs="Arial" w:eastAsia="Arial" w:hAnsi="Arial"/>
          <w:sz w:val="25"/>
          <w:szCs w:val="25"/>
          <w:b w:val="1"/>
          <w:bCs w:val="1"/>
          <w:color w:val="auto"/>
          <w:vertAlign w:val="superscript"/>
        </w:rPr>
        <w:t>INDEPENDENT</w:t>
      </w:r>
      <w:r>
        <w:rPr>
          <w:sz w:val="20"/>
          <w:szCs w:val="20"/>
          <w:color w:val="auto"/>
        </w:rPr>
        <w:tab/>
      </w:r>
      <w:r>
        <w:rPr>
          <w:rFonts w:ascii="Arial" w:cs="Arial" w:eastAsia="Arial" w:hAnsi="Arial"/>
          <w:sz w:val="14"/>
          <w:szCs w:val="14"/>
          <w:b w:val="1"/>
          <w:bCs w:val="1"/>
          <w:color w:val="auto"/>
        </w:rPr>
        <w:t>Director Skills and Qualifications:</w:t>
      </w:r>
    </w:p>
    <w:p>
      <w:pPr>
        <w:sectPr>
          <w:pgSz w:w="11900" w:h="16838" w:orient="portrait"/>
          <w:cols w:equalWidth="0" w:num="1">
            <w:col w:w="9879"/>
          </w:cols>
          <w:pgMar w:left="580" w:top="132" w:right="1440" w:bottom="1440" w:gutter="0" w:footer="0" w:header="0"/>
        </w:sectPr>
      </w:pPr>
    </w:p>
    <w:p>
      <w:pPr>
        <w:spacing w:after="0" w:line="9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Age 69</w:t>
      </w:r>
    </w:p>
    <w:p>
      <w:pPr>
        <w:spacing w:after="0" w:line="105"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Three years of</w:t>
      </w:r>
    </w:p>
    <w:p>
      <w:pPr>
        <w:ind w:left="1320"/>
        <w:spacing w:after="0" w:line="216" w:lineRule="auto"/>
        <w:rPr>
          <w:sz w:val="20"/>
          <w:szCs w:val="20"/>
          <w:color w:val="auto"/>
        </w:rPr>
      </w:pPr>
      <w:r>
        <w:rPr>
          <w:rFonts w:ascii="Arial" w:cs="Arial" w:eastAsia="Arial" w:hAnsi="Arial"/>
          <w:sz w:val="13"/>
          <w:szCs w:val="13"/>
          <w:color w:val="auto"/>
        </w:rPr>
        <w:t>service</w:t>
      </w:r>
    </w:p>
    <w:p>
      <w:pPr>
        <w:ind w:left="132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2018</w:t>
      </w:r>
      <w:r>
        <w:rPr>
          <w:rFonts w:ascii="Arial" w:cs="Arial" w:eastAsia="Arial" w:hAnsi="Arial"/>
          <w:sz w:val="13"/>
          <w:szCs w:val="13"/>
          <w:color w:val="auto"/>
        </w:rPr>
        <w:t>)</w:t>
      </w:r>
    </w:p>
    <w:p>
      <w:pPr>
        <w:spacing w:after="0" w:line="9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Retired, EVP and</w:t>
      </w:r>
    </w:p>
    <w:p>
      <w:pPr>
        <w:ind w:left="1320"/>
        <w:spacing w:after="0" w:line="216" w:lineRule="auto"/>
        <w:rPr>
          <w:sz w:val="20"/>
          <w:szCs w:val="20"/>
          <w:color w:val="auto"/>
        </w:rPr>
      </w:pPr>
      <w:r>
        <w:rPr>
          <w:rFonts w:ascii="Arial" w:cs="Arial" w:eastAsia="Arial" w:hAnsi="Arial"/>
          <w:sz w:val="13"/>
          <w:szCs w:val="13"/>
          <w:color w:val="auto"/>
        </w:rPr>
        <w:t>COO</w:t>
      </w:r>
    </w:p>
    <w:p>
      <w:pPr>
        <w:ind w:left="1320"/>
        <w:spacing w:after="0" w:line="217" w:lineRule="auto"/>
        <w:rPr>
          <w:sz w:val="20"/>
          <w:szCs w:val="20"/>
          <w:color w:val="auto"/>
        </w:rPr>
      </w:pPr>
      <w:r>
        <w:rPr>
          <w:rFonts w:ascii="Arial" w:cs="Arial" w:eastAsia="Arial" w:hAnsi="Arial"/>
          <w:sz w:val="13"/>
          <w:szCs w:val="13"/>
          <w:color w:val="auto"/>
        </w:rPr>
        <w:t>Becton, Dickinson</w:t>
      </w:r>
    </w:p>
    <w:p>
      <w:pPr>
        <w:ind w:left="1320"/>
        <w:spacing w:after="0"/>
        <w:rPr>
          <w:sz w:val="20"/>
          <w:szCs w:val="20"/>
          <w:color w:val="auto"/>
        </w:rPr>
      </w:pPr>
      <w:r>
        <w:rPr>
          <w:rFonts w:ascii="Arial" w:cs="Arial" w:eastAsia="Arial" w:hAnsi="Arial"/>
          <w:sz w:val="13"/>
          <w:szCs w:val="13"/>
          <w:color w:val="auto"/>
        </w:rPr>
        <w:t>and Company</w:t>
      </w:r>
    </w:p>
    <w:p>
      <w:pPr>
        <w:spacing w:after="0" w:line="20" w:lineRule="exact"/>
        <w:rPr>
          <w:sz w:val="20"/>
          <w:szCs w:val="20"/>
          <w:color w:val="auto"/>
        </w:rPr>
      </w:pPr>
      <w:r>
        <w:rPr>
          <w:sz w:val="20"/>
          <w:szCs w:val="20"/>
          <w:color w:val="auto"/>
        </w:rPr>
        <w:br w:type="column"/>
      </w:r>
    </w:p>
    <w:p>
      <w:pPr>
        <w:ind w:left="147" w:right="479" w:hanging="147"/>
        <w:spacing w:after="0" w:line="262" w:lineRule="auto"/>
        <w:tabs>
          <w:tab w:leader="none" w:pos="1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Mr. Kozy has a career spanning more than 40 years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78740</wp:posOffset>
            </wp:positionV>
            <wp:extent cx="5212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224155</wp:posOffset>
            </wp:positionV>
            <wp:extent cx="520319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73" w:space="720"/>
            <w:col w:w="3786"/>
          </w:cols>
          <w:pgMar w:left="580" w:top="132" w:right="1440" w:bottom="1440" w:gutter="0" w:footer="0" w:header="0"/>
          <w:type w:val="continuous"/>
        </w:sectPr>
      </w:pP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DAMIEN MCDONALD</w:t>
      </w:r>
    </w:p>
    <w:tbl>
      <w:tblPr>
        <w:tblLayout w:type="fixed"/>
        <w:tblInd w:w="1320" w:type="dxa"/>
        <w:tblCellMar>
          <w:top w:w="0" w:type="dxa"/>
          <w:left w:w="0" w:type="dxa"/>
          <w:bottom w:w="0" w:type="dxa"/>
          <w:right w:w="0" w:type="dxa"/>
        </w:tblCellMar>
      </w:tblPr>
      <w:tr>
        <w:trPr>
          <w:trHeight w:val="159"/>
        </w:trPr>
        <w:tc>
          <w:tcPr>
            <w:tcW w:w="1200" w:type="dxa"/>
            <w:vAlign w:val="bottom"/>
          </w:tcPr>
          <w:p>
            <w:pPr>
              <w:spacing w:after="0"/>
              <w:rPr>
                <w:sz w:val="13"/>
                <w:szCs w:val="13"/>
                <w:color w:val="auto"/>
              </w:rPr>
            </w:pPr>
          </w:p>
        </w:tc>
        <w:tc>
          <w:tcPr>
            <w:tcW w:w="69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w w:val="99"/>
              </w:rPr>
              <w:t xml:space="preserve">Damien McDonald </w:t>
            </w:r>
            <w:r>
              <w:rPr>
                <w:rFonts w:ascii="Arial" w:cs="Arial" w:eastAsia="Arial" w:hAnsi="Arial"/>
                <w:sz w:val="14"/>
                <w:szCs w:val="14"/>
                <w:color w:val="auto"/>
                <w:w w:val="99"/>
              </w:rPr>
              <w:t>has served as the CEO and an executive director of the Company since January 2017 and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served as the Company’s Chief Operating Officer from October through December 2016. Prior to joining the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Company, Mr. McDonald was with Danaher Corporation, a global manufacturer of medical, industrial and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w w:val="99"/>
              </w:rPr>
              <w:t>commercial products, where he was Group President, Professional Consumables (2013 to 2016). From 2011 to</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2013, Mr. McDonald served as Group President of Kerr Corporation, a subsidiary of Danaher, where he was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responsible for a dental consumable business with operations in the US, Mexico, Switzerland, Italy and the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Czech Republic. In 2010, Mr. McDonald</w:t>
            </w:r>
          </w:p>
        </w:tc>
        <w:tc>
          <w:tcPr>
            <w:tcW w:w="4080" w:type="dxa"/>
            <w:vAlign w:val="bottom"/>
          </w:tcPr>
          <w:p>
            <w:pPr>
              <w:ind w:left="40"/>
              <w:spacing w:after="0"/>
              <w:rPr>
                <w:sz w:val="20"/>
                <w:szCs w:val="20"/>
                <w:color w:val="auto"/>
              </w:rPr>
            </w:pPr>
            <w:r>
              <w:rPr>
                <w:rFonts w:ascii="Arial" w:cs="Arial" w:eastAsia="Arial" w:hAnsi="Arial"/>
                <w:sz w:val="14"/>
                <w:szCs w:val="14"/>
                <w:color w:val="auto"/>
              </w:rPr>
              <w:t>undertook special projects for Danaher. From 2007 to 2010,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Mr. McDonald was president, Zimmer Spine at Zimmer Holdings, where he was responsible for divisions in the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w w:val="99"/>
              </w:rPr>
              <w:t>US and France. From 1999 to 2007, Mr. McDonald had various roles with Johnson and Johnson. Mr. McDonald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6940" w:type="dxa"/>
            <w:vAlign w:val="bottom"/>
            <w:gridSpan w:val="2"/>
          </w:tcPr>
          <w:p>
            <w:pPr>
              <w:ind w:left="80"/>
              <w:spacing w:after="0"/>
              <w:rPr>
                <w:sz w:val="20"/>
                <w:szCs w:val="20"/>
                <w:color w:val="auto"/>
              </w:rPr>
            </w:pPr>
            <w:r>
              <w:rPr>
                <w:rFonts w:ascii="Arial" w:cs="Arial" w:eastAsia="Arial" w:hAnsi="Arial"/>
                <w:sz w:val="14"/>
                <w:szCs w:val="14"/>
                <w:color w:val="auto"/>
                <w:w w:val="98"/>
              </w:rPr>
              <w:t>holds bachelor’s degrees in pharmacy and economics from the University of Queensland in Australia, a master’s</w:t>
            </w:r>
          </w:p>
        </w:tc>
        <w:tc>
          <w:tcPr>
            <w:tcW w:w="0" w:type="dxa"/>
            <w:vAlign w:val="bottom"/>
          </w:tcPr>
          <w:p>
            <w:pPr>
              <w:spacing w:after="0"/>
              <w:rPr>
                <w:sz w:val="1"/>
                <w:szCs w:val="1"/>
                <w:color w:val="auto"/>
              </w:rPr>
            </w:pPr>
          </w:p>
        </w:tc>
      </w:tr>
      <w:tr>
        <w:trPr>
          <w:trHeight w:val="162"/>
        </w:trPr>
        <w:tc>
          <w:tcPr>
            <w:tcW w:w="1200" w:type="dxa"/>
            <w:vAlign w:val="bottom"/>
            <w:vMerge w:val="restart"/>
          </w:tcPr>
          <w:p>
            <w:pPr>
              <w:spacing w:after="0"/>
              <w:rPr>
                <w:sz w:val="20"/>
                <w:szCs w:val="20"/>
                <w:color w:val="auto"/>
              </w:rPr>
            </w:pPr>
            <w:r>
              <w:rPr>
                <w:rFonts w:ascii="Arial" w:cs="Arial" w:eastAsia="Arial" w:hAnsi="Arial"/>
                <w:sz w:val="13"/>
                <w:szCs w:val="13"/>
                <w:color w:val="auto"/>
              </w:rPr>
              <w:t>Age 56</w:t>
            </w:r>
          </w:p>
        </w:tc>
        <w:tc>
          <w:tcPr>
            <w:tcW w:w="6940" w:type="dxa"/>
            <w:vAlign w:val="bottom"/>
            <w:gridSpan w:val="2"/>
          </w:tcPr>
          <w:p>
            <w:pPr>
              <w:ind w:left="80"/>
              <w:spacing w:after="0"/>
              <w:rPr>
                <w:sz w:val="20"/>
                <w:szCs w:val="20"/>
                <w:color w:val="auto"/>
              </w:rPr>
            </w:pPr>
            <w:r>
              <w:rPr>
                <w:rFonts w:ascii="Arial" w:cs="Arial" w:eastAsia="Arial" w:hAnsi="Arial"/>
                <w:sz w:val="14"/>
                <w:szCs w:val="14"/>
                <w:color w:val="auto"/>
              </w:rPr>
              <w:t>degree in international economics from the University of Wales, and an M.B.A. from the Institute for</w:t>
            </w:r>
          </w:p>
        </w:tc>
        <w:tc>
          <w:tcPr>
            <w:tcW w:w="0" w:type="dxa"/>
            <w:vAlign w:val="bottom"/>
          </w:tcPr>
          <w:p>
            <w:pPr>
              <w:spacing w:after="0"/>
              <w:rPr>
                <w:sz w:val="1"/>
                <w:szCs w:val="1"/>
                <w:color w:val="auto"/>
              </w:rPr>
            </w:pPr>
          </w:p>
        </w:tc>
      </w:tr>
      <w:tr>
        <w:trPr>
          <w:trHeight w:val="72"/>
        </w:trPr>
        <w:tc>
          <w:tcPr>
            <w:tcW w:w="1200" w:type="dxa"/>
            <w:vAlign w:val="bottom"/>
            <w:vMerge w:val="continue"/>
          </w:tcPr>
          <w:p>
            <w:pPr>
              <w:spacing w:after="0"/>
              <w:rPr>
                <w:sz w:val="6"/>
                <w:szCs w:val="6"/>
                <w:color w:val="auto"/>
              </w:rPr>
            </w:pPr>
          </w:p>
        </w:tc>
        <w:tc>
          <w:tcPr>
            <w:tcW w:w="2860" w:type="dxa"/>
            <w:vAlign w:val="bottom"/>
            <w:vMerge w:val="restart"/>
          </w:tcPr>
          <w:p>
            <w:pPr>
              <w:ind w:left="80"/>
              <w:spacing w:after="0"/>
              <w:rPr>
                <w:sz w:val="20"/>
                <w:szCs w:val="20"/>
                <w:color w:val="auto"/>
              </w:rPr>
            </w:pPr>
            <w:r>
              <w:rPr>
                <w:rFonts w:ascii="Arial" w:cs="Arial" w:eastAsia="Arial" w:hAnsi="Arial"/>
                <w:sz w:val="14"/>
                <w:szCs w:val="14"/>
                <w:color w:val="auto"/>
              </w:rPr>
              <w:t>Management Development in Lausanne.</w:t>
            </w: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200" w:type="dxa"/>
            <w:vAlign w:val="bottom"/>
            <w:vMerge w:val="restart"/>
          </w:tcPr>
          <w:p>
            <w:pPr>
              <w:spacing w:after="0"/>
              <w:rPr>
                <w:sz w:val="20"/>
                <w:szCs w:val="20"/>
                <w:color w:val="auto"/>
              </w:rPr>
            </w:pPr>
            <w:r>
              <w:rPr>
                <w:rFonts w:ascii="Arial" w:cs="Arial" w:eastAsia="Arial" w:hAnsi="Arial"/>
                <w:sz w:val="13"/>
                <w:szCs w:val="13"/>
                <w:color w:val="auto"/>
              </w:rPr>
              <w:t>Four years of</w:t>
            </w:r>
          </w:p>
        </w:tc>
        <w:tc>
          <w:tcPr>
            <w:tcW w:w="28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200" w:type="dxa"/>
            <w:vAlign w:val="bottom"/>
            <w:vMerge w:val="restart"/>
          </w:tcPr>
          <w:p>
            <w:pPr>
              <w:spacing w:after="0" w:line="133" w:lineRule="exact"/>
              <w:rPr>
                <w:sz w:val="20"/>
                <w:szCs w:val="20"/>
                <w:color w:val="auto"/>
              </w:rPr>
            </w:pPr>
            <w:r>
              <w:rPr>
                <w:rFonts w:ascii="Arial" w:cs="Arial" w:eastAsia="Arial" w:hAnsi="Arial"/>
                <w:sz w:val="13"/>
                <w:szCs w:val="13"/>
                <w:color w:val="auto"/>
              </w:rPr>
              <w:t>service</w:t>
            </w:r>
          </w:p>
        </w:tc>
        <w:tc>
          <w:tcPr>
            <w:tcW w:w="2860" w:type="dxa"/>
            <w:vAlign w:val="bottom"/>
            <w:tcBorders>
              <w:bottom w:val="single" w:sz="8" w:color="auto"/>
            </w:tcBorders>
          </w:tcPr>
          <w:p>
            <w:pPr>
              <w:spacing w:after="0"/>
              <w:rPr>
                <w:sz w:val="6"/>
                <w:szCs w:val="6"/>
                <w:color w:val="auto"/>
              </w:rPr>
            </w:pPr>
          </w:p>
        </w:tc>
        <w:tc>
          <w:tcPr>
            <w:tcW w:w="4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200" w:type="dxa"/>
            <w:vAlign w:val="bottom"/>
            <w:vMerge w:val="continue"/>
          </w:tcPr>
          <w:p>
            <w:pPr>
              <w:spacing w:after="0"/>
              <w:rPr>
                <w:sz w:val="3"/>
                <w:szCs w:val="3"/>
                <w:color w:val="auto"/>
              </w:rPr>
            </w:pPr>
          </w:p>
        </w:tc>
        <w:tc>
          <w:tcPr>
            <w:tcW w:w="2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Committees:</w:t>
            </w:r>
          </w:p>
        </w:tc>
        <w:tc>
          <w:tcPr>
            <w:tcW w:w="40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Other Public Company Directorships:</w:t>
            </w:r>
          </w:p>
        </w:tc>
        <w:tc>
          <w:tcPr>
            <w:tcW w:w="0" w:type="dxa"/>
            <w:vAlign w:val="bottom"/>
          </w:tcPr>
          <w:p>
            <w:pPr>
              <w:spacing w:after="0" w:line="20" w:lineRule="exact"/>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2017</w:t>
            </w:r>
            <w:r>
              <w:rPr>
                <w:rFonts w:ascii="Arial" w:cs="Arial" w:eastAsia="Arial" w:hAnsi="Arial"/>
                <w:sz w:val="13"/>
                <w:szCs w:val="13"/>
                <w:color w:val="auto"/>
              </w:rPr>
              <w:t>)</w:t>
            </w:r>
          </w:p>
        </w:tc>
        <w:tc>
          <w:tcPr>
            <w:tcW w:w="2860" w:type="dxa"/>
            <w:vAlign w:val="bottom"/>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00" w:type="dxa"/>
            <w:vAlign w:val="bottom"/>
          </w:tcPr>
          <w:p>
            <w:pPr>
              <w:spacing w:after="0"/>
              <w:rPr>
                <w:sz w:val="9"/>
                <w:szCs w:val="9"/>
                <w:color w:val="auto"/>
              </w:rPr>
            </w:pPr>
          </w:p>
        </w:tc>
        <w:tc>
          <w:tcPr>
            <w:tcW w:w="2860" w:type="dxa"/>
            <w:vAlign w:val="bottom"/>
          </w:tcPr>
          <w:p>
            <w:pPr>
              <w:ind w:left="80"/>
              <w:spacing w:after="0" w:line="114" w:lineRule="exact"/>
              <w:rPr>
                <w:sz w:val="20"/>
                <w:szCs w:val="20"/>
                <w:color w:val="auto"/>
              </w:rPr>
            </w:pPr>
            <w:r>
              <w:rPr>
                <w:rFonts w:ascii="Arial" w:cs="Arial" w:eastAsia="Arial" w:hAnsi="Arial"/>
                <w:sz w:val="13"/>
                <w:szCs w:val="13"/>
                <w:color w:val="auto"/>
              </w:rPr>
              <w:t>• None</w:t>
            </w:r>
          </w:p>
        </w:tc>
        <w:tc>
          <w:tcPr>
            <w:tcW w:w="4080" w:type="dxa"/>
            <w:vAlign w:val="bottom"/>
          </w:tcPr>
          <w:p>
            <w:pPr>
              <w:ind w:left="720"/>
              <w:spacing w:after="0" w:line="114" w:lineRule="exact"/>
              <w:rPr>
                <w:sz w:val="20"/>
                <w:szCs w:val="20"/>
                <w:color w:val="auto"/>
              </w:rPr>
            </w:pPr>
            <w:r>
              <w:rPr>
                <w:rFonts w:ascii="Arial" w:cs="Arial" w:eastAsia="Arial" w:hAnsi="Arial"/>
                <w:sz w:val="13"/>
                <w:szCs w:val="13"/>
                <w:color w:val="auto"/>
              </w:rPr>
              <w:t>• 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-1560195</wp:posOffset>
            </wp:positionV>
            <wp:extent cx="720090" cy="951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951230"/>
                    </a:xfrm>
                    <a:prstGeom prst="rect">
                      <a:avLst/>
                    </a:prstGeom>
                    <a:noFill/>
                  </pic:spPr>
                </pic:pic>
              </a:graphicData>
            </a:graphic>
          </wp:anchor>
        </w:drawing>
      </w:r>
    </w:p>
    <w:p>
      <w:pPr>
        <w:ind w:left="1320"/>
        <w:spacing w:after="0" w:line="216" w:lineRule="auto"/>
        <w:rPr>
          <w:sz w:val="20"/>
          <w:szCs w:val="20"/>
          <w:color w:val="auto"/>
        </w:rPr>
      </w:pPr>
      <w:r>
        <w:rPr>
          <w:rFonts w:ascii="Arial" w:cs="Arial" w:eastAsia="Arial" w:hAnsi="Arial"/>
          <w:sz w:val="13"/>
          <w:szCs w:val="13"/>
          <w:color w:val="auto"/>
        </w:rPr>
        <w:t>CEO</w:t>
      </w:r>
    </w:p>
    <w:p>
      <w:pPr>
        <w:ind w:left="1320"/>
        <w:spacing w:after="0" w:line="226" w:lineRule="auto"/>
        <w:rPr>
          <w:sz w:val="20"/>
          <w:szCs w:val="20"/>
          <w:color w:val="auto"/>
        </w:rPr>
      </w:pPr>
      <w:r>
        <w:rPr>
          <w:rFonts w:ascii="Arial" w:cs="Arial" w:eastAsia="Arial" w:hAnsi="Arial"/>
          <w:sz w:val="13"/>
          <w:szCs w:val="13"/>
          <w:color w:val="auto"/>
        </w:rPr>
        <w:t>LivaNova</w:t>
      </w:r>
    </w:p>
    <w:p>
      <w:pPr>
        <w:ind w:left="6100"/>
        <w:spacing w:after="0"/>
        <w:rPr>
          <w:sz w:val="20"/>
          <w:szCs w:val="20"/>
          <w:color w:val="auto"/>
        </w:rPr>
      </w:pPr>
      <w:r>
        <w:rPr>
          <w:rFonts w:ascii="Arial" w:cs="Arial" w:eastAsia="Arial" w:hAnsi="Arial"/>
          <w:sz w:val="14"/>
          <w:szCs w:val="14"/>
          <w:b w:val="1"/>
          <w:bCs w:val="1"/>
          <w:color w:val="auto"/>
        </w:rPr>
        <w:t>Director Skills and Qualifications: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 Mr. McDonald has extensive management</w:t>
      </w:r>
    </w:p>
    <w:p>
      <w:pPr>
        <w:spacing w:after="0" w:line="6"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experience in the medical device and life sciences</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industries and serves as the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90805</wp:posOffset>
            </wp:positionV>
            <wp:extent cx="5212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0319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DANIEL MOORE</w:t>
      </w:r>
    </w:p>
    <w:p>
      <w:pPr>
        <w:spacing w:after="0" w:line="9" w:lineRule="exact"/>
        <w:rPr>
          <w:sz w:val="20"/>
          <w:szCs w:val="20"/>
          <w:color w:val="auto"/>
        </w:rPr>
      </w:pPr>
    </w:p>
    <w:p>
      <w:pPr>
        <w:jc w:val="both"/>
        <w:ind w:left="2600" w:right="439"/>
        <w:spacing w:after="0" w:line="243" w:lineRule="auto"/>
        <w:rPr>
          <w:sz w:val="20"/>
          <w:szCs w:val="20"/>
          <w:color w:val="auto"/>
        </w:rPr>
      </w:pPr>
      <w:r>
        <w:rPr>
          <w:rFonts w:ascii="Arial" w:cs="Arial" w:eastAsia="Arial" w:hAnsi="Arial"/>
          <w:sz w:val="14"/>
          <w:szCs w:val="14"/>
          <w:b w:val="1"/>
          <w:bCs w:val="1"/>
          <w:color w:val="auto"/>
        </w:rPr>
        <w:t xml:space="preserve">Daniel Moore </w:t>
      </w:r>
      <w:r>
        <w:rPr>
          <w:rFonts w:ascii="Arial" w:cs="Arial" w:eastAsia="Arial" w:hAnsi="Arial"/>
          <w:sz w:val="14"/>
          <w:szCs w:val="14"/>
          <w:color w:val="auto"/>
        </w:rPr>
        <w:t>is chair of the Board of the Company and, over the past five years, has worked primarily as a</w:t>
      </w:r>
      <w:r>
        <w:rPr>
          <w:rFonts w:ascii="Arial" w:cs="Arial" w:eastAsia="Arial" w:hAnsi="Arial"/>
          <w:sz w:val="14"/>
          <w:szCs w:val="14"/>
          <w:b w:val="1"/>
          <w:bCs w:val="1"/>
          <w:color w:val="auto"/>
        </w:rPr>
        <w:t xml:space="preserve"> </w:t>
      </w:r>
      <w:r>
        <w:rPr>
          <w:rFonts w:ascii="Arial" w:cs="Arial" w:eastAsia="Arial" w:hAnsi="Arial"/>
          <w:sz w:val="14"/>
          <w:szCs w:val="14"/>
          <w:color w:val="auto"/>
        </w:rPr>
        <w:t>private investor. Mr. Moore served as President and CEO and a member of the board of Cyberonics, Inc., a medical device company with core expertise in neuromodulation, from 2007 to 2015 when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-719455</wp:posOffset>
            </wp:positionV>
            <wp:extent cx="5203190" cy="951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03190" cy="9512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1080" w:type="dxa"/>
            <w:vAlign w:val="bottom"/>
          </w:tcPr>
          <w:p>
            <w:pPr>
              <w:spacing w:after="0"/>
              <w:rPr>
                <w:sz w:val="15"/>
                <w:szCs w:val="15"/>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None as chair of the Board</w:t>
            </w:r>
          </w:p>
        </w:tc>
        <w:tc>
          <w:tcPr>
            <w:tcW w:w="0" w:type="dxa"/>
            <w:vAlign w:val="bottom"/>
          </w:tcPr>
          <w:p>
            <w:pPr>
              <w:spacing w:after="0"/>
              <w:rPr>
                <w:sz w:val="1"/>
                <w:szCs w:val="1"/>
                <w:color w:val="auto"/>
              </w:rPr>
            </w:pPr>
          </w:p>
        </w:tc>
      </w:tr>
      <w:tr>
        <w:trPr>
          <w:trHeight w:val="293"/>
        </w:trPr>
        <w:tc>
          <w:tcPr>
            <w:tcW w:w="1080" w:type="dxa"/>
            <w:vAlign w:val="bottom"/>
          </w:tcPr>
          <w:p>
            <w:pPr>
              <w:spacing w:after="0"/>
              <w:rPr>
                <w:sz w:val="20"/>
                <w:szCs w:val="20"/>
                <w:color w:val="auto"/>
              </w:rPr>
            </w:pPr>
            <w:r>
              <w:rPr>
                <w:rFonts w:ascii="Arial" w:cs="Arial" w:eastAsia="Arial" w:hAnsi="Arial"/>
                <w:sz w:val="13"/>
                <w:szCs w:val="13"/>
                <w:b w:val="1"/>
                <w:bCs w:val="1"/>
                <w:color w:val="auto"/>
              </w:rPr>
              <w:t>INDEPENDENT</w:t>
            </w:r>
          </w:p>
        </w:tc>
        <w:tc>
          <w:tcPr>
            <w:tcW w:w="2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88"/>
              </w:rPr>
              <w:t>Other Public Company Directorships:</w:t>
            </w: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Arial" w:cs="Arial" w:eastAsia="Arial" w:hAnsi="Arial"/>
                <w:sz w:val="13"/>
                <w:szCs w:val="13"/>
                <w:color w:val="auto"/>
              </w:rPr>
              <w:t>Age 60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ViewRay, Inc.</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Six years of service</w:t>
      </w:r>
    </w:p>
    <w:p>
      <w:pPr>
        <w:ind w:left="132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2015</w:t>
      </w:r>
      <w:r>
        <w:rPr>
          <w:rFonts w:ascii="Arial" w:cs="Arial" w:eastAsia="Arial" w:hAnsi="Arial"/>
          <w:sz w:val="13"/>
          <w:szCs w:val="13"/>
          <w:color w:val="auto"/>
        </w:rPr>
        <w:t>)</w:t>
      </w:r>
    </w:p>
    <w:p>
      <w:pPr>
        <w:spacing w:after="0" w:line="9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Chair of the Board</w:t>
      </w:r>
    </w:p>
    <w:p>
      <w:pPr>
        <w:ind w:left="1320"/>
        <w:spacing w:after="0"/>
        <w:rPr>
          <w:sz w:val="20"/>
          <w:szCs w:val="20"/>
          <w:color w:val="auto"/>
        </w:rPr>
      </w:pPr>
      <w:r>
        <w:rPr>
          <w:rFonts w:ascii="Arial" w:cs="Arial" w:eastAsia="Arial" w:hAnsi="Arial"/>
          <w:sz w:val="13"/>
          <w:szCs w:val="13"/>
          <w:color w:val="auto"/>
        </w:rPr>
        <w:t>and private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367030</wp:posOffset>
            </wp:positionV>
            <wp:extent cx="5212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513080</wp:posOffset>
            </wp:positionV>
            <wp:extent cx="520319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32" w:lineRule="exact"/>
        <w:rPr>
          <w:sz w:val="20"/>
          <w:szCs w:val="20"/>
          <w:color w:val="auto"/>
        </w:rPr>
      </w:pPr>
    </w:p>
    <w:p>
      <w:pPr>
        <w:ind w:left="147" w:right="499" w:hanging="147"/>
        <w:spacing w:after="0" w:line="244" w:lineRule="auto"/>
        <w:tabs>
          <w:tab w:leader="none" w:pos="1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w:t>
      </w:r>
    </w:p>
    <w:p>
      <w:pPr>
        <w:spacing w:after="0" w:line="200" w:lineRule="exact"/>
        <w:rPr>
          <w:sz w:val="20"/>
          <w:szCs w:val="20"/>
          <w:color w:val="auto"/>
        </w:rPr>
      </w:pPr>
    </w:p>
    <w:p>
      <w:pPr>
        <w:sectPr>
          <w:pgSz w:w="11900" w:h="16838" w:orient="portrait"/>
          <w:cols w:equalWidth="0" w:num="2">
            <w:col w:w="5373" w:space="720"/>
            <w:col w:w="3786"/>
          </w:cols>
          <w:pgMar w:left="580" w:top="132" w:right="1440" w:bottom="1440" w:gutter="0" w:footer="0" w:header="0"/>
          <w:type w:val="continuous"/>
        </w:sectPr>
      </w:pPr>
    </w:p>
    <w:p>
      <w:pPr>
        <w:spacing w:after="0" w:line="19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ALFRED NOVAK</w:t>
      </w:r>
    </w:p>
    <w:p>
      <w:pPr>
        <w:spacing w:after="0" w:line="9" w:lineRule="exact"/>
        <w:rPr>
          <w:sz w:val="20"/>
          <w:szCs w:val="20"/>
          <w:color w:val="auto"/>
        </w:rPr>
      </w:pPr>
    </w:p>
    <w:p>
      <w:pPr>
        <w:jc w:val="both"/>
        <w:ind w:left="2600" w:right="419"/>
        <w:spacing w:after="0" w:line="243" w:lineRule="auto"/>
        <w:rPr>
          <w:sz w:val="20"/>
          <w:szCs w:val="20"/>
          <w:color w:val="auto"/>
        </w:rPr>
      </w:pPr>
      <w:r>
        <w:rPr>
          <w:rFonts w:ascii="Arial" w:cs="Arial" w:eastAsia="Arial" w:hAnsi="Arial"/>
          <w:sz w:val="14"/>
          <w:szCs w:val="14"/>
          <w:b w:val="1"/>
          <w:bCs w:val="1"/>
          <w:color w:val="auto"/>
        </w:rPr>
        <w:t xml:space="preserve">Alfred Novak </w:t>
      </w:r>
      <w:r>
        <w:rPr>
          <w:rFonts w:ascii="Arial" w:cs="Arial" w:eastAsia="Arial" w:hAnsi="Arial"/>
          <w:sz w:val="14"/>
          <w:szCs w:val="14"/>
          <w:color w:val="auto"/>
        </w:rPr>
        <w:t>has worked as a private investor since 2015. Prior to that, Mr. Novak served as President and CEO</w:t>
      </w:r>
      <w:r>
        <w:rPr>
          <w:rFonts w:ascii="Arial" w:cs="Arial" w:eastAsia="Arial" w:hAnsi="Arial"/>
          <w:sz w:val="14"/>
          <w:szCs w:val="14"/>
          <w:b w:val="1"/>
          <w:bCs w:val="1"/>
          <w:color w:val="auto"/>
        </w:rPr>
        <w:t xml:space="preserve"> </w:t>
      </w:r>
      <w:r>
        <w:rPr>
          <w:rFonts w:ascii="Arial" w:cs="Arial" w:eastAsia="Arial" w:hAnsi="Arial"/>
          <w:sz w:val="14"/>
          <w:szCs w:val="14"/>
          <w:color w:val="auto"/>
        </w:rPr>
        <w:t>of Syntheon Cardiology LLC, an early-stage company developing a percutaneous prosthetic aortic heart valve (2014 to 2015); Chair and CEO of OrbusNeich Medical Technology Company, Ltd., an interventional cardiology company (2010 to 2013); President and CEO of Novoste Corporation, an interventional cardiology company (2002 to 2006); founder of Syntheon, LLC, a company focused on minimally invasive medical devices for the gastroenterology and vascular markets (1998 to 2003); and President, CEO and a director of Biosense, Inc., an electrophysiology company (1996 to 1998). Prior to that time, Mr. Novak was Vice President and Chief Financial Officer of Cordis Corporation. Mr. Novak received a BS from the United States Merchant Marine Academy and an M.B.A. in Healthcare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-926465</wp:posOffset>
            </wp:positionV>
            <wp:extent cx="5203190" cy="1045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03190" cy="10458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79"/>
        </w:trPr>
        <w:tc>
          <w:tcPr>
            <w:tcW w:w="1200" w:type="dxa"/>
            <w:vAlign w:val="bottom"/>
          </w:tcPr>
          <w:p>
            <w:pPr>
              <w:spacing w:after="0"/>
              <w:rPr>
                <w:sz w:val="20"/>
                <w:szCs w:val="20"/>
                <w:color w:val="auto"/>
              </w:rPr>
            </w:pPr>
            <w:r>
              <w:rPr>
                <w:rFonts w:ascii="Arial" w:cs="Arial" w:eastAsia="Arial" w:hAnsi="Arial"/>
                <w:sz w:val="13"/>
                <w:szCs w:val="13"/>
                <w:b w:val="1"/>
                <w:bCs w:val="1"/>
                <w:color w:val="auto"/>
              </w:rPr>
              <w:t>INDEPENDENT</w:t>
            </w:r>
          </w:p>
        </w:tc>
        <w:tc>
          <w:tcPr>
            <w:tcW w:w="2520" w:type="dxa"/>
            <w:vAlign w:val="bottom"/>
          </w:tcPr>
          <w:p>
            <w:pPr>
              <w:ind w:left="8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82"/>
        </w:trPr>
        <w:tc>
          <w:tcPr>
            <w:tcW w:w="1200" w:type="dxa"/>
            <w:vAlign w:val="bottom"/>
            <w:vMerge w:val="restart"/>
          </w:tcPr>
          <w:p>
            <w:pPr>
              <w:spacing w:after="0"/>
              <w:rPr>
                <w:sz w:val="20"/>
                <w:szCs w:val="20"/>
                <w:color w:val="auto"/>
              </w:rPr>
            </w:pPr>
            <w:r>
              <w:rPr>
                <w:rFonts w:ascii="Arial" w:cs="Arial" w:eastAsia="Arial" w:hAnsi="Arial"/>
                <w:sz w:val="13"/>
                <w:szCs w:val="13"/>
                <w:color w:val="auto"/>
              </w:rPr>
              <w:t>Age 73</w:t>
            </w:r>
          </w:p>
        </w:tc>
        <w:tc>
          <w:tcPr>
            <w:tcW w:w="2520" w:type="dxa"/>
            <w:vAlign w:val="bottom"/>
          </w:tcPr>
          <w:p>
            <w:pPr>
              <w:ind w:left="80"/>
              <w:spacing w:after="0"/>
              <w:rPr>
                <w:sz w:val="20"/>
                <w:szCs w:val="20"/>
                <w:color w:val="auto"/>
              </w:rPr>
            </w:pPr>
            <w:r>
              <w:rPr>
                <w:rFonts w:ascii="Arial" w:cs="Arial" w:eastAsia="Arial" w:hAnsi="Arial"/>
                <w:sz w:val="14"/>
                <w:szCs w:val="14"/>
                <w:color w:val="auto"/>
                <w:w w:val="99"/>
              </w:rPr>
              <w:t>• Audit and Compliance; Compensation</w:t>
            </w: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3"/>
                <w:szCs w:val="13"/>
                <w:color w:val="auto"/>
              </w:rPr>
              <w:t>Six years of service</w:t>
            </w:r>
          </w:p>
        </w:tc>
        <w:tc>
          <w:tcPr>
            <w:tcW w:w="2520" w:type="dxa"/>
            <w:vAlign w:val="bottom"/>
          </w:tcPr>
          <w:p>
            <w:pPr>
              <w:ind w:left="80"/>
              <w:spacing w:after="0"/>
              <w:rPr>
                <w:sz w:val="20"/>
                <w:szCs w:val="20"/>
                <w:color w:val="auto"/>
              </w:rPr>
            </w:pPr>
            <w:r>
              <w:rPr>
                <w:rFonts w:ascii="Arial" w:cs="Arial" w:eastAsia="Arial" w:hAnsi="Arial"/>
                <w:sz w:val="14"/>
                <w:szCs w:val="14"/>
                <w:b w:val="1"/>
                <w:bCs w:val="1"/>
                <w:color w:val="auto"/>
                <w:w w:val="96"/>
              </w:rPr>
              <w:t>Other Public Company Directorships:</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2015</w:t>
            </w:r>
            <w:r>
              <w:rPr>
                <w:rFonts w:ascii="Arial" w:cs="Arial" w:eastAsia="Arial" w:hAnsi="Arial"/>
                <w:sz w:val="13"/>
                <w:szCs w:val="13"/>
                <w:color w:val="auto"/>
              </w:rPr>
              <w:t>)</w:t>
            </w:r>
          </w:p>
        </w:tc>
        <w:tc>
          <w:tcPr>
            <w:tcW w:w="2520" w:type="dxa"/>
            <w:vAlign w:val="bottom"/>
          </w:tcPr>
          <w:p>
            <w:pPr>
              <w:ind w:left="80"/>
              <w:spacing w:after="0"/>
              <w:rPr>
                <w:sz w:val="20"/>
                <w:szCs w:val="20"/>
                <w:color w:val="auto"/>
              </w:rPr>
            </w:pPr>
            <w:r>
              <w:rPr>
                <w:rFonts w:ascii="Arial" w:cs="Arial" w:eastAsia="Arial" w:hAnsi="Arial"/>
                <w:sz w:val="14"/>
                <w:szCs w:val="14"/>
                <w:color w:val="auto"/>
              </w:rPr>
              <w:t>• None</w:t>
            </w:r>
          </w:p>
        </w:tc>
        <w:tc>
          <w:tcPr>
            <w:tcW w:w="0" w:type="dxa"/>
            <w:vAlign w:val="bottom"/>
          </w:tcPr>
          <w:p>
            <w:pPr>
              <w:spacing w:after="0"/>
              <w:rPr>
                <w:sz w:val="1"/>
                <w:szCs w:val="1"/>
                <w:color w:val="auto"/>
              </w:rPr>
            </w:pPr>
          </w:p>
        </w:tc>
      </w:tr>
      <w:tr>
        <w:trPr>
          <w:trHeight w:val="228"/>
        </w:trPr>
        <w:tc>
          <w:tcPr>
            <w:tcW w:w="1200" w:type="dxa"/>
            <w:vAlign w:val="bottom"/>
          </w:tcPr>
          <w:p>
            <w:pPr>
              <w:spacing w:after="0"/>
              <w:rPr>
                <w:sz w:val="20"/>
                <w:szCs w:val="20"/>
                <w:color w:val="auto"/>
              </w:rPr>
            </w:pPr>
            <w:r>
              <w:rPr>
                <w:rFonts w:ascii="Arial" w:cs="Arial" w:eastAsia="Arial" w:hAnsi="Arial"/>
                <w:sz w:val="13"/>
                <w:szCs w:val="13"/>
                <w:color w:val="auto"/>
              </w:rPr>
              <w:t>Private investor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977900</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7" w:right="519"/>
        <w:spacing w:after="0" w:line="259" w:lineRule="auto"/>
        <w:rPr>
          <w:sz w:val="20"/>
          <w:szCs w:val="20"/>
          <w:color w:val="auto"/>
        </w:rPr>
      </w:pPr>
      <w:r>
        <w:rPr>
          <w:rFonts w:ascii="Arial" w:cs="Arial" w:eastAsia="Arial" w:hAnsi="Arial"/>
          <w:sz w:val="14"/>
          <w:szCs w:val="14"/>
          <w:b w:val="1"/>
          <w:bCs w:val="1"/>
          <w:color w:val="auto"/>
        </w:rPr>
        <w:t>Former Public Company Directorships During the Past Five Years: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4"/>
          <w:szCs w:val="14"/>
          <w:color w:val="auto"/>
        </w:rPr>
        <w:t>• Dova Pharmaceuticals, Inc.</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25" w:lineRule="exact"/>
        <w:rPr>
          <w:sz w:val="20"/>
          <w:szCs w:val="20"/>
          <w:color w:val="auto"/>
        </w:rPr>
      </w:pPr>
    </w:p>
    <w:p>
      <w:pPr>
        <w:ind w:left="147" w:right="479" w:hanging="147"/>
        <w:spacing w:after="0" w:line="243" w:lineRule="auto"/>
        <w:tabs>
          <w:tab w:leader="none" w:pos="1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Novak has broad operating executive experience as CEO and CFO as well as leading marketing and sales at medical device companies. In addition, he has board of director experience at medical device and pharmaceutical companies, including service on audit and compensation committees. Further, he has expertise concerning new product development, regulatory approval and commercialization of medical devices. Mr. Novak is also an audit committee financial expert.</w:t>
      </w:r>
    </w:p>
    <w:p>
      <w:pPr>
        <w:spacing w:after="0" w:line="200" w:lineRule="exact"/>
        <w:rPr>
          <w:sz w:val="20"/>
          <w:szCs w:val="20"/>
          <w:color w:val="auto"/>
        </w:rPr>
      </w:pPr>
    </w:p>
    <w:p>
      <w:pPr>
        <w:sectPr>
          <w:pgSz w:w="11900" w:h="16838" w:orient="portrait"/>
          <w:cols w:equalWidth="0" w:num="2">
            <w:col w:w="5373" w:space="720"/>
            <w:col w:w="3786"/>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1055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SHARON O’KANE</w:t>
      </w:r>
    </w:p>
    <w:p>
      <w:pPr>
        <w:spacing w:after="0" w:line="9" w:lineRule="exact"/>
        <w:rPr>
          <w:sz w:val="20"/>
          <w:szCs w:val="20"/>
          <w:color w:val="auto"/>
        </w:rPr>
      </w:pPr>
    </w:p>
    <w:p>
      <w:pPr>
        <w:jc w:val="both"/>
        <w:ind w:left="2600" w:right="419"/>
        <w:spacing w:after="0" w:line="243" w:lineRule="auto"/>
        <w:rPr>
          <w:sz w:val="20"/>
          <w:szCs w:val="20"/>
          <w:color w:val="auto"/>
        </w:rPr>
      </w:pPr>
      <w:r>
        <w:rPr>
          <w:rFonts w:ascii="Arial" w:cs="Arial" w:eastAsia="Arial" w:hAnsi="Arial"/>
          <w:sz w:val="14"/>
          <w:szCs w:val="14"/>
          <w:b w:val="1"/>
          <w:bCs w:val="1"/>
          <w:color w:val="auto"/>
        </w:rPr>
        <w:t>Sharon O’Kane</w:t>
      </w:r>
      <w:r>
        <w:rPr>
          <w:rFonts w:ascii="Arial" w:cs="Arial" w:eastAsia="Arial" w:hAnsi="Arial"/>
          <w:sz w:val="14"/>
          <w:szCs w:val="14"/>
          <w:color w:val="auto"/>
        </w:rPr>
        <w:t>, Ph.D., has served as an Entrepreneur in Residence at University College Dublin since 2015. She</w:t>
      </w:r>
      <w:r>
        <w:rPr>
          <w:rFonts w:ascii="Arial" w:cs="Arial" w:eastAsia="Arial" w:hAnsi="Arial"/>
          <w:sz w:val="14"/>
          <w:szCs w:val="14"/>
          <w:b w:val="1"/>
          <w:bCs w:val="1"/>
          <w:color w:val="auto"/>
        </w:rPr>
        <w:t xml:space="preserve"> </w:t>
      </w:r>
      <w:r>
        <w:rPr>
          <w:rFonts w:ascii="Arial" w:cs="Arial" w:eastAsia="Arial" w:hAnsi="Arial"/>
          <w:sz w:val="14"/>
          <w:szCs w:val="14"/>
          <w:color w:val="auto"/>
        </w:rPr>
        <w:t>was also 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w:t>
      </w:r>
    </w:p>
    <w:p>
      <w:pPr>
        <w:sectPr>
          <w:pgSz w:w="11900" w:h="16838" w:orient="portrait"/>
          <w:cols w:equalWidth="0" w:num="1">
            <w:col w:w="9879"/>
          </w:cols>
          <w:pgMar w:left="580" w:top="131" w:right="1440" w:bottom="1440" w:gutter="0" w:footer="0" w:header="0"/>
        </w:sectPr>
      </w:pPr>
    </w:p>
    <w:p>
      <w:pPr>
        <w:spacing w:after="0" w:line="178" w:lineRule="exact"/>
        <w:rPr>
          <w:sz w:val="20"/>
          <w:szCs w:val="20"/>
          <w:color w:val="auto"/>
        </w:rPr>
      </w:pPr>
    </w:p>
    <w:tbl>
      <w:tblPr>
        <w:tblLayout w:type="fixed"/>
        <w:tblInd w:w="1320" w:type="dxa"/>
        <w:tblCellMar>
          <w:top w:w="0" w:type="dxa"/>
          <w:left w:w="0" w:type="dxa"/>
          <w:bottom w:w="0" w:type="dxa"/>
          <w:right w:w="0" w:type="dxa"/>
        </w:tblCellMar>
      </w:tblPr>
      <w:tr>
        <w:trPr>
          <w:trHeight w:val="179"/>
        </w:trPr>
        <w:tc>
          <w:tcPr>
            <w:tcW w:w="120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20"/>
                <w:szCs w:val="20"/>
                <w:color w:val="auto"/>
              </w:rPr>
            </w:pPr>
            <w:r>
              <w:rPr>
                <w:rFonts w:ascii="Arial" w:cs="Arial" w:eastAsia="Arial" w:hAnsi="Arial"/>
                <w:sz w:val="13"/>
                <w:szCs w:val="13"/>
                <w:b w:val="1"/>
                <w:bCs w:val="1"/>
                <w:color w:val="auto"/>
              </w:rPr>
              <w:t>INDEPENDENT</w:t>
            </w:r>
          </w:p>
        </w:tc>
        <w:tc>
          <w:tcPr>
            <w:tcW w:w="3040" w:type="dxa"/>
            <w:vAlign w:val="bottom"/>
          </w:tcPr>
          <w:p>
            <w:pPr>
              <w:ind w:left="80"/>
              <w:spacing w:after="0"/>
              <w:rPr>
                <w:sz w:val="20"/>
                <w:szCs w:val="20"/>
                <w:color w:val="auto"/>
              </w:rPr>
            </w:pPr>
            <w:r>
              <w:rPr>
                <w:rFonts w:ascii="Arial" w:cs="Arial" w:eastAsia="Arial" w:hAnsi="Arial"/>
                <w:sz w:val="14"/>
                <w:szCs w:val="14"/>
                <w:color w:val="auto"/>
                <w:w w:val="99"/>
              </w:rPr>
              <w:t>• Nominating and Corporate Governance (chair)</w:t>
            </w: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Arial" w:cs="Arial" w:eastAsia="Arial" w:hAnsi="Arial"/>
                <w:sz w:val="13"/>
                <w:szCs w:val="13"/>
                <w:color w:val="auto"/>
              </w:rPr>
              <w:t>Age 53</w:t>
            </w:r>
          </w:p>
        </w:tc>
        <w:tc>
          <w:tcPr>
            <w:tcW w:w="3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Other Public Company Directorships:</w:t>
            </w: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200" w:type="dxa"/>
            <w:vAlign w:val="bottom"/>
          </w:tcPr>
          <w:p>
            <w:pPr>
              <w:spacing w:after="0" w:line="141" w:lineRule="exact"/>
              <w:rPr>
                <w:sz w:val="20"/>
                <w:szCs w:val="20"/>
                <w:color w:val="auto"/>
              </w:rPr>
            </w:pPr>
            <w:r>
              <w:rPr>
                <w:rFonts w:ascii="Arial" w:cs="Arial" w:eastAsia="Arial" w:hAnsi="Arial"/>
                <w:sz w:val="13"/>
                <w:szCs w:val="13"/>
                <w:color w:val="auto"/>
              </w:rPr>
              <w:t>Six years of service</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 None</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2015</w:t>
            </w:r>
            <w:r>
              <w:rPr>
                <w:rFonts w:ascii="Arial" w:cs="Arial" w:eastAsia="Arial" w:hAnsi="Arial"/>
                <w:sz w:val="13"/>
                <w:szCs w:val="13"/>
                <w:color w:val="auto"/>
              </w:rPr>
              <w:t>)</w:t>
            </w: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0" w:type="dxa"/>
            <w:vAlign w:val="bottom"/>
          </w:tcPr>
          <w:p>
            <w:pPr>
              <w:spacing w:after="0"/>
              <w:rPr>
                <w:sz w:val="20"/>
                <w:szCs w:val="20"/>
                <w:color w:val="auto"/>
              </w:rPr>
            </w:pPr>
            <w:r>
              <w:rPr>
                <w:rFonts w:ascii="Arial" w:cs="Arial" w:eastAsia="Arial" w:hAnsi="Arial"/>
                <w:sz w:val="13"/>
                <w:szCs w:val="13"/>
                <w:color w:val="auto"/>
              </w:rPr>
              <w:t>Entrepreneur in</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Residence</w:t>
            </w: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University College</w:t>
            </w: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3"/>
                <w:szCs w:val="13"/>
                <w:color w:val="auto"/>
              </w:rPr>
              <w:t>Dublin</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685800</wp:posOffset>
            </wp:positionV>
            <wp:extent cx="5212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831850</wp:posOffset>
            </wp:positionV>
            <wp:extent cx="5203190" cy="11055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03190" cy="1105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32" w:lineRule="exact"/>
        <w:rPr>
          <w:sz w:val="20"/>
          <w:szCs w:val="20"/>
          <w:color w:val="auto"/>
        </w:rPr>
      </w:pPr>
    </w:p>
    <w:p>
      <w:pPr>
        <w:ind w:left="147" w:right="519" w:hanging="147"/>
        <w:spacing w:after="0" w:line="261" w:lineRule="auto"/>
        <w:tabs>
          <w:tab w:leader="none" w:pos="147" w:val="left"/>
        </w:tabs>
        <w:numPr>
          <w:ilvl w:val="0"/>
          <w:numId w:val="18"/>
        </w:numPr>
        <w:rPr>
          <w:rFonts w:ascii="Arial" w:cs="Arial" w:eastAsia="Arial" w:hAnsi="Arial"/>
          <w:sz w:val="13"/>
          <w:szCs w:val="13"/>
          <w:color w:val="auto"/>
        </w:rPr>
      </w:pPr>
      <w:r>
        <w:rPr>
          <w:rFonts w:ascii="Arial" w:cs="Arial" w:eastAsia="Arial" w:hAnsi="Arial"/>
          <w:sz w:val="13"/>
          <w:szCs w:val="13"/>
          <w:color w:val="auto"/>
        </w:rPr>
        <w:t>Dr. O’Kane has extensive experience in healthcare, both in the academic realm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Science Officer and executive director of Renovo Group Plc and was responsible for growing the university spin-out to a public company, and a non-executive director of Iomet Pharma Ltd.</w:t>
      </w:r>
    </w:p>
    <w:p>
      <w:pPr>
        <w:spacing w:after="0" w:line="5" w:lineRule="exact"/>
        <w:rPr>
          <w:rFonts w:ascii="Arial" w:cs="Arial" w:eastAsia="Arial" w:hAnsi="Arial"/>
          <w:sz w:val="13"/>
          <w:szCs w:val="13"/>
          <w:color w:val="auto"/>
        </w:rPr>
      </w:pPr>
    </w:p>
    <w:p>
      <w:pPr>
        <w:ind w:left="147" w:right="539"/>
        <w:spacing w:after="0" w:line="248" w:lineRule="auto"/>
        <w:rPr>
          <w:rFonts w:ascii="Arial" w:cs="Arial" w:eastAsia="Arial" w:hAnsi="Arial"/>
          <w:sz w:val="13"/>
          <w:szCs w:val="13"/>
          <w:color w:val="auto"/>
        </w:rPr>
      </w:pPr>
      <w:r>
        <w:rPr>
          <w:rFonts w:ascii="Arial" w:cs="Arial" w:eastAsia="Arial" w:hAnsi="Arial"/>
          <w:sz w:val="14"/>
          <w:szCs w:val="14"/>
          <w:color w:val="auto"/>
        </w:rPr>
        <w:t>Dr. O’Kane received corporate director governance training at the Institute of Directors and Harvard Business School.</w:t>
      </w:r>
    </w:p>
    <w:p>
      <w:pPr>
        <w:spacing w:after="0" w:line="200" w:lineRule="exact"/>
        <w:rPr>
          <w:sz w:val="20"/>
          <w:szCs w:val="20"/>
          <w:color w:val="auto"/>
        </w:rPr>
      </w:pPr>
    </w:p>
    <w:p>
      <w:pPr>
        <w:sectPr>
          <w:pgSz w:w="11900" w:h="16838" w:orient="portrait"/>
          <w:cols w:equalWidth="0" w:num="2">
            <w:col w:w="5560" w:space="533"/>
            <w:col w:w="3786"/>
          </w:cols>
          <w:pgMar w:left="580" w:top="131" w:right="1440" w:bottom="1440" w:gutter="0" w:footer="0" w:header="0"/>
          <w:type w:val="continuous"/>
        </w:sectPr>
      </w:pPr>
    </w:p>
    <w:p>
      <w:pPr>
        <w:spacing w:after="0" w:line="19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ARTHUR ROSENTHAL</w:t>
      </w:r>
    </w:p>
    <w:p>
      <w:pPr>
        <w:spacing w:after="0" w:line="9" w:lineRule="exact"/>
        <w:rPr>
          <w:sz w:val="20"/>
          <w:szCs w:val="20"/>
          <w:color w:val="auto"/>
        </w:rPr>
      </w:pPr>
    </w:p>
    <w:p>
      <w:pPr>
        <w:jc w:val="both"/>
        <w:ind w:left="2600" w:right="439"/>
        <w:spacing w:after="0" w:line="260" w:lineRule="auto"/>
        <w:rPr>
          <w:sz w:val="20"/>
          <w:szCs w:val="20"/>
          <w:color w:val="auto"/>
        </w:rPr>
      </w:pPr>
      <w:r>
        <w:rPr>
          <w:rFonts w:ascii="Arial" w:cs="Arial" w:eastAsia="Arial" w:hAnsi="Arial"/>
          <w:sz w:val="13"/>
          <w:szCs w:val="13"/>
          <w:b w:val="1"/>
          <w:bCs w:val="1"/>
          <w:color w:val="auto"/>
        </w:rPr>
        <w:t>Arthur Rosenthal</w:t>
      </w:r>
      <w:r>
        <w:rPr>
          <w:rFonts w:ascii="Arial" w:cs="Arial" w:eastAsia="Arial" w:hAnsi="Arial"/>
          <w:sz w:val="13"/>
          <w:szCs w:val="13"/>
          <w:color w:val="auto"/>
        </w:rPr>
        <w:t>, PhD, retired from EyeCue, Inc., a development-stage medical device company working on a</w:t>
      </w:r>
      <w:r>
        <w:rPr>
          <w:rFonts w:ascii="Arial" w:cs="Arial" w:eastAsia="Arial" w:hAnsi="Arial"/>
          <w:sz w:val="13"/>
          <w:szCs w:val="13"/>
          <w:b w:val="1"/>
          <w:bCs w:val="1"/>
          <w:color w:val="auto"/>
        </w:rPr>
        <w:t xml:space="preserve"> </w:t>
      </w:r>
      <w:r>
        <w:rPr>
          <w:rFonts w:ascii="Arial" w:cs="Arial" w:eastAsia="Arial" w:hAnsi="Arial"/>
          <w:sz w:val="13"/>
          <w:szCs w:val="13"/>
          <w:color w:val="auto"/>
        </w:rPr>
        <w:t>guided biopsy for lower and upper gastrointestinal cancer screening, after serving as co-founder and CEO from 2011 to 2015. Dr. Rosenthal also served as Professor of Practice in the Biomedical Engineering Department at Boston University from 2010 to 2015. Prior to co-founding EyeCue in 2011, Dr. Rosenthal served as President and CEO of Cappella, Inc., a development-stage company focused on novel device solutions for coronary artery disease (2009 to 2011); CEO of Labcoat, Ltd., a development-stage drug- eluting stent technology company, from 2005 until its acquisition by Boston Scientific in 2008; Senior Vice President, Chief Science Officer and Executive Committee Member of Boston Scientific (2000 to 2005); and Senior Vice President, Corporate Officer and Chief Development Officer at Boston Scientific (1994 to 2000). Dr. Rosenthal earned his Bachelor Degree in Bacteriology from the University of Connecticut and a Ph.D in Biochemistry from the University of</w:t>
      </w:r>
    </w:p>
    <w:p>
      <w:pPr>
        <w:ind w:left="1320"/>
        <w:spacing w:after="0" w:line="187" w:lineRule="auto"/>
        <w:tabs>
          <w:tab w:leader="none" w:pos="2580" w:val="left"/>
        </w:tabs>
        <w:rPr>
          <w:sz w:val="20"/>
          <w:szCs w:val="20"/>
          <w:color w:val="auto"/>
        </w:rPr>
      </w:pPr>
      <w:r>
        <w:rPr>
          <w:rFonts w:ascii="Arial" w:cs="Arial" w:eastAsia="Arial" w:hAnsi="Arial"/>
          <w:sz w:val="19"/>
          <w:szCs w:val="19"/>
          <w:b w:val="1"/>
          <w:bCs w:val="1"/>
          <w:color w:val="auto"/>
          <w:vertAlign w:val="subscript"/>
        </w:rPr>
        <w:t>INDEPENDENT</w:t>
      </w:r>
      <w:r>
        <w:rPr>
          <w:sz w:val="20"/>
          <w:szCs w:val="20"/>
          <w:color w:val="auto"/>
        </w:rPr>
        <w:tab/>
      </w:r>
      <w:r>
        <w:rPr>
          <w:rFonts w:ascii="Arial" w:cs="Arial" w:eastAsia="Arial" w:hAnsi="Arial"/>
          <w:sz w:val="11"/>
          <w:szCs w:val="11"/>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16510</wp:posOffset>
            </wp:positionV>
            <wp:extent cx="4406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p>
      <w:pPr>
        <w:spacing w:after="0" w:line="5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200" w:type="dxa"/>
            <w:vAlign w:val="bottom"/>
            <w:vMerge w:val="restart"/>
          </w:tcPr>
          <w:p>
            <w:pPr>
              <w:spacing w:after="0"/>
              <w:rPr>
                <w:sz w:val="20"/>
                <w:szCs w:val="20"/>
                <w:color w:val="auto"/>
              </w:rPr>
            </w:pPr>
            <w:r>
              <w:rPr>
                <w:rFonts w:ascii="Arial" w:cs="Arial" w:eastAsia="Arial" w:hAnsi="Arial"/>
                <w:sz w:val="13"/>
                <w:szCs w:val="13"/>
                <w:color w:val="auto"/>
              </w:rPr>
              <w:t>Age 74</w:t>
            </w:r>
          </w:p>
        </w:tc>
        <w:tc>
          <w:tcPr>
            <w:tcW w:w="232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13"/>
        </w:trPr>
        <w:tc>
          <w:tcPr>
            <w:tcW w:w="1200" w:type="dxa"/>
            <w:vAlign w:val="bottom"/>
            <w:vMerge w:val="continue"/>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140" w:type="dxa"/>
            <w:vAlign w:val="bottom"/>
            <w:vMerge w:val="restart"/>
          </w:tcPr>
          <w:p>
            <w:pPr>
              <w:ind w:left="40"/>
              <w:spacing w:after="0"/>
              <w:rPr>
                <w:sz w:val="20"/>
                <w:szCs w:val="20"/>
                <w:color w:val="auto"/>
              </w:rPr>
            </w:pPr>
            <w:r>
              <w:rPr>
                <w:rFonts w:ascii="Arial" w:cs="Arial" w:eastAsia="Arial" w:hAnsi="Arial"/>
                <w:sz w:val="14"/>
                <w:szCs w:val="14"/>
                <w:color w:val="auto"/>
              </w:rPr>
              <w:t>Compensation (chair)</w:t>
            </w: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line="148" w:lineRule="exact"/>
              <w:rPr>
                <w:sz w:val="20"/>
                <w:szCs w:val="20"/>
                <w:color w:val="auto"/>
              </w:rPr>
            </w:pPr>
            <w:r>
              <w:rPr>
                <w:rFonts w:ascii="Arial" w:cs="Arial" w:eastAsia="Arial" w:hAnsi="Arial"/>
                <w:sz w:val="13"/>
                <w:szCs w:val="13"/>
                <w:color w:val="auto"/>
              </w:rPr>
              <w:t>Six years of service</w:t>
            </w: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2015</w:t>
            </w:r>
            <w:r>
              <w:rPr>
                <w:rFonts w:ascii="Arial" w:cs="Arial" w:eastAsia="Arial" w:hAnsi="Arial"/>
                <w:sz w:val="13"/>
                <w:szCs w:val="13"/>
                <w:color w:val="auto"/>
              </w:rPr>
              <w:t>)</w:t>
            </w:r>
          </w:p>
        </w:tc>
        <w:tc>
          <w:tcPr>
            <w:tcW w:w="2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8"/>
              </w:rPr>
              <w:t>Other Public Company Directorships:</w:t>
            </w:r>
          </w:p>
        </w:tc>
        <w:tc>
          <w:tcPr>
            <w:tcW w:w="0" w:type="dxa"/>
            <w:vAlign w:val="bottom"/>
          </w:tcPr>
          <w:p>
            <w:pPr>
              <w:spacing w:after="0"/>
              <w:rPr>
                <w:sz w:val="1"/>
                <w:szCs w:val="1"/>
                <w:color w:val="auto"/>
              </w:rPr>
            </w:pPr>
          </w:p>
        </w:tc>
      </w:tr>
      <w:tr>
        <w:trPr>
          <w:trHeight w:val="36"/>
        </w:trPr>
        <w:tc>
          <w:tcPr>
            <w:tcW w:w="1200" w:type="dxa"/>
            <w:vAlign w:val="bottom"/>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20"/>
                <w:szCs w:val="20"/>
                <w:color w:val="auto"/>
              </w:rPr>
            </w:pPr>
            <w:r>
              <w:rPr>
                <w:rFonts w:ascii="Arial" w:cs="Arial" w:eastAsia="Arial" w:hAnsi="Arial"/>
                <w:sz w:val="13"/>
                <w:szCs w:val="13"/>
                <w:color w:val="auto"/>
              </w:rPr>
              <w:t>Retired CEO</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Profound Medical Corp.</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3"/>
                <w:szCs w:val="13"/>
                <w:color w:val="auto"/>
              </w:rPr>
              <w:t>EyeCue, Inc.</w:t>
            </w: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908685</wp:posOffset>
            </wp:positionV>
            <wp:extent cx="5212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 w:right="519"/>
        <w:spacing w:after="0" w:line="254" w:lineRule="auto"/>
        <w:rPr>
          <w:sz w:val="20"/>
          <w:szCs w:val="20"/>
          <w:color w:val="auto"/>
        </w:rPr>
      </w:pPr>
      <w:r>
        <w:rPr>
          <w:rFonts w:ascii="Arial" w:cs="Arial" w:eastAsia="Arial" w:hAnsi="Arial"/>
          <w:sz w:val="14"/>
          <w:szCs w:val="14"/>
          <w:b w:val="1"/>
          <w:bCs w:val="1"/>
          <w:color w:val="auto"/>
        </w:rPr>
        <w:t>Former Public Company Directorships During the Past Five Years: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4"/>
          <w:szCs w:val="14"/>
          <w:color w:val="auto"/>
        </w:rPr>
        <w:t>• Arch Therapeutics, Inc.</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25" w:lineRule="exact"/>
        <w:rPr>
          <w:sz w:val="20"/>
          <w:szCs w:val="20"/>
          <w:color w:val="auto"/>
        </w:rPr>
      </w:pPr>
    </w:p>
    <w:p>
      <w:pPr>
        <w:ind w:left="147" w:right="479" w:hanging="147"/>
        <w:spacing w:after="0" w:line="265" w:lineRule="auto"/>
        <w:tabs>
          <w:tab w:leader="none" w:pos="1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more than 40 years, Dr. Rosenthal has developed medical device technologies as an individual contributor, technology executive and serial entrepreneur. He has extensive knowledge of regulatory and compliance requirements pertaining to medical devices and experience with new product development and technology commercialization as well as having served as an operating executive with a major medical device manufacturer.</w:t>
      </w:r>
    </w:p>
    <w:p>
      <w:pPr>
        <w:spacing w:after="0" w:line="200" w:lineRule="exact"/>
        <w:rPr>
          <w:sz w:val="20"/>
          <w:szCs w:val="20"/>
          <w:color w:val="auto"/>
        </w:rPr>
      </w:pPr>
    </w:p>
    <w:p>
      <w:pPr>
        <w:sectPr>
          <w:pgSz w:w="11900" w:h="16838" w:orient="portrait"/>
          <w:cols w:equalWidth="0" w:num="2">
            <w:col w:w="5373" w:space="720"/>
            <w:col w:w="3786"/>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03190" cy="11055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0319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ANDREA SAIA</w:t>
      </w:r>
    </w:p>
    <w:p>
      <w:pPr>
        <w:spacing w:after="0" w:line="9" w:lineRule="exact"/>
        <w:rPr>
          <w:sz w:val="20"/>
          <w:szCs w:val="20"/>
          <w:color w:val="auto"/>
        </w:rPr>
      </w:pPr>
    </w:p>
    <w:p>
      <w:pPr>
        <w:jc w:val="both"/>
        <w:ind w:left="2600" w:right="419"/>
        <w:spacing w:after="0" w:line="243" w:lineRule="auto"/>
        <w:rPr>
          <w:sz w:val="20"/>
          <w:szCs w:val="20"/>
          <w:color w:val="auto"/>
        </w:rPr>
      </w:pPr>
      <w:r>
        <w:rPr>
          <w:rFonts w:ascii="Arial" w:cs="Arial" w:eastAsia="Arial" w:hAnsi="Arial"/>
          <w:sz w:val="14"/>
          <w:szCs w:val="14"/>
          <w:b w:val="1"/>
          <w:bCs w:val="1"/>
          <w:color w:val="auto"/>
        </w:rPr>
        <w:t xml:space="preserve">Andrea Saia </w:t>
      </w:r>
      <w:r>
        <w:rPr>
          <w:rFonts w:ascii="Arial" w:cs="Arial" w:eastAsia="Arial" w:hAnsi="Arial"/>
          <w:sz w:val="14"/>
          <w:szCs w:val="14"/>
          <w:color w:val="auto"/>
        </w:rPr>
        <w:t>served as the Global Head of Vision Care in the Alcon Division of Novartis AG, a global healthcare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from 2011 until her retirement in 2012. Prior to this role, she served as President and CEO of CibaVision Corporation, a subsidiary of Novartis, from 2008 to 2011. From 2005 to 2007, Ms. Saia served as President of Europe, Middle East and Africa operations, CibaVision’s largest regional business unit. She joined CibaVision in 2002 as Global Head of Marketing and was promoted 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109855</wp:posOffset>
            </wp:positionV>
            <wp:extent cx="44062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1100" w:type="dxa"/>
            <w:vAlign w:val="bottom"/>
          </w:tcPr>
          <w:p>
            <w:pPr>
              <w:spacing w:after="0"/>
              <w:rPr>
                <w:sz w:val="20"/>
                <w:szCs w:val="20"/>
                <w:color w:val="auto"/>
              </w:rPr>
            </w:pPr>
            <w:r>
              <w:rPr>
                <w:rFonts w:ascii="Arial" w:cs="Arial" w:eastAsia="Arial" w:hAnsi="Arial"/>
                <w:sz w:val="13"/>
                <w:szCs w:val="13"/>
                <w:b w:val="1"/>
                <w:bCs w:val="1"/>
                <w:color w:val="auto"/>
              </w:rPr>
              <w:t>INDEPENDENT</w:t>
            </w:r>
          </w:p>
        </w:tc>
        <w:tc>
          <w:tcPr>
            <w:tcW w:w="3020" w:type="dxa"/>
            <w:vAlign w:val="bottom"/>
          </w:tcPr>
          <w:p>
            <w:pPr>
              <w:ind w:left="18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82"/>
        </w:trPr>
        <w:tc>
          <w:tcPr>
            <w:tcW w:w="1100" w:type="dxa"/>
            <w:vAlign w:val="bottom"/>
            <w:vMerge w:val="restart"/>
          </w:tcPr>
          <w:p>
            <w:pPr>
              <w:spacing w:after="0"/>
              <w:rPr>
                <w:sz w:val="20"/>
                <w:szCs w:val="20"/>
                <w:color w:val="auto"/>
              </w:rPr>
            </w:pPr>
            <w:r>
              <w:rPr>
                <w:rFonts w:ascii="Arial" w:cs="Arial" w:eastAsia="Arial" w:hAnsi="Arial"/>
                <w:sz w:val="13"/>
                <w:szCs w:val="13"/>
                <w:color w:val="auto"/>
              </w:rPr>
              <w:t>Age 63</w:t>
            </w:r>
          </w:p>
        </w:tc>
        <w:tc>
          <w:tcPr>
            <w:tcW w:w="3020" w:type="dxa"/>
            <w:vAlign w:val="bottom"/>
          </w:tcPr>
          <w:p>
            <w:pPr>
              <w:ind w:left="180"/>
              <w:spacing w:after="0"/>
              <w:rPr>
                <w:sz w:val="20"/>
                <w:szCs w:val="20"/>
                <w:color w:val="auto"/>
              </w:rPr>
            </w:pPr>
            <w:r>
              <w:rPr>
                <w:rFonts w:ascii="Arial" w:cs="Arial" w:eastAsia="Arial" w:hAnsi="Arial"/>
                <w:sz w:val="14"/>
                <w:szCs w:val="14"/>
                <w:color w:val="auto"/>
              </w:rPr>
              <w:t>• Audit and Compliance</w:t>
            </w:r>
          </w:p>
        </w:tc>
        <w:tc>
          <w:tcPr>
            <w:tcW w:w="0" w:type="dxa"/>
            <w:vAlign w:val="bottom"/>
          </w:tcPr>
          <w:p>
            <w:pPr>
              <w:spacing w:after="0"/>
              <w:rPr>
                <w:sz w:val="1"/>
                <w:szCs w:val="1"/>
                <w:color w:val="auto"/>
              </w:rPr>
            </w:pPr>
          </w:p>
        </w:tc>
      </w:tr>
      <w:tr>
        <w:trPr>
          <w:trHeight w:val="106"/>
        </w:trPr>
        <w:tc>
          <w:tcPr>
            <w:tcW w:w="11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3"/>
                <w:szCs w:val="13"/>
                <w:color w:val="auto"/>
              </w:rPr>
              <w:t>Five years of</w:t>
            </w:r>
          </w:p>
        </w:tc>
        <w:tc>
          <w:tcPr>
            <w:tcW w:w="3020" w:type="dxa"/>
            <w:vAlign w:val="bottom"/>
          </w:tcPr>
          <w:p>
            <w:pPr>
              <w:ind w:left="180"/>
              <w:spacing w:after="0"/>
              <w:rPr>
                <w:sz w:val="20"/>
                <w:szCs w:val="20"/>
                <w:color w:val="auto"/>
              </w:rPr>
            </w:pPr>
            <w:r>
              <w:rPr>
                <w:rFonts w:ascii="Arial" w:cs="Arial" w:eastAsia="Arial" w:hAnsi="Arial"/>
                <w:sz w:val="14"/>
                <w:szCs w:val="14"/>
                <w:b w:val="1"/>
                <w:bCs w:val="1"/>
                <w:color w:val="auto"/>
              </w:rPr>
              <w:t>Other Public Company Directorships:</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20"/>
                <w:szCs w:val="20"/>
                <w:color w:val="auto"/>
              </w:rPr>
            </w:pPr>
            <w:r>
              <w:rPr>
                <w:rFonts w:ascii="Arial" w:cs="Arial" w:eastAsia="Arial" w:hAnsi="Arial"/>
                <w:sz w:val="13"/>
                <w:szCs w:val="13"/>
                <w:color w:val="auto"/>
              </w:rPr>
              <w:t>service</w:t>
            </w:r>
          </w:p>
        </w:tc>
        <w:tc>
          <w:tcPr>
            <w:tcW w:w="3020" w:type="dxa"/>
            <w:vAlign w:val="bottom"/>
          </w:tcPr>
          <w:p>
            <w:pPr>
              <w:ind w:left="180"/>
              <w:spacing w:after="0"/>
              <w:rPr>
                <w:sz w:val="20"/>
                <w:szCs w:val="20"/>
                <w:color w:val="auto"/>
              </w:rPr>
            </w:pPr>
            <w:r>
              <w:rPr>
                <w:rFonts w:ascii="Arial" w:cs="Arial" w:eastAsia="Arial" w:hAnsi="Arial"/>
                <w:sz w:val="14"/>
                <w:szCs w:val="14"/>
                <w:color w:val="auto"/>
              </w:rPr>
              <w:t>• Align Technology, Inc.; Outset Medical, Inc.</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auto"/>
              </w:rPr>
              <w:t>2016</w:t>
            </w:r>
            <w:r>
              <w:rPr>
                <w:rFonts w:ascii="Arial" w:cs="Arial" w:eastAsia="Arial" w:hAnsi="Arial"/>
                <w:sz w:val="13"/>
                <w:szCs w:val="13"/>
                <w:color w:val="auto"/>
              </w:rPr>
              <w:t>)</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20"/>
                <w:szCs w:val="20"/>
                <w:color w:val="auto"/>
              </w:rPr>
            </w:pPr>
            <w:r>
              <w:rPr>
                <w:rFonts w:ascii="Arial" w:cs="Arial" w:eastAsia="Arial" w:hAnsi="Arial"/>
                <w:sz w:val="13"/>
                <w:szCs w:val="13"/>
                <w:color w:val="auto"/>
              </w:rPr>
              <w:t>Retired, Global</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Head of Vision</w:t>
            </w: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Care</w:t>
            </w: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color w:val="auto"/>
              </w:rPr>
              <w:t>Alcon Division,</w:t>
            </w: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3"/>
                <w:szCs w:val="13"/>
                <w:color w:val="auto"/>
              </w:rPr>
              <w:t>Novartis AG</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317500</wp:posOffset>
            </wp:positionV>
            <wp:extent cx="5212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462915</wp:posOffset>
            </wp:positionV>
            <wp:extent cx="5212080" cy="10883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088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32" w:lineRule="exact"/>
        <w:rPr>
          <w:sz w:val="20"/>
          <w:szCs w:val="20"/>
          <w:color w:val="auto"/>
        </w:rPr>
      </w:pPr>
    </w:p>
    <w:p>
      <w:pPr>
        <w:ind w:left="147" w:right="499" w:hanging="147"/>
        <w:spacing w:after="0" w:line="264" w:lineRule="auto"/>
        <w:tabs>
          <w:tab w:leader="none" w:pos="147" w:val="left"/>
        </w:tabs>
        <w:numPr>
          <w:ilvl w:val="0"/>
          <w:numId w:val="20"/>
        </w:numPr>
        <w:rPr>
          <w:rFonts w:ascii="Arial" w:cs="Arial" w:eastAsia="Arial" w:hAnsi="Arial"/>
          <w:sz w:val="13"/>
          <w:szCs w:val="13"/>
          <w:color w:val="auto"/>
        </w:rPr>
      </w:pPr>
      <w:r>
        <w:rPr>
          <w:rFonts w:ascii="Arial" w:cs="Arial" w:eastAsia="Arial" w:hAnsi="Arial"/>
          <w:sz w:val="13"/>
          <w:szCs w:val="13"/>
          <w:color w:val="auto"/>
        </w:rPr>
        <w:t>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p>
    <w:p>
      <w:pPr>
        <w:spacing w:after="0" w:line="200" w:lineRule="exact"/>
        <w:rPr>
          <w:sz w:val="20"/>
          <w:szCs w:val="20"/>
          <w:color w:val="auto"/>
        </w:rPr>
      </w:pPr>
    </w:p>
    <w:p>
      <w:pPr>
        <w:sectPr>
          <w:pgSz w:w="11900" w:h="16838" w:orient="portrait"/>
          <w:cols w:equalWidth="0" w:num="2">
            <w:col w:w="5440" w:space="653"/>
            <w:col w:w="3786"/>
          </w:cols>
          <w:pgMar w:left="580" w:top="131" w:right="1440" w:bottom="1440" w:gutter="0" w:footer="0" w:header="0"/>
          <w:type w:val="continuous"/>
        </w:sectPr>
      </w:pPr>
    </w:p>
    <w:p>
      <w:pPr>
        <w:spacing w:after="0" w:line="186"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TODD SCHERMERHORN</w:t>
      </w:r>
    </w:p>
    <w:p>
      <w:pPr>
        <w:spacing w:after="0" w:line="9" w:lineRule="exact"/>
        <w:rPr>
          <w:sz w:val="20"/>
          <w:szCs w:val="20"/>
          <w:color w:val="auto"/>
        </w:rPr>
      </w:pPr>
    </w:p>
    <w:p>
      <w:pPr>
        <w:jc w:val="both"/>
        <w:ind w:left="2600" w:right="439"/>
        <w:spacing w:after="0" w:line="268" w:lineRule="auto"/>
        <w:rPr>
          <w:sz w:val="20"/>
          <w:szCs w:val="20"/>
          <w:color w:val="auto"/>
        </w:rPr>
      </w:pPr>
      <w:r>
        <w:rPr>
          <w:rFonts w:ascii="Arial" w:cs="Arial" w:eastAsia="Arial" w:hAnsi="Arial"/>
          <w:sz w:val="13"/>
          <w:szCs w:val="13"/>
          <w:b w:val="1"/>
          <w:bCs w:val="1"/>
          <w:color w:val="auto"/>
        </w:rPr>
        <w:t xml:space="preserve">Todd Schermerhorn </w:t>
      </w:r>
      <w:r>
        <w:rPr>
          <w:rFonts w:ascii="Arial" w:cs="Arial" w:eastAsia="Arial" w:hAnsi="Arial"/>
          <w:sz w:val="13"/>
          <w:szCs w:val="13"/>
          <w:color w:val="auto"/>
        </w:rPr>
        <w:t>is retired. Mr. Schermerhorn served as Senior Vice President and Chief Financial Officer of</w:t>
      </w:r>
      <w:r>
        <w:rPr>
          <w:rFonts w:ascii="Arial" w:cs="Arial" w:eastAsia="Arial" w:hAnsi="Arial"/>
          <w:sz w:val="13"/>
          <w:szCs w:val="13"/>
          <w:b w:val="1"/>
          <w:bCs w:val="1"/>
          <w:color w:val="auto"/>
        </w:rPr>
        <w:t xml:space="preserve"> </w:t>
      </w:r>
      <w:r>
        <w:rPr>
          <w:rFonts w:ascii="Arial" w:cs="Arial" w:eastAsia="Arial" w:hAnsi="Arial"/>
          <w:sz w:val="13"/>
          <w:szCs w:val="13"/>
          <w:color w:val="auto"/>
        </w:rPr>
        <w:t>C. R. Bard, Inc., a multinational developer, manufacturer and marketer of life-enhancing medical technologies, from 2003 until his retirement in 2012. Prior to that, he had been Vice President and Treasurer of C. R. Bard (1998 – 2003). From 1985 to 1998, Mr. Schermerhorn held various other management positions with C. R. Bard. Mr. Schermerhorn received a BS from the University of Lowell and an MBA from Babson College.</w:t>
      </w:r>
    </w:p>
    <w:p>
      <w:pPr>
        <w:sectPr>
          <w:pgSz w:w="11900" w:h="16838" w:orient="portrait"/>
          <w:cols w:equalWidth="0" w:num="1">
            <w:col w:w="9879"/>
          </w:cols>
          <w:pgMar w:left="580" w:top="131" w:right="1440" w:bottom="1440" w:gutter="0" w:footer="0" w:header="0"/>
          <w:type w:val="continuous"/>
        </w:sectPr>
      </w:pP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179"/>
        </w:trPr>
        <w:tc>
          <w:tcPr>
            <w:tcW w:w="1080" w:type="dxa"/>
            <w:vAlign w:val="bottom"/>
          </w:tcPr>
          <w:p>
            <w:pPr>
              <w:spacing w:after="0"/>
              <w:rPr>
                <w:sz w:val="15"/>
                <w:szCs w:val="15"/>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Audit and Compliance</w:t>
            </w:r>
          </w:p>
        </w:tc>
        <w:tc>
          <w:tcPr>
            <w:tcW w:w="0" w:type="dxa"/>
            <w:vAlign w:val="bottom"/>
          </w:tcPr>
          <w:p>
            <w:pPr>
              <w:spacing w:after="0"/>
              <w:rPr>
                <w:sz w:val="1"/>
                <w:szCs w:val="1"/>
                <w:color w:val="auto"/>
              </w:rPr>
            </w:pPr>
          </w:p>
        </w:tc>
      </w:tr>
      <w:tr>
        <w:trPr>
          <w:trHeight w:val="358"/>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rPr>
              <w:t>INDEPENDENT</w:t>
            </w:r>
          </w:p>
        </w:tc>
        <w:tc>
          <w:tcPr>
            <w:tcW w:w="2440" w:type="dxa"/>
            <w:vAlign w:val="bottom"/>
            <w:gridSpan w:val="2"/>
          </w:tcPr>
          <w:p>
            <w:pPr>
              <w:ind w:left="200"/>
              <w:spacing w:after="0"/>
              <w:rPr>
                <w:sz w:val="20"/>
                <w:szCs w:val="20"/>
                <w:color w:val="auto"/>
              </w:rPr>
            </w:pPr>
            <w:r>
              <w:rPr>
                <w:rFonts w:ascii="Arial" w:cs="Arial" w:eastAsia="Arial" w:hAnsi="Arial"/>
                <w:sz w:val="14"/>
                <w:szCs w:val="14"/>
                <w:b w:val="1"/>
                <w:bCs w:val="1"/>
                <w:color w:val="auto"/>
                <w:w w:val="88"/>
              </w:rPr>
              <w:t>Other Public Company Directorships:</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The Travelers Companies, Inc.</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Age 60</w:t>
      </w:r>
    </w:p>
    <w:p>
      <w:pPr>
        <w:spacing w:after="0" w:line="11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First year of service</w:t>
      </w:r>
    </w:p>
    <w:p>
      <w:pPr>
        <w:ind w:left="1320"/>
        <w:spacing w:after="0" w:line="216" w:lineRule="auto"/>
        <w:rPr>
          <w:sz w:val="20"/>
          <w:szCs w:val="20"/>
          <w:color w:val="auto"/>
        </w:rPr>
      </w:pPr>
      <w:r>
        <w:rPr>
          <w:rFonts w:ascii="Arial" w:cs="Arial" w:eastAsia="Arial" w:hAnsi="Arial"/>
          <w:sz w:val="13"/>
          <w:szCs w:val="13"/>
          <w:color w:val="auto"/>
        </w:rPr>
        <w:t>(since</w:t>
      </w:r>
    </w:p>
    <w:p>
      <w:pPr>
        <w:ind w:left="1320"/>
        <w:spacing w:after="0"/>
        <w:rPr>
          <w:sz w:val="20"/>
          <w:szCs w:val="20"/>
          <w:color w:val="auto"/>
        </w:rPr>
      </w:pPr>
      <w:r>
        <w:rPr>
          <w:rFonts w:ascii="Arial" w:cs="Arial" w:eastAsia="Arial" w:hAnsi="Arial"/>
          <w:sz w:val="13"/>
          <w:szCs w:val="13"/>
          <w:color w:val="auto"/>
        </w:rPr>
        <w:t xml:space="preserve">December </w:t>
      </w:r>
      <w:r>
        <w:rPr>
          <w:rFonts w:ascii="Arial" w:cs="Arial" w:eastAsia="Arial" w:hAnsi="Arial"/>
          <w:sz w:val="13"/>
          <w:szCs w:val="13"/>
          <w:b w:val="1"/>
          <w:bCs w:val="1"/>
          <w:color w:val="auto"/>
        </w:rPr>
        <w:t>2020</w:t>
      </w:r>
      <w:r>
        <w:rPr>
          <w:rFonts w:ascii="Arial" w:cs="Arial" w:eastAsia="Arial" w:hAnsi="Arial"/>
          <w:sz w:val="13"/>
          <w:szCs w:val="13"/>
          <w:color w:val="auto"/>
        </w:rPr>
        <w:t>)</w:t>
      </w:r>
    </w:p>
    <w:p>
      <w:pPr>
        <w:spacing w:after="0" w:line="9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Retired, Senior</w:t>
      </w:r>
    </w:p>
    <w:p>
      <w:pPr>
        <w:ind w:left="1320"/>
        <w:spacing w:after="0" w:line="216" w:lineRule="auto"/>
        <w:rPr>
          <w:sz w:val="20"/>
          <w:szCs w:val="20"/>
          <w:color w:val="auto"/>
        </w:rPr>
      </w:pPr>
      <w:r>
        <w:rPr>
          <w:rFonts w:ascii="Arial" w:cs="Arial" w:eastAsia="Arial" w:hAnsi="Arial"/>
          <w:sz w:val="13"/>
          <w:szCs w:val="13"/>
          <w:color w:val="auto"/>
        </w:rPr>
        <w:t>Vice President and</w:t>
      </w:r>
    </w:p>
    <w:p>
      <w:pPr>
        <w:ind w:left="1320"/>
        <w:spacing w:after="0" w:line="217" w:lineRule="auto"/>
        <w:rPr>
          <w:sz w:val="20"/>
          <w:szCs w:val="20"/>
          <w:color w:val="auto"/>
        </w:rPr>
      </w:pPr>
      <w:r>
        <w:rPr>
          <w:rFonts w:ascii="Arial" w:cs="Arial" w:eastAsia="Arial" w:hAnsi="Arial"/>
          <w:sz w:val="13"/>
          <w:szCs w:val="13"/>
          <w:color w:val="auto"/>
        </w:rPr>
        <w:t>Chief Financial</w:t>
      </w:r>
    </w:p>
    <w:p>
      <w:pPr>
        <w:ind w:left="1320"/>
        <w:spacing w:after="0" w:line="217" w:lineRule="auto"/>
        <w:rPr>
          <w:sz w:val="20"/>
          <w:szCs w:val="20"/>
          <w:color w:val="auto"/>
        </w:rPr>
      </w:pPr>
      <w:r>
        <w:rPr>
          <w:rFonts w:ascii="Arial" w:cs="Arial" w:eastAsia="Arial" w:hAnsi="Arial"/>
          <w:sz w:val="13"/>
          <w:szCs w:val="13"/>
          <w:color w:val="auto"/>
        </w:rPr>
        <w:t>Officer, C.R. Bard,</w:t>
      </w:r>
    </w:p>
    <w:p>
      <w:pPr>
        <w:ind w:left="1320"/>
        <w:spacing w:after="0"/>
        <w:rPr>
          <w:sz w:val="20"/>
          <w:szCs w:val="20"/>
          <w:color w:val="auto"/>
        </w:rPr>
      </w:pPr>
      <w:r>
        <w:rPr>
          <w:rFonts w:ascii="Arial" w:cs="Arial" w:eastAsia="Arial" w:hAnsi="Arial"/>
          <w:sz w:val="13"/>
          <w:szCs w:val="13"/>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7" w:right="519"/>
        <w:spacing w:after="0" w:line="259" w:lineRule="auto"/>
        <w:rPr>
          <w:sz w:val="20"/>
          <w:szCs w:val="20"/>
          <w:color w:val="auto"/>
        </w:rPr>
      </w:pPr>
      <w:r>
        <w:rPr>
          <w:rFonts w:ascii="Arial" w:cs="Arial" w:eastAsia="Arial" w:hAnsi="Arial"/>
          <w:sz w:val="14"/>
          <w:szCs w:val="14"/>
          <w:b w:val="1"/>
          <w:bCs w:val="1"/>
          <w:color w:val="auto"/>
        </w:rPr>
        <w:t>Former Public Company Directorships During the Past Five Years: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4"/>
          <w:szCs w:val="14"/>
          <w:color w:val="auto"/>
        </w:rPr>
        <w:t>• The Spectranetics Corporation</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Director Skills and Qualifications:</w:t>
      </w:r>
    </w:p>
    <w:p>
      <w:pPr>
        <w:spacing w:after="0" w:line="25" w:lineRule="exact"/>
        <w:rPr>
          <w:sz w:val="20"/>
          <w:szCs w:val="20"/>
          <w:color w:val="auto"/>
        </w:rPr>
      </w:pPr>
    </w:p>
    <w:p>
      <w:pPr>
        <w:ind w:left="147" w:right="639" w:hanging="147"/>
        <w:spacing w:after="0" w:line="245" w:lineRule="auto"/>
        <w:tabs>
          <w:tab w:leader="none" w:pos="147"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Schermerhorn served as the Chief Financial Officer of a publicly traded company and has significant experience and expertise in management, accounting and business operations. Mr. Schermerhorn is also an audit committee financial expert.</w:t>
      </w:r>
    </w:p>
    <w:p>
      <w:pPr>
        <w:spacing w:after="0" w:line="767" w:lineRule="exact"/>
        <w:rPr>
          <w:sz w:val="20"/>
          <w:szCs w:val="20"/>
          <w:color w:val="auto"/>
        </w:rPr>
      </w:pPr>
    </w:p>
    <w:p>
      <w:pPr>
        <w:sectPr>
          <w:pgSz w:w="11900" w:h="16838" w:orient="portrait"/>
          <w:cols w:equalWidth="0" w:num="2">
            <w:col w:w="5373" w:space="720"/>
            <w:col w:w="3786"/>
          </w:cols>
          <w:pgMar w:left="580" w:top="131" w:right="1440" w:bottom="1440" w:gutter="0" w:footer="0" w:header="0"/>
          <w:type w:val="continuous"/>
        </w:sectPr>
      </w:pP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Interlocks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During the year ended December 31, 2020, the Compensation Committee was composed of Arthur L. Rosenthal, PhD (chair), Francesco Bianchi, Stacy Enxing Seng and Alfred J. Novak.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2020 on the board of directors or compensation committee of another company at any time during which an executive officer of such other company served on our Board or Compensation Committee.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44"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The Nominating and Corporate Governance Committee of the Board is empowered by its Board-approved charter to make all determinations of independence required under Nasdaq rules or other</w:t>
      </w:r>
    </w:p>
    <w:p>
      <w:pPr>
        <w:sectPr>
          <w:pgSz w:w="11900" w:h="16838" w:orient="portrait"/>
          <w:cols w:equalWidth="0" w:num="1">
            <w:col w:w="9879"/>
          </w:cols>
          <w:pgMar w:left="580" w:top="131" w:right="1440" w:bottom="1440" w:gutter="0" w:footer="0" w:header="0"/>
          <w:type w:val="continuous"/>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color w:val="auto"/>
        </w:rPr>
        <w:t>applicable laws and regulations, including but not limited to determinations as to which directors are independent, non-employee directors and “audit committee financial experts” as defined by US securities laws.</w:t>
      </w:r>
    </w:p>
    <w:p>
      <w:pPr>
        <w:spacing w:after="0" w:line="101"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105"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Nominating and Corporate Governance Committee has evaluated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all of the directors, other than Mr. McDonald, are “independent” as that term is defined in the Nasdaq listing standards and under the US securities laws.</w:t>
      </w:r>
    </w:p>
    <w:p>
      <w:pPr>
        <w:spacing w:after="0" w:line="122"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The Board has also determined that all members of the Audit and Compliance Committee meet additional, heightened independence criteria applicable to audit committee members under the Nasdaq listing rules. The Board has further determined that all members of the Audit and Compliance Committee are financially literate and that Francesco Bianchi, Hugh Morrison (chair of the Audit and Compliance Committee), Alfred Novak and Todd Schermerhorn are “audit committee financial experts.”</w:t>
      </w:r>
    </w:p>
    <w:p>
      <w:pPr>
        <w:spacing w:after="0" w:line="9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116"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The Nominating and Corporate Governance Committee’s determinations as to Nasdaq independence, status as a non-employee director and status as an audit committee financial expert are set out in the table below.</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Nasdaq</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Independence for</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Nasdaq</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“Independent</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Committee</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“Non-Employee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Audit Committee</w:t>
            </w:r>
          </w:p>
        </w:tc>
      </w:tr>
      <w:tr>
        <w:trPr>
          <w:trHeight w:val="18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Director”</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Purposes</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Director”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 Expert</w:t>
            </w:r>
          </w:p>
        </w:tc>
      </w:tr>
      <w:tr>
        <w:trPr>
          <w:trHeight w:val="25"/>
        </w:trPr>
        <w:tc>
          <w:tcPr>
            <w:tcW w:w="3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60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Stacy Enxing Seng</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2"/>
                <w:szCs w:val="22"/>
                <w:color w:val="auto"/>
              </w:rPr>
            </w:pPr>
          </w:p>
        </w:tc>
      </w:tr>
      <w:tr>
        <w:trPr>
          <w:trHeight w:val="256"/>
        </w:trPr>
        <w:tc>
          <w:tcPr>
            <w:tcW w:w="3600" w:type="dxa"/>
            <w:vAlign w:val="bottom"/>
            <w:gridSpan w:val="2"/>
          </w:tcPr>
          <w:p>
            <w:pPr>
              <w:spacing w:after="0"/>
              <w:rPr>
                <w:sz w:val="20"/>
                <w:szCs w:val="20"/>
                <w:color w:val="auto"/>
              </w:rPr>
            </w:pPr>
            <w:r>
              <w:rPr>
                <w:rFonts w:ascii="Arial" w:cs="Arial" w:eastAsia="Arial" w:hAnsi="Arial"/>
                <w:sz w:val="18"/>
                <w:szCs w:val="18"/>
                <w:color w:val="auto"/>
              </w:rPr>
              <w:t>William Kozy</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2"/>
                <w:szCs w:val="22"/>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Damien McDonald</w:t>
            </w: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3600" w:type="dxa"/>
            <w:vAlign w:val="bottom"/>
            <w:gridSpan w:val="2"/>
          </w:tcPr>
          <w:p>
            <w:pPr>
              <w:spacing w:after="0"/>
              <w:rPr>
                <w:sz w:val="20"/>
                <w:szCs w:val="20"/>
                <w:color w:val="auto"/>
              </w:rPr>
            </w:pPr>
            <w:r>
              <w:rPr>
                <w:rFonts w:ascii="Arial" w:cs="Arial" w:eastAsia="Arial" w:hAnsi="Arial"/>
                <w:sz w:val="18"/>
                <w:szCs w:val="18"/>
                <w:color w:val="auto"/>
              </w:rPr>
              <w:t>Daniel Moore</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2"/>
                <w:szCs w:val="22"/>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Hugh Morrison</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Alfred Novak</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3"/>
                <w:szCs w:val="23"/>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Arthur Rosenthal, PhD</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3"/>
                <w:szCs w:val="23"/>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Andrea Saia</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3"/>
                <w:szCs w:val="23"/>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Todd Schermerhorn</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58"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6"/>
          <w:szCs w:val="16"/>
          <w:color w:val="auto"/>
        </w:rPr>
        <w:t>The directors may at any time elect and remove a director as chair of the Board and as deputy chair. Unless he or she is unwilling to do so, the director appointed as chair, or in his or her stead the director appointed as deputy chair, presides at all meetings of the Board at which he or she is present. Our Board is currently led by a non-executive and independent chair, Mr. Moore. Currently, we do not have a policy requiring the positions of chair of the Board and CEO to be held by different persons. However, these two positions have been separate and are expected to remain so because the Board believes that structure serves the needs of the Board in a more effective manner. Specifically, keeping the positions separate allows the</w:t>
      </w: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color w:val="auto"/>
        </w:rPr>
        <w:t>CEO to focus his attention on driving business performance rather than Board governance. Additionally, keeping the positions separate is consistent with corporate best practice and many investor guidelines.</w:t>
      </w:r>
    </w:p>
    <w:p>
      <w:pPr>
        <w:spacing w:after="0" w:line="66"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The chair establishes the agenda for each Board meeting in consultation with the CEO and with the assistance of the Company Secretary. Each Board member is free to suggest the inclusion of items on the agenda and is also free to raise any subject that is not on the agenda for that meeting.</w:t>
      </w:r>
    </w:p>
    <w:p>
      <w:pPr>
        <w:spacing w:after="0" w:line="96"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non-executive, independent directors meet in private sessions at least quarterly, and the chair is responsible for conducting these executive sessions.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Role in Risk Management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Oversight</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Board determines the Company’s risk tolerance. The Board has determined that the Board as a whole, and not a separate committee, will oversee our risk management process. Each of our Board committees has historically focused and continues to focus on specific risks within their respective areas of responsibility.</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uses its committees to assist in its risk oversight responsibility as follows:</w:t>
      </w:r>
    </w:p>
    <w:p>
      <w:pPr>
        <w:spacing w:after="0" w:line="113" w:lineRule="exact"/>
        <w:rPr>
          <w:sz w:val="20"/>
          <w:szCs w:val="20"/>
          <w:color w:val="auto"/>
        </w:rPr>
      </w:pPr>
    </w:p>
    <w:p>
      <w:pPr>
        <w:ind w:left="1800" w:right="41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oversees the integrity of the financial reporting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compliance with applicable legal and regulatory requirements. It also oversees our internal controls and compliance activities. The committee regularly discusses our major financial and business risk exposures and certain contingent liabilities and the steps management has undertaken to monitor and control such exposures. It also meets privately with representatives from our independent registered public accounting firm, the Head of Internal Audit, the Chief Ethics and Integrity Officer, the Chief Accounting Officer, the General Counsel and the Head of IT. The committee also has responsibility for the oversight of the management of cybersecurity risks and is briefed on a quarterly basis regarding such risks.</w:t>
      </w:r>
    </w:p>
    <w:p>
      <w:pPr>
        <w:spacing w:after="0" w:line="80"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oversees risks relating to our compensation policies and practices.</w:t>
      </w:r>
    </w:p>
    <w:p>
      <w:pPr>
        <w:spacing w:after="0" w:line="103" w:lineRule="exact"/>
        <w:rPr>
          <w:rFonts w:ascii="Arial" w:cs="Arial" w:eastAsia="Arial" w:hAnsi="Arial"/>
          <w:sz w:val="18"/>
          <w:szCs w:val="18"/>
          <w:color w:val="auto"/>
        </w:rPr>
      </w:pPr>
    </w:p>
    <w:p>
      <w:pPr>
        <w:ind w:left="1800" w:right="479" w:hanging="180"/>
        <w:spacing w:after="0" w:line="261"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Nominating and Corporate Governance Committee </w:t>
      </w:r>
      <w:r>
        <w:rPr>
          <w:rFonts w:ascii="Arial" w:cs="Arial" w:eastAsia="Arial" w:hAnsi="Arial"/>
          <w:sz w:val="18"/>
          <w:szCs w:val="18"/>
          <w:color w:val="auto"/>
        </w:rPr>
        <w:t>oversees risks relating to succession planning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structures in addition to environmental, social and governance (“ESG”) issues. The committee receives quarterly updates on the Company’s ESG efforts in addition to related industry trends.</w:t>
      </w:r>
    </w:p>
    <w:p>
      <w:pPr>
        <w:spacing w:after="0" w:line="116"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At the direction of our Board, the Company created the role of Chief Risk Officer. The Chief Risk Officer reports to and works with the Board to assess, monitor, and mitigate risks that arise in the course of our business. In addition to our Chief Risk Officer, the Chief Financial Officer, Chief Accounting Officer, Controller, General Counsel, Internal Audit team and Chief Information and Technology Officer are key personnel responsible to the Board for the planning, assessment, and reporting of risks. The Board reviews an assessment of, and a report on, our risk profile delivered by the Chief Risk Officer on a regular basis.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COVID-19 Risk Management</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In early 2020, a new strain of coronavirus (COVID-19) spread throughout the world, and the outbreak was declared a pandemic by the World Health Organization. The U.S. Secretary of Health and Human Services also declared a public health emergency in the US in response to the outbreak. Considerable uncertainty still surrounds the COVID-19 virus and its potential effects, and the extent of and effectiveness of responses taken on international, national and local levels.</w:t>
      </w:r>
    </w:p>
    <w:p>
      <w:pPr>
        <w:spacing w:after="0" w:line="10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Board and management are continually evaluating risks to the business, our employees and stakeholders and have taken numerous steps, and will continue to take further actions to address the COVID-19 pandemic. We have successfully implemented our business continuity plans, and our management team is responding to changes in our environment quickly and effectively. Since the start of the pandemic, the Board has met more frequently to address the risks and respond appropriately to the myriad issues raised. We have not closed our manufacturing plants. Additionally, the supply of raw materials and the distribution</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of finished products remain operational with no known or foreseeable constraints. As a result of the COVID-19 pandemic, we instructed non-essential employees to work from home on a temporary basis and implemented travel restrictions. For those employees who continue to report to our facilities, we implemented social distancing measures and protocols in addition to mandates regarding the use of personal protective equipment.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 Management</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our executive officers, either individually or as a group, make excessively risky business decisions that could maximize short-term results at the expense of long-term value:</w:t>
      </w:r>
    </w:p>
    <w:p>
      <w:pPr>
        <w:spacing w:after="0" w:line="80" w:lineRule="exact"/>
        <w:rPr>
          <w:sz w:val="20"/>
          <w:szCs w:val="20"/>
          <w:color w:val="auto"/>
        </w:rPr>
      </w:pPr>
    </w:p>
    <w:p>
      <w:pPr>
        <w:ind w:left="1800" w:right="69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Balanced Mix of Pay Components. </w:t>
      </w:r>
      <w:r>
        <w:rPr>
          <w:rFonts w:ascii="Arial" w:cs="Arial" w:eastAsia="Arial" w:hAnsi="Arial"/>
          <w:sz w:val="18"/>
          <w:szCs w:val="18"/>
          <w:color w:val="auto"/>
        </w:rPr>
        <w:t>The target compensation mix is not overly weighted toward</w:t>
      </w:r>
      <w:r>
        <w:rPr>
          <w:rFonts w:ascii="Arial" w:cs="Arial" w:eastAsia="Arial" w:hAnsi="Arial"/>
          <w:sz w:val="18"/>
          <w:szCs w:val="18"/>
          <w:b w:val="1"/>
          <w:bCs w:val="1"/>
          <w:color w:val="auto"/>
        </w:rPr>
        <w:t xml:space="preserve"> </w:t>
      </w:r>
      <w:r>
        <w:rPr>
          <w:rFonts w:ascii="Arial" w:cs="Arial" w:eastAsia="Arial" w:hAnsi="Arial"/>
          <w:sz w:val="18"/>
          <w:szCs w:val="18"/>
          <w:color w:val="auto"/>
        </w:rPr>
        <w:t>annual incentive awards and represents a balance of base salary, annual short-term incentive compensation in the form of a cash bonus, and long-term equity-based compensation vesting over four years or based on long-term performance objectives;</w:t>
      </w:r>
    </w:p>
    <w:p>
      <w:pPr>
        <w:spacing w:after="0" w:line="71" w:lineRule="exact"/>
        <w:rPr>
          <w:rFonts w:ascii="Arial" w:cs="Arial" w:eastAsia="Arial" w:hAnsi="Arial"/>
          <w:sz w:val="18"/>
          <w:szCs w:val="18"/>
          <w:color w:val="auto"/>
        </w:rPr>
      </w:pPr>
    </w:p>
    <w:p>
      <w:pPr>
        <w:ind w:left="1800" w:right="479" w:hanging="180"/>
        <w:spacing w:after="0" w:line="282"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Bracketed Incentive Awards. </w:t>
      </w:r>
      <w:r>
        <w:rPr>
          <w:rFonts w:ascii="Arial" w:cs="Arial" w:eastAsia="Arial" w:hAnsi="Arial"/>
          <w:sz w:val="18"/>
          <w:szCs w:val="18"/>
          <w:color w:val="auto"/>
        </w:rPr>
        <w:t>Annual cash bonuses can be as little as 0%, but no more than 200%, of</w:t>
      </w:r>
      <w:r>
        <w:rPr>
          <w:rFonts w:ascii="Arial" w:cs="Arial" w:eastAsia="Arial" w:hAnsi="Arial"/>
          <w:sz w:val="18"/>
          <w:szCs w:val="18"/>
          <w:b w:val="1"/>
          <w:bCs w:val="1"/>
          <w:color w:val="auto"/>
        </w:rPr>
        <w:t xml:space="preserve"> </w:t>
      </w:r>
      <w:r>
        <w:rPr>
          <w:rFonts w:ascii="Arial" w:cs="Arial" w:eastAsia="Arial" w:hAnsi="Arial"/>
          <w:sz w:val="18"/>
          <w:szCs w:val="18"/>
          <w:color w:val="auto"/>
        </w:rPr>
        <w:t>target;</w:t>
      </w:r>
    </w:p>
    <w:p>
      <w:pPr>
        <w:spacing w:after="0" w:line="53" w:lineRule="exact"/>
        <w:rPr>
          <w:rFonts w:ascii="Arial" w:cs="Arial" w:eastAsia="Arial" w:hAnsi="Arial"/>
          <w:sz w:val="18"/>
          <w:szCs w:val="18"/>
          <w:color w:val="auto"/>
        </w:rPr>
      </w:pPr>
    </w:p>
    <w:p>
      <w:pPr>
        <w:ind w:left="1800" w:right="679" w:hanging="180"/>
        <w:spacing w:after="0" w:line="312"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Our executive officers and directors have guidelines suggesting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they achieve and maintain ownership of substantial equity positions in our stock; and</w:t>
      </w:r>
    </w:p>
    <w:p>
      <w:pPr>
        <w:spacing w:after="0" w:line="31" w:lineRule="exact"/>
        <w:rPr>
          <w:rFonts w:ascii="Arial" w:cs="Arial" w:eastAsia="Arial" w:hAnsi="Arial"/>
          <w:sz w:val="17"/>
          <w:szCs w:val="17"/>
          <w:color w:val="auto"/>
        </w:rPr>
      </w:pPr>
    </w:p>
    <w:p>
      <w:pPr>
        <w:ind w:left="1800" w:right="659" w:hanging="180"/>
        <w:spacing w:after="0" w:line="282"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Performance Assessments. </w:t>
      </w:r>
      <w:r>
        <w:rPr>
          <w:rFonts w:ascii="Arial" w:cs="Arial" w:eastAsia="Arial" w:hAnsi="Arial"/>
          <w:sz w:val="18"/>
          <w:szCs w:val="18"/>
          <w:color w:val="auto"/>
        </w:rPr>
        <w:t>Compliance and ethical behaviors are integral factors considered in all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assessments.</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 also closely examines its broader compensation policies and actual compensation practices for all employees, including non-executive officers, to assess whether those compensation policies or practices create unreasonable risks. Management conducts the initial risk assessment before presenting potential plans to the Compensation Committee for its review, and, in the case of executive officers, its approval. Management has not identified any plans or practices presenting such risks to date, and the Compensation Committee has reviewed and agrees with management’s conclusion. The Compensation Committee believes that the mix and design of the elements of our compensation program are appropriate and encourage executive officers and key employees to strive to achieve goals that benefit the Company and our shareholders over the long term.</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Committee and Shareholder Meetings</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 xml:space="preserve">Our Board has three standing committees: Audit and Compliance Committee; Compensation Committee; and Nominating and Corporate Governance Committee. Each committee is comprised entirely of independent directors and each committee is governed by a written charter approved by the Board. These charters, which are reviewed annually, form an integral part of our corporate governance policies, and a copy of each charter is available on our website at </w:t>
      </w:r>
      <w:r>
        <w:rPr>
          <w:rFonts w:ascii="Arial" w:cs="Arial" w:eastAsia="Arial" w:hAnsi="Arial"/>
          <w:sz w:val="18"/>
          <w:szCs w:val="18"/>
          <w:i w:val="1"/>
          <w:iCs w:val="1"/>
          <w:u w:val="single" w:color="auto"/>
          <w:color w:val="auto"/>
        </w:rPr>
        <w:t>www.livanova.com</w:t>
      </w:r>
      <w:r>
        <w:rPr>
          <w:rFonts w:ascii="Arial" w:cs="Arial" w:eastAsia="Arial" w:hAnsi="Arial"/>
          <w:sz w:val="18"/>
          <w:szCs w:val="18"/>
          <w:color w:val="auto"/>
        </w:rPr>
        <w:t>.</w:t>
      </w:r>
    </w:p>
    <w:p>
      <w:pPr>
        <w:spacing w:after="0" w:line="107" w:lineRule="exact"/>
        <w:rPr>
          <w:sz w:val="20"/>
          <w:szCs w:val="20"/>
          <w:color w:val="auto"/>
        </w:rPr>
      </w:pPr>
    </w:p>
    <w:p>
      <w:pPr>
        <w:ind w:left="1260" w:right="659" w:firstLine="360"/>
        <w:spacing w:after="0" w:line="296" w:lineRule="auto"/>
        <w:rPr>
          <w:sz w:val="20"/>
          <w:szCs w:val="20"/>
          <w:color w:val="auto"/>
        </w:rPr>
      </w:pPr>
      <w:r>
        <w:rPr>
          <w:rFonts w:ascii="Arial" w:cs="Arial" w:eastAsia="Arial" w:hAnsi="Arial"/>
          <w:sz w:val="16"/>
          <w:szCs w:val="16"/>
          <w:color w:val="auto"/>
        </w:rPr>
        <w:t>The Board held 16 meetings during the year ended December 31, 2020, of which four were regularly scheduled and 12 were additional meetings, and acted by unanimous written consent on seven occasions. Each of the directors attended at least 75% of the total number of Board meetings and meetings of the committees on which he/she served. We do not have a formal policy on director attendance at our AGM. Our 2020 AGM was a virtual meeting and all directors at the time attended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following table summarizes (i) the membership of the Board, (ii) the members of each of the Board’s standing committees and (iii) the number of times each committee met.</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Members of the Board’s standing committees as of</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December 31, 2020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Nominating and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Corporate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Audit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Governance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Compliance</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2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Committee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6"/>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Francesco Bianchi</w:t>
            </w: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0"/>
                <w:szCs w:val="20"/>
                <w:color w:val="auto"/>
              </w:rPr>
            </w:pPr>
            <w:r>
              <w:rPr>
                <w:rFonts w:ascii="Arial" w:cs="Arial" w:eastAsia="Arial" w:hAnsi="Arial"/>
                <w:sz w:val="18"/>
                <w:szCs w:val="18"/>
                <w:color w:val="auto"/>
              </w:rPr>
              <w:t>Stacy Enxing Seng</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0"/>
                <w:szCs w:val="20"/>
                <w:color w:val="auto"/>
              </w:rPr>
            </w:pPr>
            <w:r>
              <w:rPr>
                <w:rFonts w:ascii="Arial" w:cs="Arial" w:eastAsia="Arial" w:hAnsi="Arial"/>
                <w:sz w:val="18"/>
                <w:szCs w:val="18"/>
                <w:color w:val="auto"/>
              </w:rPr>
              <w:t>William Kozy</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3"/>
          </w:tcPr>
          <w:p>
            <w:pPr>
              <w:spacing w:after="0"/>
              <w:rPr>
                <w:sz w:val="20"/>
                <w:szCs w:val="20"/>
                <w:color w:val="auto"/>
              </w:rPr>
            </w:pPr>
            <w:r>
              <w:rPr>
                <w:rFonts w:ascii="Arial" w:cs="Arial" w:eastAsia="Arial" w:hAnsi="Arial"/>
                <w:sz w:val="18"/>
                <w:szCs w:val="18"/>
                <w:color w:val="auto"/>
              </w:rPr>
              <w:t>Damien McDonald</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5040" w:type="dxa"/>
            <w:vAlign w:val="bottom"/>
            <w:gridSpan w:val="3"/>
          </w:tcPr>
          <w:p>
            <w:pPr>
              <w:spacing w:after="0"/>
              <w:rPr>
                <w:sz w:val="20"/>
                <w:szCs w:val="20"/>
                <w:color w:val="auto"/>
              </w:rPr>
            </w:pPr>
            <w:r>
              <w:rPr>
                <w:rFonts w:ascii="Arial" w:cs="Arial" w:eastAsia="Arial" w:hAnsi="Arial"/>
                <w:sz w:val="18"/>
                <w:szCs w:val="18"/>
                <w:color w:val="auto"/>
              </w:rPr>
              <w:t>Daniel Moore (chair)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gridSpan w:val="3"/>
          </w:tcPr>
          <w:p>
            <w:pPr>
              <w:spacing w:after="0"/>
              <w:rPr>
                <w:sz w:val="20"/>
                <w:szCs w:val="20"/>
                <w:color w:val="auto"/>
              </w:rPr>
            </w:pPr>
            <w:r>
              <w:rPr>
                <w:rFonts w:ascii="Arial" w:cs="Arial" w:eastAsia="Arial" w:hAnsi="Arial"/>
                <w:sz w:val="18"/>
                <w:szCs w:val="18"/>
                <w:color w:val="auto"/>
              </w:rPr>
              <w:t>Hugh Morrison</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rPr>
              <w:t>√ *</w:t>
            </w:r>
          </w:p>
        </w:tc>
        <w:tc>
          <w:tcPr>
            <w:tcW w:w="740" w:type="dxa"/>
            <w:vAlign w:val="bottom"/>
          </w:tcPr>
          <w:p>
            <w:pPr>
              <w:jc w:val="center"/>
              <w:spacing w:after="0"/>
              <w:rPr>
                <w:sz w:val="20"/>
                <w:szCs w:val="20"/>
                <w:color w:val="auto"/>
              </w:rPr>
            </w:pPr>
            <w:r>
              <w:rPr>
                <w:rFonts w:ascii="Arial" w:cs="Arial" w:eastAsia="Arial" w:hAnsi="Arial"/>
                <w:sz w:val="18"/>
                <w:szCs w:val="18"/>
                <w:color w:val="auto"/>
              </w:rPr>
              <w:t>√ (C)</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Alfred Novak</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Sharon O’Kane, PhD</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rPr>
              <w:t>√ (C)</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Arthur L. Rosenthal, PhD</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 (C)</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Andrea Saia</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 **</w:t>
            </w: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Todd Schermerhorn</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Committee Actions in 2020</w:t>
            </w:r>
          </w:p>
        </w:tc>
        <w:tc>
          <w:tcPr>
            <w:tcW w:w="0" w:type="dxa"/>
            <w:vAlign w:val="bottom"/>
          </w:tcPr>
          <w:p>
            <w:pPr>
              <w:spacing w:after="0"/>
              <w:rPr>
                <w:sz w:val="1"/>
                <w:szCs w:val="1"/>
                <w:color w:val="auto"/>
              </w:rPr>
            </w:pPr>
          </w:p>
        </w:tc>
      </w:tr>
      <w:tr>
        <w:trPr>
          <w:trHeight w:val="27"/>
        </w:trPr>
        <w:tc>
          <w:tcPr>
            <w:tcW w:w="194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3"/>
          </w:tcPr>
          <w:p>
            <w:pPr>
              <w:spacing w:after="0"/>
              <w:rPr>
                <w:sz w:val="20"/>
                <w:szCs w:val="20"/>
                <w:color w:val="auto"/>
              </w:rPr>
            </w:pPr>
            <w:r>
              <w:rPr>
                <w:rFonts w:ascii="Arial" w:cs="Arial" w:eastAsia="Arial" w:hAnsi="Arial"/>
                <w:sz w:val="18"/>
                <w:szCs w:val="18"/>
                <w:color w:val="auto"/>
              </w:rPr>
              <w:t>Meetings</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8"/>
                <w:szCs w:val="18"/>
                <w:color w:val="auto"/>
              </w:rPr>
              <w:t>Written Resolutions</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indicates committee chair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until April 2020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from July 2020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from December 2020</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Audit and Compliance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its charter, the Audit and Compliance Committee’s key responsibilities include:</w:t>
      </w:r>
    </w:p>
    <w:p>
      <w:pPr>
        <w:spacing w:after="0" w:line="104" w:lineRule="exact"/>
        <w:rPr>
          <w:sz w:val="20"/>
          <w:szCs w:val="20"/>
          <w:color w:val="auto"/>
        </w:rPr>
      </w:pPr>
    </w:p>
    <w:p>
      <w:pPr>
        <w:ind w:left="1800" w:right="8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internal controls with management and the independent auditors;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actions we take to comply with our internal accounting and control policies as well as external financial, legal and regulatory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our internal audit functions;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qualifications and independence of our independent auditors engaged for the purpose of auditing our consolidated financial statements and issuing an audit report for inclusion in appropriate regulatory filings;</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Selecting, subject to required shareholder approvals, our independent auditors and evaluating their performance; and</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consideration of reports from the Company’s information technology function, including cybersecurity.</w:t>
      </w:r>
    </w:p>
    <w:p>
      <w:pPr>
        <w:spacing w:after="0" w:line="89"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The Audit and Compliance Committee meets at least quarterly with management, the Chief Ethics and Integrity Officer, internal auditors and the independent auditors in separate executive sessions to discuss any matter that any of these groups believe should be discussed privately. Pursuant to its charter, the Audit and Compliance Committee has the authority, at the Company’s expense, to retain professional</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spacing w:after="0" w:line="248" w:lineRule="auto"/>
        <w:rPr>
          <w:sz w:val="20"/>
          <w:szCs w:val="20"/>
          <w:color w:val="auto"/>
        </w:rPr>
      </w:pPr>
      <w:r>
        <w:rPr>
          <w:rFonts w:ascii="Arial" w:cs="Arial" w:eastAsia="Arial" w:hAnsi="Arial"/>
          <w:sz w:val="18"/>
          <w:szCs w:val="18"/>
          <w:color w:val="auto"/>
        </w:rPr>
        <w:t>advisors, including legal, accounting or other consultants, to advise it in connection with the exercise of its powers and responsibilities. This committee is also responsible for engaging and providing for appropriate compensation of the independent auditors.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Under its charter, the Compensation Committee is responsible for, among other things, the following:</w:t>
      </w:r>
    </w:p>
    <w:p>
      <w:pPr>
        <w:spacing w:after="0" w:line="129"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Regarding the CEO:</w:t>
      </w:r>
    </w:p>
    <w:p>
      <w:pPr>
        <w:spacing w:after="0" w:line="90"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determining and approving his goals as they relate to his compensation;</w:t>
      </w:r>
    </w:p>
    <w:p>
      <w:pPr>
        <w:spacing w:after="0" w:line="90"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evaluating the CEO in light of those goals; and</w:t>
      </w:r>
    </w:p>
    <w:p>
      <w:pPr>
        <w:spacing w:after="0" w:line="90"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determining and approving the CEO’s compensation based on his performance;</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Determining and approving the compensation of all other executive officers;</w:t>
      </w:r>
    </w:p>
    <w:p>
      <w:pPr>
        <w:spacing w:after="0" w:line="90"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certifying the achievement of any performance goals for long-term and short-term incentive plans;</w:t>
      </w:r>
    </w:p>
    <w:p>
      <w:pPr>
        <w:spacing w:after="0" w:line="3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incentive compensation plans and equity-based plans and, where required, recommending such plans for shareholder approval;</w:t>
      </w:r>
    </w:p>
    <w:p>
      <w:pPr>
        <w:spacing w:after="0" w:line="3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Administering (including adopting, amending and terminating) incentive compensation and equity-based plans;</w:t>
      </w:r>
    </w:p>
    <w:p>
      <w:pPr>
        <w:spacing w:after="0" w:line="3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4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Submitting to the Board for its approval an annual Remuneration Report to be included in our UK Annual Report;</w:t>
      </w:r>
    </w:p>
    <w:p>
      <w:pPr>
        <w:spacing w:after="0" w:line="35"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Producing a report of the Compensation Committee for inclusion in appropriate US regulatory filings, as well as in the UK Annual Report; and</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Approving employment agreements and severance arrangements or plans for executive officers.</w:t>
      </w:r>
    </w:p>
    <w:p>
      <w:pPr>
        <w:spacing w:after="0" w:line="156"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Under the terms of its charter, the Nominating and Corporate Governance Committee develops and recommends corporate governance principles and policies to our Board and administers the process for identifying candidates for membership on the Board, including developing criteria for Board and committee memberships and recommending and recruiting director nominees.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Nominating and Governance Committee evaluates the independence and other standards applicable to service on the Board and its committees, including whether each Audit and Compliance Committee member is financially literate and whether the Audit and Compliance Committee has at least one “audit committee financial expert.” This committee also evaluates and recommends changes, as appropriate, to Board and committee size, composition and chair and committee structure and administers the process for regular Board and committee self-evaluations. In addition, this committee prepares and recommends, for Board approval, the Company’s CEO succession planning policies and reviews succession planning activities. This committee also approved on behalf of the Board such standalone environmental, social and governance filings as may by law or regulation have to be approved by the Board.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Governance Policies and Practices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Ownership Guidelines</w:t>
      </w:r>
    </w:p>
    <w:p>
      <w:pPr>
        <w:spacing w:after="0" w:line="144"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Board believes that ownership of our shares by our executive officers and directors further aligns their interests with that of our shareholders. We encourage our executive officers and non-executive directors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19"/>
        <w:spacing w:after="0" w:line="248" w:lineRule="auto"/>
        <w:rPr>
          <w:sz w:val="20"/>
          <w:szCs w:val="20"/>
          <w:color w:val="auto"/>
        </w:rPr>
      </w:pPr>
      <w:r>
        <w:rPr>
          <w:rFonts w:ascii="Arial" w:cs="Arial" w:eastAsia="Arial" w:hAnsi="Arial"/>
          <w:sz w:val="18"/>
          <w:szCs w:val="18"/>
          <w:color w:val="auto"/>
        </w:rPr>
        <w:t>to achieve the following levels of equity ownership in the Company within five years after the date he/she becomes a Section 16 officer or a non-executive director and, following such initial measurement date, to demonstrate the same levels on the last day of each financial year thereafter:</w:t>
      </w:r>
    </w:p>
    <w:p>
      <w:pPr>
        <w:spacing w:after="0" w:line="60"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base salary for the CEO;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Three times the base salary for all executive officers, other than the CEO;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annual cash retainer for all non-executive directors.</w:t>
      </w:r>
    </w:p>
    <w:p>
      <w:pPr>
        <w:spacing w:after="0" w:line="15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Equity ownership used to determine the market value includes all ordinary shares, all unvested restricted stock units of our ordinary shares and all in-the-money, vested, unexercised stock appreciation rights (calculated based on stock market value, minus exercise price, minus estimated tax expense at a 40% tax rate). The Company includes not only equity owned by the individual but also that held individually by or jointly with the individual’s spouse or children.</w:t>
      </w:r>
    </w:p>
    <w:p>
      <w:pPr>
        <w:spacing w:after="0" w:line="122"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Compliance with our stock ownership guidelines is voluntary; however, an individual’s failure to comply with the guidelines is a factor considered by the Compensation Committee in connection with the award of future equity awards to the individual. Our first measurement date under the stock ownership guidelines was in October 2020. The Board determined that those who were not at the level set forth in the guideline were making acceptable progress to being in compliance with the guidelines.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Corporate Governance Best Practices</w:t>
      </w:r>
    </w:p>
    <w:p>
      <w:pPr>
        <w:spacing w:after="0" w:line="144"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Throughout this proxy statement we have discussed certain best practices the Company adheres to in its corporate governance, including Stock Ownership Guidelines, mentioned directly above. The following is a list of other best practice actions the Board and the Company use and promote:</w:t>
      </w:r>
    </w:p>
    <w:p>
      <w:pPr>
        <w:spacing w:after="0" w:line="74"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Board, committee and individual director performance evaluations;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elections for directors;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Separated roles of chair of the Board and CEO;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Majority voting for directors in uncontested elections;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Supermajority voting to change or amend the Company’s Articles of Association;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repricing of grants in equity compensation plans;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the pledging of Company securities, subject to a period to unwind existing pledges.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Communication with Directors</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company.secretariat@livanova.com. Any communications received in writing is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the our business to the Board and its members.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Code of Business Conduct and Ethics</w:t>
      </w:r>
    </w:p>
    <w:p>
      <w:pPr>
        <w:spacing w:after="0" w:line="14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Board approved an updated Code of Business Conduct and Ethics (the “Code”) in early 2020 that applies to all directors, officers and employees of the Company. The existing code was refreshed to reflect current best practices and create a more functional and all -inclusive document. In addition to conforming the Code to enhance Company personnel’s understanding of the Company’s standards of ethical business practices, the updates include an introduction to the Company’s values; improve clarity as to how to address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 xml:space="preserve">ethical issues that may arise; guide interactions with patients and healthcare professionals; and provide information surrounding our marketing and promotional practices. The Code is designed to deter wrongdoing and to promote honest and ethical conduct, including the ethical handling of actual or apparent conflicts;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and accountability for adherence to Code. A copy of the Code is available on our website at </w:t>
      </w:r>
      <w:r>
        <w:rPr>
          <w:rFonts w:ascii="Arial" w:cs="Arial" w:eastAsia="Arial" w:hAnsi="Arial"/>
          <w:sz w:val="17"/>
          <w:szCs w:val="17"/>
          <w:i w:val="1"/>
          <w:iCs w:val="1"/>
          <w:u w:val="single" w:color="auto"/>
          <w:color w:val="auto"/>
        </w:rPr>
        <w:t>www.livanova.com</w:t>
      </w:r>
      <w:r>
        <w:rPr>
          <w:rFonts w:ascii="Arial" w:cs="Arial" w:eastAsia="Arial" w:hAnsi="Arial"/>
          <w:sz w:val="17"/>
          <w:szCs w:val="17"/>
          <w:color w:val="auto"/>
        </w:rPr>
        <w:t>. Any change to, or waiver from, the Code will be disclosed as required by applicable securities laws, which disclosure may occur on our website or by filing a Form 8-K.</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Company also has an Ethics and Integrity Program, which is a corporate compliance program, that includes written policies and procedures, training/education and ongoing monitoring to ensure effective implementation and maintenance of the program across the Company. In addition, the Company has implemented a Third Party Code of Ethics and Business Conduct that embraces the key principles of the International Labour Organization’s fundamental conventions, because the Company believes that its business can only succeed where the rights of all workers in the value chain of the business are protected and respected. The Company has also recently implemented a new Global Employee Privacy Notice with respect to the rights of an individual to protect his/her personal information and Global Anti-Discrimination and Anti-Harassment Policy to ensure that all LivaNova colleagues can thrive in an inclusive workplace free from all forms of harassment.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Hedging</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ind w:left="1260" w:right="999" w:firstLine="360"/>
        <w:spacing w:after="0" w:line="248" w:lineRule="auto"/>
        <w:rPr>
          <w:sz w:val="20"/>
          <w:szCs w:val="20"/>
          <w:color w:val="auto"/>
        </w:rPr>
      </w:pPr>
      <w:r>
        <w:rPr>
          <w:rFonts w:ascii="Arial" w:cs="Arial" w:eastAsia="Arial" w:hAnsi="Arial"/>
          <w:sz w:val="18"/>
          <w:szCs w:val="18"/>
          <w:color w:val="auto"/>
        </w:rPr>
        <w:t>We recognize that related party transactions involving the Company present a heightened risk of conflicts of interest or the perception of such a conflict. The Board has a formal written policy for reviewing, approving and ratifying transactions with related persons.</w:t>
      </w:r>
    </w:p>
    <w:p>
      <w:pPr>
        <w:spacing w:after="0" w:line="101"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these purposes, a “Related Person” is:</w:t>
      </w:r>
    </w:p>
    <w:p>
      <w:pPr>
        <w:spacing w:after="0" w:line="117" w:lineRule="exact"/>
        <w:rPr>
          <w:sz w:val="20"/>
          <w:szCs w:val="20"/>
          <w:color w:val="auto"/>
        </w:rPr>
      </w:pPr>
    </w:p>
    <w:p>
      <w:pPr>
        <w:ind w:left="1800" w:right="7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senior officer (which shall include, at a minimum, each executive officer/Section 16 officer) or director;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shareholder owning more than 5% of the Company (or our controlled affiliates);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person who is an immediate family member of a senior officer or director; and</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entity that is owned or controlled by someone listed above, or an entity in which someone listed above has a substantial ownership interest or control.</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these purposes, a “Related Person Transaction” is a transaction between the Company and 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Related Person (including any transactions requiring disclosure under the Exchange Act), other than:</w:t>
      </w:r>
    </w:p>
    <w:p>
      <w:pPr>
        <w:spacing w:after="0" w:line="88"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involving compensation approved by the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available to all employees generally;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involving less than $50,000 when aggregated with all similar transactions.</w:t>
      </w:r>
    </w:p>
    <w:p>
      <w:pPr>
        <w:spacing w:after="0" w:line="144" w:lineRule="exact"/>
        <w:rPr>
          <w:sz w:val="20"/>
          <w:szCs w:val="20"/>
          <w:color w:val="auto"/>
        </w:rPr>
      </w:pPr>
    </w:p>
    <w:p>
      <w:pPr>
        <w:ind w:left="1260" w:right="739" w:firstLine="360"/>
        <w:spacing w:after="0" w:line="294" w:lineRule="auto"/>
        <w:rPr>
          <w:sz w:val="20"/>
          <w:szCs w:val="20"/>
          <w:color w:val="auto"/>
        </w:rPr>
      </w:pPr>
      <w:r>
        <w:rPr>
          <w:rFonts w:ascii="Arial" w:cs="Arial" w:eastAsia="Arial" w:hAnsi="Arial"/>
          <w:sz w:val="16"/>
          <w:szCs w:val="16"/>
          <w:color w:val="auto"/>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7"/>
          <w:szCs w:val="17"/>
          <w:color w:val="auto"/>
        </w:rPr>
        <w:t>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 ratify a Related Person Transaction only if the transaction is on terms comparable to those that could be obtained in arm’s-length dealings with an unrelated third party.</w:t>
      </w:r>
    </w:p>
    <w:p>
      <w:pPr>
        <w:spacing w:after="0" w:line="99"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122"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In the fiscal year ended December 31, 2020, there were no Related Person Transactions and no such transactions are currently proposed.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Succession planning is a top priority for the Board and our management team, with the objective of having a pipeline of leaders for the immediate future and long term. The Board and management proactively address succession planning and the Board has delegated the responsibility for CEO and senior management succession planning to the Nominating and Corporate Governance Committee. The Board tasked the Nominating and Corporate Governance Committee with doing so in the context of the challenges and opportunities facing us, of the skills and expertise likely to be required by us in the future and to achieve the benefits of diversity in its widest sense.</w:t>
      </w:r>
    </w:p>
    <w:p>
      <w:pPr>
        <w:spacing w:after="0" w:line="110"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These processes enable the Board to address both long-term, planned occurrences, such as retirement or change in roles, as well as short-term unexpected events. Similar processes, led by the relevant management team, occur within each of our franchises and functions.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Environmental, Sustainability and Corporate Social Responsibility</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2020, the Company created the ESG Task Force, a cross-functional team of leaders focused on establishing a comprehensive program optimizing our ESG efforts with full support from the executive team and Board. The Board has increased its own involvement in the ESG arena by enshrining such matters in the charter of the Nominating and Corporate Governance Committee which now formally maintains oversight for these issues. Since the creation of the ESG Task Force, the Nominating and Corporate Governance Committee receives quarterly updates on the Task Force’s progress. The Company is required to, and does, report on its greenhouse gas emissions and on certain other environmental and social (including employee) matters in our UK Annual Report which is available on the Company’s website and in its Form 10-K for the year ended December 31, 2020.</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 and Consideration of Prior Year’s Say on Pay Vote</w:t>
      </w:r>
    </w:p>
    <w:p>
      <w:pPr>
        <w:spacing w:after="0" w:line="15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are committed to engagement with our shareholders on executive compensation and corporate governance matters and review all shareholder input and feedback.</w:t>
      </w:r>
    </w:p>
    <w:p>
      <w:pPr>
        <w:spacing w:after="0" w:line="8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At the 2020 AGM, our “Say on Pay” proposal regarding NEO compensation garnered shareholder support of 91.75% of the votes cast. The advisory vote on the UK directors’ remuneration report regarding executive and non-executive director remuneration also showed strong support with 95.60% approval of the votes cast. Each of the proposals is voted on annually. The Compensation Committee reviewed shareholder and other stakeholder feedback along with the results of each of these votes and incorporated it when making compensation decisions.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Under English company law, we are obliged to adopt a remuneration policy for our directors, including our CEO, who is also our sole executive director. The remuneration policy received the support of 96% of the votes to cast in 2020. This policy remains in force until the 2022 AGM when a new remuneration policy will be presented to shareholders for their approval.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Availability of Governance Documents</w:t>
      </w:r>
    </w:p>
    <w:p>
      <w:pPr>
        <w:spacing w:after="0" w:line="14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Arial" w:cs="Arial" w:eastAsia="Arial" w:hAnsi="Arial"/>
          <w:sz w:val="18"/>
          <w:szCs w:val="18"/>
          <w:i w:val="1"/>
          <w:iCs w:val="1"/>
          <w:u w:val="single" w:color="auto"/>
          <w:color w:val="auto"/>
        </w:rPr>
        <w:t>www.livanova.com</w:t>
      </w:r>
      <w:r>
        <w:rPr>
          <w:rFonts w:ascii="Arial" w:cs="Arial" w:eastAsia="Arial" w:hAnsi="Arial"/>
          <w:sz w:val="18"/>
          <w:szCs w:val="18"/>
          <w:color w:val="auto"/>
        </w:rPr>
        <w:t xml:space="preserve"> , select the “Investor” link, and then click on the “Corporate Governance” menu located in a horizontal list in the middle of the screen. Requests for a printed copy should be addressed to LivaNova Plc, 20 Eastbourne Terrace, London, England W2 6LG, Attention: Company Secretary.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80" w:type="dxa"/>
            <w:vAlign w:val="bottom"/>
          </w:tcPr>
          <w:p>
            <w:pPr>
              <w:ind w:left="23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2560" w:type="dxa"/>
            <w:vAlign w:val="bottom"/>
            <w:gridSpan w:val="2"/>
          </w:tcPr>
          <w:p>
            <w:pPr>
              <w:spacing w:after="0"/>
              <w:rPr>
                <w:sz w:val="20"/>
                <w:szCs w:val="20"/>
                <w:color w:val="auto"/>
              </w:rPr>
            </w:pPr>
            <w:r>
              <w:rPr>
                <w:rFonts w:ascii="Arial" w:cs="Arial" w:eastAsia="Arial" w:hAnsi="Arial"/>
                <w:sz w:val="18"/>
                <w:szCs w:val="18"/>
                <w:color w:val="auto"/>
              </w:rPr>
              <w:t>Damien McDonald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56"/>
        </w:trPr>
        <w:tc>
          <w:tcPr>
            <w:tcW w:w="2560" w:type="dxa"/>
            <w:vAlign w:val="bottom"/>
            <w:gridSpan w:val="2"/>
          </w:tcPr>
          <w:p>
            <w:pPr>
              <w:spacing w:after="0"/>
              <w:rPr>
                <w:sz w:val="20"/>
                <w:szCs w:val="20"/>
                <w:color w:val="auto"/>
              </w:rPr>
            </w:pPr>
            <w:r>
              <w:rPr>
                <w:rFonts w:ascii="Arial" w:cs="Arial" w:eastAsia="Arial" w:hAnsi="Arial"/>
                <w:sz w:val="18"/>
                <w:szCs w:val="18"/>
                <w:color w:val="auto"/>
              </w:rPr>
              <w:t>Alex Shvartsburg</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57"/>
        </w:trPr>
        <w:tc>
          <w:tcPr>
            <w:tcW w:w="2560" w:type="dxa"/>
            <w:vAlign w:val="bottom"/>
            <w:gridSpan w:val="2"/>
          </w:tcPr>
          <w:p>
            <w:pPr>
              <w:spacing w:after="0"/>
              <w:rPr>
                <w:sz w:val="20"/>
                <w:szCs w:val="20"/>
                <w:color w:val="auto"/>
              </w:rPr>
            </w:pPr>
            <w:r>
              <w:rPr>
                <w:rFonts w:ascii="Arial" w:cs="Arial" w:eastAsia="Arial" w:hAnsi="Arial"/>
                <w:sz w:val="18"/>
                <w:szCs w:val="18"/>
                <w:color w:val="auto"/>
              </w:rPr>
              <w:t>Keyna Skeffington</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Senior Vice President, General Counsel and Corporate Secretary</w:t>
            </w:r>
          </w:p>
        </w:tc>
      </w:tr>
      <w:tr>
        <w:trPr>
          <w:trHeight w:val="257"/>
        </w:trPr>
        <w:tc>
          <w:tcPr>
            <w:tcW w:w="2560" w:type="dxa"/>
            <w:vAlign w:val="bottom"/>
            <w:gridSpan w:val="2"/>
          </w:tcPr>
          <w:p>
            <w:pPr>
              <w:spacing w:after="0"/>
              <w:rPr>
                <w:sz w:val="20"/>
                <w:szCs w:val="20"/>
                <w:color w:val="auto"/>
              </w:rPr>
            </w:pPr>
            <w:r>
              <w:rPr>
                <w:rFonts w:ascii="Arial" w:cs="Arial" w:eastAsia="Arial" w:hAnsi="Arial"/>
                <w:sz w:val="18"/>
                <w:szCs w:val="18"/>
                <w:color w:val="auto"/>
              </w:rPr>
              <w:t>Marco Dolci</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Head of Global Operations and R&amp;D</w:t>
            </w:r>
          </w:p>
        </w:tc>
      </w:tr>
      <w:tr>
        <w:trPr>
          <w:trHeight w:val="257"/>
        </w:trPr>
        <w:tc>
          <w:tcPr>
            <w:tcW w:w="2560" w:type="dxa"/>
            <w:vAlign w:val="bottom"/>
            <w:gridSpan w:val="2"/>
          </w:tcPr>
          <w:p>
            <w:pPr>
              <w:spacing w:after="0"/>
              <w:rPr>
                <w:sz w:val="20"/>
                <w:szCs w:val="20"/>
                <w:color w:val="auto"/>
              </w:rPr>
            </w:pPr>
            <w:r>
              <w:rPr>
                <w:rFonts w:ascii="Arial" w:cs="Arial" w:eastAsia="Arial" w:hAnsi="Arial"/>
                <w:sz w:val="18"/>
                <w:szCs w:val="18"/>
                <w:color w:val="auto"/>
              </w:rPr>
              <w:t>Trui Hebbelinck</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Human Resources Officer</w:t>
            </w:r>
          </w:p>
        </w:tc>
      </w:tr>
      <w:tr>
        <w:trPr>
          <w:trHeight w:val="242"/>
        </w:trPr>
        <w:tc>
          <w:tcPr>
            <w:tcW w:w="2560" w:type="dxa"/>
            <w:vAlign w:val="bottom"/>
            <w:gridSpan w:val="2"/>
          </w:tcPr>
          <w:p>
            <w:pPr>
              <w:spacing w:after="0"/>
              <w:rPr>
                <w:sz w:val="20"/>
                <w:szCs w:val="20"/>
                <w:color w:val="auto"/>
              </w:rPr>
            </w:pPr>
            <w:r>
              <w:rPr>
                <w:rFonts w:ascii="Arial" w:cs="Arial" w:eastAsia="Arial" w:hAnsi="Arial"/>
                <w:sz w:val="18"/>
                <w:szCs w:val="18"/>
                <w:color w:val="auto"/>
              </w:rPr>
              <w:t>Roy Khoury</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Former President, International, Senior Vice President, Global</w:t>
            </w:r>
          </w:p>
        </w:tc>
      </w:tr>
      <w:tr>
        <w:trPr>
          <w:trHeight w:val="230"/>
        </w:trPr>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Strategic Marketing</w:t>
            </w:r>
          </w:p>
        </w:tc>
      </w:tr>
    </w:tbl>
    <w:p>
      <w:pPr>
        <w:spacing w:after="0" w:line="157" w:lineRule="exact"/>
        <w:rPr>
          <w:sz w:val="20"/>
          <w:szCs w:val="20"/>
          <w:color w:val="auto"/>
        </w:rPr>
      </w:pPr>
    </w:p>
    <w:p>
      <w:pPr>
        <w:ind w:left="1260" w:right="659" w:firstLine="360"/>
        <w:spacing w:after="0" w:line="266" w:lineRule="auto"/>
        <w:rPr>
          <w:sz w:val="20"/>
          <w:szCs w:val="20"/>
          <w:color w:val="auto"/>
        </w:rPr>
      </w:pPr>
      <w:r>
        <w:rPr>
          <w:rFonts w:ascii="Arial" w:cs="Arial" w:eastAsia="Arial" w:hAnsi="Arial"/>
          <w:sz w:val="18"/>
          <w:szCs w:val="18"/>
          <w:b w:val="1"/>
          <w:bCs w:val="1"/>
          <w:color w:val="auto"/>
        </w:rPr>
        <w:t>Damien McDonald</w:t>
      </w:r>
      <w:r>
        <w:rPr>
          <w:rFonts w:ascii="Arial" w:cs="Arial" w:eastAsia="Arial" w:hAnsi="Arial"/>
          <w:sz w:val="18"/>
          <w:szCs w:val="18"/>
          <w:color w:val="auto"/>
        </w:rPr>
        <w:t>’s biographical information is set forth under “</w:t>
      </w:r>
      <w:r>
        <w:rPr>
          <w:rFonts w:ascii="Arial" w:cs="Arial" w:eastAsia="Arial" w:hAnsi="Arial"/>
          <w:sz w:val="18"/>
          <w:szCs w:val="18"/>
          <w:i w:val="1"/>
          <w:iCs w:val="1"/>
          <w:color w:val="auto"/>
        </w:rPr>
        <w:t>Background Information Regarding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Directors and Director Nominees.”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b w:val="1"/>
          <w:bCs w:val="1"/>
          <w:color w:val="auto"/>
        </w:rPr>
        <w:t xml:space="preserve">Alex Shvartsburg </w:t>
      </w:r>
      <w:r>
        <w:rPr>
          <w:rFonts w:ascii="Arial" w:cs="Arial" w:eastAsia="Arial" w:hAnsi="Arial"/>
          <w:sz w:val="17"/>
          <w:szCs w:val="17"/>
          <w:color w:val="auto"/>
        </w:rPr>
        <w:t>joined LivaNova in September 2017 as Vice President Finance Strategy &amp;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(2017 — January 2020) and then became Vice President Corporate Finance &amp; Chief Financial Officer, International Markets (January 2020 — November 2020). He assumed the role of Interim Chief Financial Officer in November 2020. Prior to joining the Company, Mr. Shvartsburg was Chief Financial Officer/ Chief Operating Officer of CaligorRx (June 2016 — September 2017); Vice President Finance Genetic Science Division at Thermo Fisher Scientific (January 2014 — June 2016); and Sr. Finance Director, Mergers &amp; Acquisitions with Life Technologies (June 2012 — January 2014) . Earlier in his career he held positions of increasing responsibility in Finance. Mr. Shvartsburg holds a BS in Accounting from Drexel University — College of Business and Administration and an MBA from La Salle University.</w:t>
      </w:r>
    </w:p>
    <w:p>
      <w:pPr>
        <w:spacing w:after="0" w:line="9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b w:val="1"/>
          <w:bCs w:val="1"/>
          <w:color w:val="auto"/>
        </w:rPr>
        <w:t xml:space="preserve">Keyna Skeffington </w:t>
      </w:r>
      <w:r>
        <w:rPr>
          <w:rFonts w:ascii="Arial" w:cs="Arial" w:eastAsia="Arial" w:hAnsi="Arial"/>
          <w:sz w:val="18"/>
          <w:szCs w:val="18"/>
          <w:color w:val="auto"/>
        </w:rPr>
        <w:t>joined LivaNova in June 2017 in the role of Senior Vice President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became Company Secretary in October 2019. Prior to joining the Company, Ms. Skeffington served in various roles at Medtronic Plc from 2004 to 2017, most recently as Vice President of Legal — Corporate and Securities and Assistant Secretary (2006 to 2017). She also served as Senior Legal Counsel for Medtronic’s Cardiac Surgery Business from 2005 to 2006. Before joining Medtronic, Ms. Skeffington was a Partner at the firm now known as Faegre Drinker Biddle &amp; Reath LLP. Ms. Skeffington holds a BA in International Relations and Russian from Mount Holyoke College and a JD from Tulane University Law School.</w:t>
      </w:r>
    </w:p>
    <w:p>
      <w:pPr>
        <w:spacing w:after="0" w:line="124"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b w:val="1"/>
          <w:bCs w:val="1"/>
          <w:color w:val="auto"/>
        </w:rPr>
        <w:t xml:space="preserve">Marco Dolci </w:t>
      </w:r>
      <w:r>
        <w:rPr>
          <w:rFonts w:ascii="Arial" w:cs="Arial" w:eastAsia="Arial" w:hAnsi="Arial"/>
          <w:sz w:val="17"/>
          <w:szCs w:val="17"/>
          <w:color w:val="auto"/>
        </w:rPr>
        <w:t>joined LivaNova in March 2017 as President, Europe and subsequently became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Europe and Head of Global Manufacturing Operations (December 2018 to January 2020) and has been in his current role as Head of Global Operations and R&amp;D since January 2020. Prior to joining the Company, Mr. Dolci was with Danaher Corporation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Prior to his tenure at Danaher, Mr. Dolci served as President and CEO, EMEA for Hitachi Medical System Europe Holding AG. Earlier in his career, he worked in various positions at Eastman Kodak S.A. — Health Care</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color w:val="auto"/>
        </w:rPr>
        <w:t>Division, GE Healthcare and Philips Medical Systems. Mr. Dolci holds a master’s degree in nuclear physics from University of Milan and an Executive M.B.A. from Polytechnic University of Milan.</w:t>
      </w:r>
    </w:p>
    <w:p>
      <w:pPr>
        <w:spacing w:after="0" w:line="8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b w:val="1"/>
          <w:bCs w:val="1"/>
          <w:color w:val="auto"/>
        </w:rPr>
        <w:t xml:space="preserve">Trui Hebbelinck </w:t>
      </w:r>
      <w:r>
        <w:rPr>
          <w:rFonts w:ascii="Arial" w:cs="Arial" w:eastAsia="Arial" w:hAnsi="Arial"/>
          <w:sz w:val="17"/>
          <w:szCs w:val="17"/>
          <w:color w:val="auto"/>
        </w:rPr>
        <w:t>joined LivaNova in March 2019 as the Company’s Chief Human Resources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oversees global human resources. Prior to joining LivaNova, Ms. Hebbelinck served as VP, Human Resources Trading &amp; Supply with Royal Dutch Shell plc, a global petrochemical company, from September 2015 to March 2019 and as its VP HR Operations UK, Ireland, Nordics, South Africa from January 2014 to September 2015. Prior to Shell, Ms. Hebelinck served as VP, HR International with General Electric Corporation and in Human Resources with GE Capital Real Estate and GE Healthcare.</w:t>
      </w:r>
    </w:p>
    <w:p>
      <w:pPr>
        <w:spacing w:after="0" w:line="5" w:lineRule="exact"/>
        <w:rPr>
          <w:sz w:val="20"/>
          <w:szCs w:val="20"/>
          <w:color w:val="auto"/>
        </w:rPr>
      </w:pPr>
    </w:p>
    <w:p>
      <w:pPr>
        <w:ind w:left="1260" w:right="919"/>
        <w:spacing w:after="0" w:line="260" w:lineRule="auto"/>
        <w:rPr>
          <w:sz w:val="20"/>
          <w:szCs w:val="20"/>
          <w:color w:val="auto"/>
        </w:rPr>
      </w:pPr>
      <w:r>
        <w:rPr>
          <w:rFonts w:ascii="Arial" w:cs="Arial" w:eastAsia="Arial" w:hAnsi="Arial"/>
          <w:sz w:val="18"/>
          <w:szCs w:val="18"/>
          <w:color w:val="auto"/>
        </w:rPr>
        <w:t>Ms. Hebbelinck earned a Master of Science in Psychology from Ghent University and a post-graduate degree in Business Management &amp; Administration from the University of Leuven.</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b w:val="1"/>
          <w:bCs w:val="1"/>
          <w:color w:val="auto"/>
        </w:rPr>
        <w:t xml:space="preserve">Roy Khoury </w:t>
      </w:r>
      <w:r>
        <w:rPr>
          <w:rFonts w:ascii="Arial" w:cs="Arial" w:eastAsia="Arial" w:hAnsi="Arial"/>
          <w:sz w:val="17"/>
          <w:szCs w:val="17"/>
          <w:color w:val="auto"/>
        </w:rPr>
        <w:t>was an Executive Officer as of December 31, 2020 but resigned from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March 1, 2021. Mr. Khoury joined LivaNova in June 2016 as President, International Markets and was promoted to the role of Senior Vice President, Global Strategic Marketing in January 2020. From August 2015 to July 2016, Mr. Khoury served as a Senior Healthcare Consultant at RPK and Associates. Prior to that, Mr. Khoury spent more than eight years in various roles at Allergan Pharmaceuticals, a global pharmaceutical company, including as Vice President Commercial Operations, International Markets (September 2014 to July 2015); Senior Director, Marketing Neurosciences and Urology, EMEA (July 2012 to September 2014); Business Unit Head/General Manager Ophthalmology Emerging Markets EMEA (November 2009 to September 2012); and Group Lead Marketing Manager Europe/Africa/Middle East (June 2008 to February 2010). Earlier in his career, he held manager and director positions with Novartis Pharmaceuticals Ltd. UK and ApotheCom Associates LLC. Mr. Khoury has a degree in Business Administration from LaSalle with minors in English literature and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Set out below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We join with management in welcoming shareholders to examine our pay practices and in affirming the commitment of these pay practices to the long-term interests of shareholders. The Compensation Committee has reviewed and discussed the disclosure set forth below under the heading “Compensation Discussion and Analysis” with management and, based on the review and discussions, it has recommended to the Board that the “Compensation Discussion and Analysis” be included in a Form 10-K and our proxy statement for the 2021 AGM.</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Francesco Bianchi</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Stacy Enxing Seng</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Alfred Novak</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Arthur L. Rosenthal, Ph.D. (chair)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This Compensation Discussion and Analysis (“CD&amp;A”) describes our executive compensation programs for our Named Executive Officers (“NEOs”) and the oversight exercised by the Compensation Committee in setting executive compensation for the year ended December 31, 2020. This CD&amp;A supplements and should be read together with the compensation tables and related disclosure following this CD&amp;A.</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Named Executive Officers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NEOs for the year ended December 31, 2020 are:</w:t>
      </w:r>
    </w:p>
    <w:p>
      <w:pPr>
        <w:spacing w:after="0" w:line="117"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Damien McDonald, Chief Executive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Thad Huston, Former Chief Financial Officer (until October 31, 2020);</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Alex Shvartsburg, Interim Chief Financial Officer effective October 31, 2020;</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Keyna Skeffington, SVP, General Counsel and Corporate Secretary;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Marco Dolci SVP, Global Operations and R&amp;D; and</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Roy Khoury, Former President International Region and SVP Global Strategic Marketing (until March 1, 2021).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CD&amp;A Executive Summary</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Our market-competitive executive compensation program attracts and retains executives who perform at a high level and contribute to the success of the Company. It also provides strong financial incentives for the NEOs to increase shareholder value. To accomplish this, the Company pays its NEOs a base salary in cash; a bonus in cash in the event the metrics of the Short -Term Incentive Plan (“STIP”) are met; equity in the form of service-based awards and performance-based awards; and other employment benefits. All of these are more fully described in this CD&amp;A and in the narrative and tables below.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Company Performance in the Year Ended December 31, 2020</w:t>
      </w:r>
    </w:p>
    <w:p>
      <w:pPr>
        <w:spacing w:after="0" w:line="162"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The year ended December 31, 2020 was a challenging one for the Company as a result of the Covid-19 pandemic. We experienced significant and unpredictable reductions in the demand for our products due to healthcare customers diverting medical resources and priorities to the treatment of Covid-19. In addition, public health organizations regularly delayed or suspended elective procedures which negatively impacted</w:t>
      </w:r>
    </w:p>
    <w:p>
      <w:pPr>
        <w:sectPr>
          <w:pgSz w:w="11900" w:h="16838" w:orient="portrait"/>
          <w:cols w:equalWidth="0" w:num="1">
            <w:col w:w="9879"/>
          </w:cols>
          <w:pgMar w:left="580" w:top="131"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the usage of our products, including the number of Neuromodulation procedures. Further, there was a decline in treatment for non-Covid-19 emergency procedures, which negatively impacted the demand for our products.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2020:</w:t>
      </w:r>
    </w:p>
    <w:p>
      <w:pPr>
        <w:spacing w:after="0" w:line="117" w:lineRule="exact"/>
        <w:rPr>
          <w:sz w:val="20"/>
          <w:szCs w:val="20"/>
          <w:color w:val="auto"/>
        </w:rPr>
      </w:pPr>
    </w:p>
    <w:p>
      <w:pPr>
        <w:ind w:left="1800" w:right="8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total net sales were $934 million versus $1,084.2 in 2019, a decrease of 13.83% from 2019;</w:t>
      </w:r>
    </w:p>
    <w:p>
      <w:pPr>
        <w:spacing w:after="0" w:line="75"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Cardiovascular sales, which include Cardiopulmonary, Heart Valves and ACS products, were $577.1 million, representing a 12.0 percent decrease versus 2019.</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in Cardiopulmonary products were $446.7 million, representing an 11.4 percent decline versus full-year 2019. For 2020, the sales decline was related to the impact of COVID-19 on cardiac surgery procedure volumes and a slowdown in capital equipment purchases.</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Heart Valve sales were $88.0 million, a decrease of 26.6 percent compared to 2019 due to the impact of COVID-19 on surgical valve replacement procedures.</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Advanced Circulatory Support (“ACS”) sales were $42.3 million, an increase of 32.6 percent compared to 2019, primarily due to the U.S. launch of LifeSPARC.</w:t>
      </w:r>
    </w:p>
    <w:p>
      <w:pPr>
        <w:spacing w:after="0" w:line="62"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Neuromodulation sales were $354.4 million in 2020, representing a 16.4 percent decrease versus 2019. This decline was primarily related to the impact of COVID-19 on procedure volumes globally.</w:t>
      </w:r>
    </w:p>
    <w:p>
      <w:pPr>
        <w:spacing w:after="0" w:line="38" w:lineRule="exact"/>
        <w:rPr>
          <w:rFonts w:ascii="Arial" w:cs="Arial" w:eastAsia="Arial" w:hAnsi="Arial"/>
          <w:sz w:val="17"/>
          <w:szCs w:val="17"/>
          <w:color w:val="auto"/>
        </w:rPr>
      </w:pPr>
    </w:p>
    <w:p>
      <w:pPr>
        <w:jc w:val="both"/>
        <w:ind w:left="1800" w:right="439" w:hanging="180"/>
        <w:spacing w:after="0" w:line="25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U.S. GAAP basis, operating loss from continuing operations was $269.9 million in 2020, which includes an impairment charge of $208.2 million primarily related to the anticipated sale of the Heart Valve business and $57.5 million primarily for 3T Heater-Cooler® legal expenses, remeasurement of contingent consideration and a provision for future obligations relating to hazardous substances from former operations in Italy.</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2020 STIP included financial objectives, non-financial objectives, and, for most NEOs, leadership objectives. None of the financial objectives were achieved for the STIP and consequently, the payout related to the financial objectives was zero for all our NEOs. Three out of the six non-financial objectives were achieved, but payout was zero because payment of the non-financial portion of the bonus was tied to achievement of the threshold on one or both Group Net Sales and/or Group Adjusted Net Income. Given the Company’s overall financial results, the Compensation Committee reduced the payout under the STIP to 15% at target for achievement of the leadership objectives. The leadership objectives were achieved by each of the NEOs except for Mr. McDonald who did not have a leadership component. Ultimately, due to the Company’s performance, the Compensation Committee utilized its discretion in determining that Mr. McDonald would not receive an STIP payout.</w:t>
      </w:r>
    </w:p>
    <w:p>
      <w:pPr>
        <w:spacing w:after="0" w:line="127"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Compensation Committee is committed to the principal that pay must align with the financial experience of our investors and other shareholders. While cognizant of the tremendous effort and outstanding work by the CEO and entire executive team in running operations in the midst of a pandemic, the Committee also recognized that COVID-19 was impactful, materially affecting LivaNova’s financial outcomes in 2020. Accordingly, the Compensation Committee, in consultation with its independent compensation consultant, Pearl Meyer &amp; Partners, LLC, believes that the final calculations associated with the NEOs’ 2020 STIP awards are appropriate.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Actions in 2020 to Contribute to Future Revenue</w:t>
      </w:r>
    </w:p>
    <w:p>
      <w:pPr>
        <w:spacing w:after="0" w:line="148"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While LivaNova’s 2020 financial results were disappointing, numerous management actions and other prior-year efforts bore fruit that are expected to contribute to the Company’s success in the future.</w:t>
      </w:r>
    </w:p>
    <w:p>
      <w:pPr>
        <w:spacing w:after="0" w:line="38" w:lineRule="exact"/>
        <w:rPr>
          <w:sz w:val="20"/>
          <w:szCs w:val="20"/>
          <w:color w:val="auto"/>
        </w:rPr>
      </w:pPr>
    </w:p>
    <w:p>
      <w:pPr>
        <w:ind w:left="1800" w:right="4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received U.S. Food and Drug Administration (“FDA”) 510(k) clearance for the 3T Heater Device Modification.</w:t>
      </w:r>
    </w:p>
    <w:p>
      <w:pPr>
        <w:spacing w:after="0" w:line="62"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entered a research collaboration with Verily, an Alphabet company, to capture biomarkers of depression within a sub-study, UNCOVER, of our RECOVER clinical study, which is evaluating the effectiveness of VNS Therapy® (VNS Therapy) for Difficult-to-Treat Depression (“DTD”).</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were granted CE Mark approval for DTD.</w:t>
      </w:r>
    </w:p>
    <w:p>
      <w:pPr>
        <w:spacing w:after="0" w:line="90"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Bi-Flow Extracorporeal Membrane Oxygenation (ECMO) cannula earned CE Mark approval for ECMO procedures where femoral artery cannulation can be applied.</w:t>
      </w:r>
    </w:p>
    <w:p>
      <w:pPr>
        <w:spacing w:after="0" w:line="48"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study published in the International Journal of Bipolar Disorders that showed adding VNS Therapy to treatment as usual significantly improves outcomes in patients with treatment-resistant bipolar depression.</w:t>
      </w:r>
    </w:p>
    <w:p>
      <w:pPr>
        <w:spacing w:after="0" w:line="62"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advanced Perceval® Plus sutureless surgical aortic heart valve is now available for commercial release in Europe, having successfully completed a one-year limited launch with initial real-world clinical data gathering. Perceval Plus is positioned to become an essential component to any comprehensive heart program.</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entered into an agreement with Gyrus Capital for the sale of our heart valve (HV) business.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Participants in Executive Compensation Design and Decision-Making Process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Role of the Compensation Committee</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Compensation Committee determines our compensation philosophy, program design and is the decision-making body on all matters relating to the compensation paid to our NEOs. The Compensation Committee has the sole authority to retain and terminate a compensation consultant to assist with its responsibilities as well as the sole authority to approve the compensation consultant’s fees, which the Company pays. For more information about the Compensation Committee, its members and its duties as set forth in its charter, please refer to the section entitled “Board, Committee and Shareholders Meetings — Compensation Committee” beginning on page 19 of this proxy statement.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Role of the Compensation Consultant</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Compensation Committee directly engages a compensation consultant, Pearl Meyer &amp; Partners, LLC (“Pearl Meyer”), to advise it on competitive pay practices, determine our peers for compensation purposes, provide market data and assist us in the analysis of that data. Pearl Meyer is independent of the Company and does not perform any services for the Company or any of its executive officers or other employees.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Role of the CEO</w:t>
      </w:r>
    </w:p>
    <w:p>
      <w:pPr>
        <w:spacing w:after="0" w:line="162"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Our Compensation Committee works with our executive management, including our CEO, to oversee our executive compensation program. Our CEO plays a key role in the process as it relates to executive officers other than himself. For the NEOs other than himself, our CEO:</w:t>
      </w:r>
    </w:p>
    <w:p>
      <w:pPr>
        <w:spacing w:after="0" w:line="74"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Recommends performance objectives for our annual STIP;</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Recommends adjustments to annual base salaries and target amounts under our STIP;</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Recommends equity incentive awards under our long-term incentive plan (“LTIP”);</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Prepares an evaluation of each executive officer;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Prepares an analysis of performance objective achievements and recommends annual bonus amounts.</w:t>
      </w:r>
    </w:p>
    <w:p>
      <w:pPr>
        <w:spacing w:after="0" w:line="167"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With respect to himself, our CEO prepares a self- evaluation that is reviewed by the Compensation Committee and used by the Compensation Committee in setting his compensation.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 Philosophy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Compensation Committee has structured the Company’s executive compensation program to be an incentive for our NEOs to perform at their highest level, take appropriate risks and drive shareholder return in the short and long term. We determine the compensation strategy for our NEOs and oversee its operation to ensure our goals — shareholder alignment, rewarding appropriate performance and competitive pay — are achieved in practice.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Our executive compensation program aims to ensure that we recruit and retain key executive officers responsible for our success and align the interests of our executive officers, including our NEOs, with shareholders. To achieve these ends, the Compensation Committee with advice from its independent compensation consultant structures the executive compensation program to:</w:t>
      </w:r>
    </w:p>
    <w:p>
      <w:pPr>
        <w:spacing w:after="0" w:line="66" w:lineRule="exact"/>
        <w:rPr>
          <w:sz w:val="20"/>
          <w:szCs w:val="20"/>
          <w:color w:val="auto"/>
        </w:rPr>
      </w:pPr>
    </w:p>
    <w:p>
      <w:pPr>
        <w:ind w:left="1800" w:right="51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Target NEO pay around the market median to attract, motivate and retain talented executive officers with the skills and experience to ensure our long-term success;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multiple pay and award vehicles that work together to reward performance and retain talent, while maintaining alignment with shareholder interests;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Reward individual performance with base salary and a cash-based short-term bonus while ensuring a meaningful link to our operational performance and shareholder interests;</w:t>
      </w:r>
    </w:p>
    <w:p>
      <w:pPr>
        <w:spacing w:after="0" w:line="62"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a substantial portion of each NEO’s compensation as variable pay contingent upon the achievement of our business objectives;</w:t>
      </w:r>
    </w:p>
    <w:p>
      <w:pPr>
        <w:spacing w:after="0" w:line="62" w:lineRule="exact"/>
        <w:rPr>
          <w:rFonts w:ascii="Arial" w:cs="Arial" w:eastAsia="Arial" w:hAnsi="Arial"/>
          <w:sz w:val="18"/>
          <w:szCs w:val="18"/>
          <w:color w:val="auto"/>
        </w:rPr>
      </w:pPr>
    </w:p>
    <w:p>
      <w:pPr>
        <w:ind w:left="1800" w:right="679" w:hanging="180"/>
        <w:spacing w:after="0" w:line="286"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57" w:lineRule="exact"/>
        <w:rPr>
          <w:rFonts w:ascii="Arial" w:cs="Arial" w:eastAsia="Arial" w:hAnsi="Arial"/>
          <w:sz w:val="17"/>
          <w:szCs w:val="17"/>
          <w:color w:val="auto"/>
        </w:rPr>
      </w:pPr>
    </w:p>
    <w:p>
      <w:pPr>
        <w:ind w:left="1800" w:right="7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Encourage NEOs to have a meaningful ownership interest in the Company with stock ownership guidelines;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Vest equity awards over time to promote retention and mitigate risks; and</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the ability to clawback awards in specified situations through our LivaNova Compensation Recoupment Policy.</w:t>
      </w:r>
    </w:p>
    <w:p>
      <w:pPr>
        <w:spacing w:after="0" w:line="103"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The Compensation Committee further aligns the executive compensation program with shareholder interests by:</w:t>
      </w:r>
    </w:p>
    <w:p>
      <w:pPr>
        <w:spacing w:after="0" w:line="63"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Having a double trigger change in control provision before cash severance may be paid;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excise tax gross-up payments;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stock option repricing and discounted stock option grants;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allowing our officers or directors to pledge their LivaNova stock, subject to a transition period to unwind any existing obligations;</w:t>
      </w:r>
    </w:p>
    <w:p>
      <w:pPr>
        <w:spacing w:after="0" w:line="62" w:lineRule="exact"/>
        <w:rPr>
          <w:rFonts w:ascii="Arial" w:cs="Arial" w:eastAsia="Arial" w:hAnsi="Arial"/>
          <w:sz w:val="18"/>
          <w:szCs w:val="18"/>
          <w:color w:val="auto"/>
        </w:rPr>
      </w:pPr>
    </w:p>
    <w:p>
      <w:pPr>
        <w:jc w:val="both"/>
        <w:ind w:left="1800" w:right="47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hedging transactions of any type of Company security, including without limitation puts, calls, equity swaps, collars, exchange funds, prepaid variable forwards or other financial instruments or derivative securities;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Allocating 50% of NEO long-term incentives to performance-based awards.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We Establish Executive Compensation Levels</w:t>
      </w:r>
    </w:p>
    <w:p>
      <w:pPr>
        <w:spacing w:after="0" w:line="162"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In making executive compensation determinations, the Compensation Committee relies on several factors to set compensation elements and compensation targets consistent with our executive compensation program objectives. These factors include:</w:t>
      </w:r>
    </w:p>
    <w:p>
      <w:pPr>
        <w:spacing w:after="0" w:line="70" w:lineRule="exact"/>
        <w:rPr>
          <w:sz w:val="20"/>
          <w:szCs w:val="20"/>
          <w:color w:val="auto"/>
        </w:rPr>
      </w:pPr>
    </w:p>
    <w:p>
      <w:pPr>
        <w:ind w:left="1800" w:right="899" w:hanging="180"/>
        <w:spacing w:after="0" w:line="274"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Assessment of Company Performance</w:t>
      </w:r>
      <w:r>
        <w:rPr>
          <w:rFonts w:ascii="Arial" w:cs="Arial" w:eastAsia="Arial" w:hAnsi="Arial"/>
          <w:sz w:val="17"/>
          <w:szCs w:val="17"/>
          <w:color w:val="auto"/>
        </w:rPr>
        <w:t>. The Compensation Committee establishes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measurable company performance objectives that the Board, the Compensation Committee and management believe will drive shareholder value. Achievement or failure to achieve those performance objectives determines substantially all of the pay-outs under the STIP (individual objectives may also be relevant depending on the year) and the lapsing or not of forfeiture restrictions on performance-based equity incentive awards under the LTIP.</w:t>
      </w:r>
    </w:p>
    <w:p>
      <w:pPr>
        <w:spacing w:after="0" w:line="51" w:lineRule="exact"/>
        <w:rPr>
          <w:rFonts w:ascii="Arial" w:cs="Arial" w:eastAsia="Arial" w:hAnsi="Arial"/>
          <w:sz w:val="17"/>
          <w:szCs w:val="17"/>
          <w:color w:val="auto"/>
        </w:rPr>
      </w:pPr>
    </w:p>
    <w:p>
      <w:pPr>
        <w:ind w:left="1800" w:right="1539" w:hanging="180"/>
        <w:spacing w:after="0" w:line="282"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Assessment of Individual Performance</w:t>
      </w:r>
      <w:r>
        <w:rPr>
          <w:rFonts w:ascii="Arial" w:cs="Arial" w:eastAsia="Arial" w:hAnsi="Arial"/>
          <w:sz w:val="18"/>
          <w:szCs w:val="18"/>
          <w:color w:val="auto"/>
        </w:rPr>
        <w:t>. Individual performance has a strong impact on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53" w:lineRule="exact"/>
        <w:rPr>
          <w:rFonts w:ascii="Arial" w:cs="Arial" w:eastAsia="Arial" w:hAnsi="Arial"/>
          <w:sz w:val="18"/>
          <w:szCs w:val="18"/>
          <w:color w:val="auto"/>
        </w:rPr>
      </w:pPr>
    </w:p>
    <w:p>
      <w:pPr>
        <w:ind w:left="2160" w:right="459" w:hanging="180"/>
        <w:spacing w:after="0" w:line="289" w:lineRule="auto"/>
        <w:tabs>
          <w:tab w:leader="none" w:pos="2160" w:val="left"/>
        </w:tabs>
        <w:numPr>
          <w:ilvl w:val="1"/>
          <w:numId w:val="37"/>
        </w:numPr>
        <w:rPr>
          <w:rFonts w:ascii="Arial" w:cs="Arial" w:eastAsia="Arial" w:hAnsi="Arial"/>
          <w:sz w:val="17"/>
          <w:szCs w:val="17"/>
          <w:color w:val="auto"/>
        </w:rPr>
      </w:pPr>
      <w:r>
        <w:rPr>
          <w:rFonts w:ascii="Arial" w:cs="Arial" w:eastAsia="Arial" w:hAnsi="Arial"/>
          <w:sz w:val="17"/>
          <w:szCs w:val="17"/>
          <w:b w:val="1"/>
          <w:bCs w:val="1"/>
          <w:color w:val="auto"/>
        </w:rPr>
        <w:t>CEO</w:t>
      </w:r>
      <w:r>
        <w:rPr>
          <w:rFonts w:ascii="Arial" w:cs="Arial" w:eastAsia="Arial" w:hAnsi="Arial"/>
          <w:sz w:val="17"/>
          <w:szCs w:val="17"/>
          <w:color w:val="auto"/>
        </w:rPr>
        <w:t>. The Compensation Committee meets with our CEO at the end of the year to agree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CEO’s performance objectives for the next year. At the end of the year, the Compensation Committee and the chair of the Board meet in executive session to assess the CEO’s</w:t>
      </w:r>
    </w:p>
    <w:p>
      <w:pPr>
        <w:sectPr>
          <w:pgSz w:w="11900" w:h="16838" w:orient="portrait"/>
          <w:cols w:equalWidth="0" w:num="1">
            <w:col w:w="9879"/>
          </w:cols>
          <w:pgMar w:left="580" w:top="131"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519"/>
        <w:spacing w:after="0" w:line="277" w:lineRule="auto"/>
        <w:rPr>
          <w:sz w:val="20"/>
          <w:szCs w:val="20"/>
          <w:color w:val="auto"/>
        </w:rPr>
      </w:pPr>
      <w:r>
        <w:rPr>
          <w:rFonts w:ascii="Arial" w:cs="Arial" w:eastAsia="Arial" w:hAnsi="Arial"/>
          <w:sz w:val="18"/>
          <w:szCs w:val="18"/>
          <w:color w:val="auto"/>
        </w:rPr>
        <w:t>performance against his performance objectives, his contribution to our performance, his ethics and integrity and other leadership attributes.</w:t>
      </w:r>
    </w:p>
    <w:p>
      <w:pPr>
        <w:spacing w:after="0" w:line="58" w:lineRule="exact"/>
        <w:rPr>
          <w:sz w:val="20"/>
          <w:szCs w:val="20"/>
          <w:color w:val="auto"/>
        </w:rPr>
      </w:pPr>
    </w:p>
    <w:p>
      <w:pPr>
        <w:ind w:left="2160" w:right="519" w:hanging="180"/>
        <w:spacing w:after="0" w:line="298" w:lineRule="auto"/>
        <w:tabs>
          <w:tab w:leader="none" w:pos="2160"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Other NEOs</w:t>
      </w:r>
      <w:r>
        <w:rPr>
          <w:rFonts w:ascii="Arial" w:cs="Arial" w:eastAsia="Arial" w:hAnsi="Arial"/>
          <w:sz w:val="16"/>
          <w:szCs w:val="16"/>
          <w:color w:val="auto"/>
        </w:rPr>
        <w:t>. For all other NEOs, the Compensation Committee receives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assessments and compensation recommendations from the CEO and also exercises its judgment based on the Board’s interactions with the individuals. As with the CEO, an executive officer’s performance assessment is based on individual achievements and contributions, contribution to our company’s performance, ethics and integrity and other leadership accomplishments.</w:t>
      </w:r>
    </w:p>
    <w:p>
      <w:pPr>
        <w:spacing w:after="0" w:line="45" w:lineRule="exact"/>
        <w:rPr>
          <w:rFonts w:ascii="Arial" w:cs="Arial" w:eastAsia="Arial" w:hAnsi="Arial"/>
          <w:sz w:val="16"/>
          <w:szCs w:val="16"/>
          <w:color w:val="auto"/>
        </w:rPr>
      </w:pPr>
    </w:p>
    <w:p>
      <w:pPr>
        <w:ind w:left="1800" w:right="499" w:hanging="180"/>
        <w:spacing w:after="0" w:line="254"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Benchmarking Analysis</w:t>
      </w:r>
      <w:r>
        <w:rPr>
          <w:rFonts w:ascii="Arial" w:cs="Arial" w:eastAsia="Arial" w:hAnsi="Arial"/>
          <w:sz w:val="18"/>
          <w:szCs w:val="18"/>
          <w:color w:val="auto"/>
        </w:rPr>
        <w:t>. The Compensation Committee reviews peer-group data as a market check</w:t>
      </w:r>
      <w:r>
        <w:rPr>
          <w:rFonts w:ascii="Arial" w:cs="Arial" w:eastAsia="Arial" w:hAnsi="Arial"/>
          <w:sz w:val="18"/>
          <w:szCs w:val="18"/>
          <w:b w:val="1"/>
          <w:bCs w:val="1"/>
          <w:color w:val="auto"/>
        </w:rPr>
        <w:t xml:space="preserve"> </w:t>
      </w:r>
      <w:r>
        <w:rPr>
          <w:rFonts w:ascii="Arial" w:cs="Arial" w:eastAsia="Arial" w:hAnsi="Arial"/>
          <w:sz w:val="18"/>
          <w:szCs w:val="18"/>
          <w:color w:val="auto"/>
        </w:rPr>
        <w:t>for compensation decisions, but does not base compensation targets on peer-group data alone. The Compensation Committee compares the overall pay of individual NEOs to the most relevant benchmarking data available from its independent advisor, Pearl Meyer. The NEOs’ pay is driven primarily by individual and Company performance, as well as internal pay equity; peer group data is used as a market check to compare individual pay to comparable roles among our peer group. Pearl Meyer uses the peer group companies as well as survey data from Radford Aon to perform the benchmark analysis. Radford Aon is the compensation survey platform LivaNova uses for salary benchmark data.</w:t>
      </w:r>
    </w:p>
    <w:p>
      <w:pPr>
        <w:spacing w:after="0" w:line="111" w:lineRule="exact"/>
        <w:rPr>
          <w:rFonts w:ascii="Arial" w:cs="Arial" w:eastAsia="Arial" w:hAnsi="Arial"/>
          <w:sz w:val="18"/>
          <w:szCs w:val="18"/>
          <w:color w:val="auto"/>
        </w:rPr>
      </w:pPr>
    </w:p>
    <w:p>
      <w:pPr>
        <w:ind w:left="1800" w:right="479"/>
        <w:spacing w:after="0" w:line="263" w:lineRule="auto"/>
        <w:rPr>
          <w:rFonts w:ascii="Arial" w:cs="Arial" w:eastAsia="Arial" w:hAnsi="Arial"/>
          <w:sz w:val="18"/>
          <w:szCs w:val="18"/>
          <w:color w:val="auto"/>
        </w:rPr>
      </w:pPr>
      <w:r>
        <w:rPr>
          <w:rFonts w:ascii="Arial" w:cs="Arial" w:eastAsia="Arial" w:hAnsi="Arial"/>
          <w:sz w:val="18"/>
          <w:szCs w:val="18"/>
          <w:color w:val="auto"/>
        </w:rPr>
        <w:t>The peer group used to benchmark executive compensation for the year ended December 31, 2020 consisted of 20 companies selected by the Compensation Committee based on recommendation from its independent compensation consultant, Pearl Meyer, as follows:</w:t>
      </w:r>
    </w:p>
    <w:p>
      <w:pPr>
        <w:sectPr>
          <w:pgSz w:w="11900" w:h="16838" w:orient="portrait"/>
          <w:cols w:equalWidth="0" w:num="1">
            <w:col w:w="9879"/>
          </w:cols>
          <w:pgMar w:left="580" w:top="131" w:right="1440" w:bottom="1440" w:gutter="0" w:footer="0" w:header="0"/>
        </w:sectPr>
      </w:pPr>
    </w:p>
    <w:p>
      <w:pPr>
        <w:spacing w:after="0" w:line="143"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Abiomed, Inc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Integer Holdings, Corporation</w:t>
      </w:r>
    </w:p>
    <w:p>
      <w:pPr>
        <w:spacing w:after="0" w:line="48"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Avanos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Integra LifeSciences Holdings Corporation</w:t>
      </w:r>
    </w:p>
    <w:p>
      <w:pPr>
        <w:spacing w:after="0" w:line="61"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Cantel Medical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Masimo Corporation</w:t>
      </w:r>
    </w:p>
    <w:p>
      <w:pPr>
        <w:spacing w:after="0" w:line="7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jc w:val="center"/>
        <w:ind w:left="600"/>
        <w:spacing w:after="0"/>
        <w:rPr>
          <w:sz w:val="20"/>
          <w:szCs w:val="20"/>
          <w:color w:val="auto"/>
        </w:rPr>
      </w:pPr>
      <w:r>
        <w:rPr>
          <w:rFonts w:ascii="Arial" w:cs="Arial" w:eastAsia="Arial" w:hAnsi="Arial"/>
          <w:sz w:val="17"/>
          <w:szCs w:val="17"/>
          <w:color w:val="auto"/>
        </w:rPr>
        <w:t>CONMED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Merit Medical Systems, Inc.</w:t>
      </w:r>
    </w:p>
    <w:p>
      <w:pPr>
        <w:spacing w:after="0" w:line="7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DexCom,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Nuvasive, Inc.</w:t>
      </w:r>
    </w:p>
    <w:p>
      <w:pPr>
        <w:spacing w:after="0" w:line="7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Globus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ResMed Inc.</w:t>
      </w:r>
    </w:p>
    <w:p>
      <w:pPr>
        <w:spacing w:after="0" w:line="86"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jc w:val="center"/>
        <w:ind w:left="780"/>
        <w:spacing w:after="0"/>
        <w:rPr>
          <w:sz w:val="20"/>
          <w:szCs w:val="20"/>
          <w:color w:val="auto"/>
        </w:rPr>
      </w:pPr>
      <w:r>
        <w:rPr>
          <w:rFonts w:ascii="Arial" w:cs="Arial" w:eastAsia="Arial" w:hAnsi="Arial"/>
          <w:sz w:val="17"/>
          <w:szCs w:val="17"/>
          <w:color w:val="auto"/>
        </w:rPr>
        <w:t>Haemonetics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STERIS plc</w:t>
      </w:r>
    </w:p>
    <w:p>
      <w:pPr>
        <w:spacing w:after="0" w:line="7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jc w:val="center"/>
        <w:ind w:left="680"/>
        <w:spacing w:after="0"/>
        <w:rPr>
          <w:sz w:val="20"/>
          <w:szCs w:val="20"/>
          <w:color w:val="auto"/>
        </w:rPr>
      </w:pPr>
      <w:r>
        <w:rPr>
          <w:rFonts w:ascii="Arial" w:cs="Arial" w:eastAsia="Arial" w:hAnsi="Arial"/>
          <w:sz w:val="18"/>
          <w:szCs w:val="18"/>
          <w:color w:val="auto"/>
        </w:rPr>
        <w:t>Hill-Rom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Cooper Companies, Inc.</w:t>
      </w:r>
    </w:p>
    <w:p>
      <w:pPr>
        <w:spacing w:after="0" w:line="8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Hologic,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Varian Medical Systems, Inc.</w:t>
      </w:r>
    </w:p>
    <w:p>
      <w:pPr>
        <w:spacing w:after="0" w:line="75"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ICU Medical, Inc.</w:t>
      </w:r>
    </w:p>
    <w:p>
      <w:pPr>
        <w:spacing w:after="0" w:line="20" w:lineRule="exact"/>
        <w:rPr>
          <w:sz w:val="20"/>
          <w:szCs w:val="20"/>
          <w:color w:val="auto"/>
        </w:rPr>
      </w:pPr>
      <w:r>
        <w:rPr>
          <w:sz w:val="20"/>
          <w:szCs w:val="20"/>
          <w:color w:val="auto"/>
        </w:rPr>
        <w:br w:type="column"/>
      </w:r>
    </w:p>
    <w:p>
      <w:pPr>
        <w:jc w:val="center"/>
        <w:ind w:right="2299"/>
        <w:spacing w:after="0"/>
        <w:rPr>
          <w:sz w:val="20"/>
          <w:szCs w:val="20"/>
          <w:color w:val="auto"/>
        </w:rPr>
      </w:pPr>
      <w:r>
        <w:rPr>
          <w:rFonts w:ascii="Arial" w:cs="Arial" w:eastAsia="Arial" w:hAnsi="Arial"/>
          <w:sz w:val="17"/>
          <w:szCs w:val="17"/>
          <w:color w:val="auto"/>
        </w:rPr>
        <w:t>Wright Medical Group N.V.</w:t>
      </w:r>
    </w:p>
    <w:p>
      <w:pPr>
        <w:spacing w:after="0" w:line="98"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800" w:right="599" w:hanging="180"/>
        <w:spacing w:after="0" w:line="26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Overall Competitiveness</w:t>
      </w:r>
      <w:r>
        <w:rPr>
          <w:rFonts w:ascii="Arial" w:cs="Arial" w:eastAsia="Arial" w:hAnsi="Arial"/>
          <w:sz w:val="18"/>
          <w:szCs w:val="18"/>
          <w:color w:val="auto"/>
        </w:rPr>
        <w:t>. The Compensation Committee uses aggregated market data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Radford Aon survey data as well as the peer group as a reference point to ensure that executive compensation falls within the broad middle range of comparable pay at peer companies with which the Company competes for talent.</w:t>
      </w:r>
    </w:p>
    <w:p>
      <w:pPr>
        <w:spacing w:after="0" w:line="71"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UK Remuneration Policy</w:t>
      </w:r>
      <w:r>
        <w:rPr>
          <w:rFonts w:ascii="Arial" w:cs="Arial" w:eastAsia="Arial" w:hAnsi="Arial"/>
          <w:sz w:val="18"/>
          <w:szCs w:val="18"/>
          <w:color w:val="auto"/>
        </w:rPr>
        <w:t>. For our CEO, who is also a director, the Compensation Committee must</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any compensation plan it approves for him is consistent with our shareholder-approved UK remuneration policy. Under English company law, we are obliged to adopt a remuneration policy for our directors, including our CEO, who is also a director. Under our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 This topic is reviewed and discussed during the quarterly Compensation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 Compensation at Risk</w:t>
      </w:r>
    </w:p>
    <w:p>
      <w:pPr>
        <w:spacing w:after="0" w:line="14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following pie charts show the relative weighting of Target pay for our CEO and the average for the other NEOs as a group for 2020:</w:t>
      </w:r>
    </w:p>
    <w:p>
      <w:pPr>
        <w:spacing w:after="0" w:line="153" w:lineRule="exact"/>
        <w:rPr>
          <w:sz w:val="20"/>
          <w:szCs w:val="20"/>
          <w:color w:val="auto"/>
        </w:rPr>
      </w:pPr>
    </w:p>
    <w:p>
      <w:pPr>
        <w:ind w:left="2100"/>
        <w:spacing w:after="0"/>
        <w:tabs>
          <w:tab w:leader="none" w:pos="7000" w:val="left"/>
        </w:tabs>
        <w:rPr>
          <w:sz w:val="20"/>
          <w:szCs w:val="20"/>
          <w:color w:val="auto"/>
        </w:rPr>
      </w:pPr>
      <w:r>
        <w:rPr>
          <w:rFonts w:ascii="Arial" w:cs="Arial" w:eastAsia="Arial" w:hAnsi="Arial"/>
          <w:sz w:val="18"/>
          <w:szCs w:val="18"/>
          <w:b w:val="1"/>
          <w:bCs w:val="1"/>
          <w:color w:val="auto"/>
        </w:rPr>
        <w:t>CEO Target Pay Mix</w:t>
      </w:r>
      <w:r>
        <w:rPr>
          <w:sz w:val="20"/>
          <w:szCs w:val="20"/>
          <w:color w:val="auto"/>
        </w:rPr>
        <w:tab/>
      </w:r>
      <w:r>
        <w:rPr>
          <w:rFonts w:ascii="Arial" w:cs="Arial" w:eastAsia="Arial" w:hAnsi="Arial"/>
          <w:sz w:val="16"/>
          <w:szCs w:val="16"/>
          <w:b w:val="1"/>
          <w:bCs w:val="1"/>
          <w:color w:val="auto"/>
        </w:rPr>
        <w:t>NEO’s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43180</wp:posOffset>
            </wp:positionV>
            <wp:extent cx="6111875" cy="1157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187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Compensation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Base Salary</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Purpose:  Attract and retain NEOs; compensate for individual performance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Key Features:</w:t>
      </w:r>
    </w:p>
    <w:p>
      <w:pPr>
        <w:spacing w:after="0" w:line="104"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Fixed annually at the beginning of the financial year by the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Measured against compensation peer group</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Serves as the baseline from which short-term incentives are calculated</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it considers the following factors:</w:t>
      </w:r>
    </w:p>
    <w:p>
      <w:pPr>
        <w:spacing w:after="0" w:line="81" w:lineRule="exact"/>
        <w:rPr>
          <w:sz w:val="20"/>
          <w:szCs w:val="20"/>
          <w:color w:val="auto"/>
        </w:rPr>
      </w:pPr>
    </w:p>
    <w:p>
      <w:pPr>
        <w:ind w:left="1800" w:right="139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Individual performance during the recently concluded financial year and potential future contribution;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Responsibilities, including any recent changes in those responsibilities;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of expertise and experience of the NEO compared to that required for a position;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importance of a position;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Internal pay equity among positions;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benchmarking data.</w:t>
      </w:r>
    </w:p>
    <w:p>
      <w:pPr>
        <w:spacing w:after="0" w:line="15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Each of the NEOs is party to an employment agreement that provides for a specified base salary. That base salary is generally reviewed annually and serves as the baseline from which the calculations of certain other elements of compensation are made (e.g. under the STIP).</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March 30, 2020, the Compensation Committee approved adjustments to the base salaries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McDonald, Mr. Huston and Ms. Skeffington effective as of April 1, 2020 as set forth below:</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2020 Base Salary</w:t>
            </w:r>
          </w:p>
        </w:tc>
        <w:tc>
          <w:tcPr>
            <w:tcW w:w="1060" w:type="dxa"/>
            <w:vAlign w:val="bottom"/>
          </w:tcPr>
          <w:p>
            <w:pPr>
              <w:spacing w:after="0"/>
              <w:rPr>
                <w:sz w:val="20"/>
                <w:szCs w:val="20"/>
                <w:color w:val="auto"/>
              </w:rPr>
            </w:pPr>
            <w:r>
              <w:rPr>
                <w:rFonts w:ascii="Arial" w:cs="Arial" w:eastAsia="Arial" w:hAnsi="Arial"/>
                <w:sz w:val="14"/>
                <w:szCs w:val="14"/>
                <w:b w:val="1"/>
                <w:bCs w:val="1"/>
                <w:color w:val="auto"/>
                <w:w w:val="90"/>
              </w:rPr>
              <w:t>2019 Base Salary</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w:t>
            </w:r>
          </w:p>
        </w:tc>
      </w:tr>
      <w:tr>
        <w:trPr>
          <w:trHeight w:val="203"/>
        </w:trPr>
        <w:tc>
          <w:tcPr>
            <w:tcW w:w="4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110"/>
              <w:spacing w:after="0" w:line="203"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21"/>
                <w:szCs w:val="21"/>
                <w:b w:val="1"/>
                <w:bCs w:val="1"/>
                <w:color w:val="auto"/>
                <w:vertAlign w:val="superscript"/>
              </w:rPr>
              <w:t>(1)</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Damien McDonald</w:t>
            </w: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985,394</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938,471</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5%</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Thad Huston</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2"/>
              </w:rPr>
              <w:t>535,178</w:t>
            </w:r>
          </w:p>
        </w:tc>
        <w:tc>
          <w:tcPr>
            <w:tcW w:w="2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9"/>
              </w:rPr>
              <w:t>519,591</w:t>
            </w:r>
          </w:p>
        </w:tc>
        <w:tc>
          <w:tcPr>
            <w:tcW w:w="10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Keyna Skeffington</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462,372</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436,200</w:t>
            </w:r>
          </w:p>
        </w:tc>
        <w:tc>
          <w:tcPr>
            <w:tcW w:w="10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5128895</wp:posOffset>
            </wp:positionH>
            <wp:positionV relativeFrom="paragraph">
              <wp:posOffset>-393700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-393700</wp:posOffset>
            </wp:positionV>
            <wp:extent cx="3429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For salary amounts, we used an exchange rate of $1.28294 per British Pound and exchange rate of</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48" w:lineRule="auto"/>
        <w:rPr>
          <w:sz w:val="20"/>
          <w:szCs w:val="20"/>
          <w:color w:val="auto"/>
        </w:rPr>
      </w:pPr>
      <w:r>
        <w:rPr>
          <w:rFonts w:ascii="Arial" w:cs="Arial" w:eastAsia="Arial" w:hAnsi="Arial"/>
          <w:sz w:val="18"/>
          <w:szCs w:val="18"/>
          <w:color w:val="auto"/>
        </w:rPr>
        <w:t>$1.14038 per Euro, each of which reflects the applicable period average published rate from our BOPC Accounting System between January 1, 2020 and December 31, 2020. The BOPC Accounting System uses Bloomberg as a source to obtain exchange rates.</w:t>
      </w:r>
    </w:p>
    <w:p>
      <w:pPr>
        <w:spacing w:after="0" w:line="101"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Compensation Committee did not approve the salary adjustments for Messrs. Dolci and Khoury, as they received an increase in salary effective January 1, 2020; before they were NEOs. Their increase in salary is in line with the market and their new responsibilities assigned to them in 2020.</w:t>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2020 Base Salary</w:t>
            </w:r>
          </w:p>
        </w:tc>
        <w:tc>
          <w:tcPr>
            <w:tcW w:w="1060" w:type="dxa"/>
            <w:vAlign w:val="bottom"/>
          </w:tcPr>
          <w:p>
            <w:pPr>
              <w:spacing w:after="0"/>
              <w:rPr>
                <w:sz w:val="20"/>
                <w:szCs w:val="20"/>
                <w:color w:val="auto"/>
              </w:rPr>
            </w:pPr>
            <w:r>
              <w:rPr>
                <w:rFonts w:ascii="Arial" w:cs="Arial" w:eastAsia="Arial" w:hAnsi="Arial"/>
                <w:sz w:val="14"/>
                <w:szCs w:val="14"/>
                <w:b w:val="1"/>
                <w:bCs w:val="1"/>
                <w:color w:val="auto"/>
                <w:w w:val="90"/>
              </w:rPr>
              <w:t>2019 Base Salary</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w:t>
            </w:r>
          </w:p>
        </w:tc>
      </w:tr>
      <w:tr>
        <w:trPr>
          <w:trHeight w:val="230"/>
        </w:trPr>
        <w:tc>
          <w:tcPr>
            <w:tcW w:w="4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28"/>
              <w:spacing w:after="0" w:line="230"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21"/>
                <w:szCs w:val="21"/>
                <w:b w:val="1"/>
                <w:bCs w:val="1"/>
                <w:color w:val="auto"/>
                <w:vertAlign w:val="superscript"/>
              </w:rPr>
              <w:t>(1)</w:t>
            </w:r>
          </w:p>
        </w:tc>
      </w:tr>
      <w:tr>
        <w:trPr>
          <w:trHeight w:val="25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Marco Dolci</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570,190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513,171</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Roy Khoury</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391,297</w:t>
            </w:r>
          </w:p>
        </w:tc>
        <w:tc>
          <w:tcPr>
            <w:tcW w:w="2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339,979</w:t>
            </w: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5128895</wp:posOffset>
            </wp:positionH>
            <wp:positionV relativeFrom="paragraph">
              <wp:posOffset>-334010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-334010</wp:posOffset>
            </wp:positionV>
            <wp:extent cx="34290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salary amounts, we used an exchange rate of $1.28294 per British Pound, exchange rate of</w:t>
      </w:r>
    </w:p>
    <w:p>
      <w:pPr>
        <w:spacing w:after="0" w:line="23" w:lineRule="exact"/>
        <w:rPr>
          <w:rFonts w:ascii="Arial" w:cs="Arial" w:eastAsia="Arial" w:hAnsi="Arial"/>
          <w:sz w:val="18"/>
          <w:szCs w:val="18"/>
          <w:color w:val="auto"/>
        </w:rPr>
      </w:pPr>
    </w:p>
    <w:p>
      <w:pPr>
        <w:ind w:left="1620" w:right="479"/>
        <w:spacing w:after="0" w:line="255" w:lineRule="auto"/>
        <w:rPr>
          <w:rFonts w:ascii="Arial" w:cs="Arial" w:eastAsia="Arial" w:hAnsi="Arial"/>
          <w:sz w:val="18"/>
          <w:szCs w:val="18"/>
          <w:color w:val="auto"/>
        </w:rPr>
      </w:pPr>
      <w:r>
        <w:rPr>
          <w:rFonts w:ascii="Arial" w:cs="Arial" w:eastAsia="Arial" w:hAnsi="Arial"/>
          <w:sz w:val="18"/>
          <w:szCs w:val="18"/>
          <w:color w:val="auto"/>
        </w:rPr>
        <w:t>$1.14038 per Euro, each of which reflects the applicable period average published rate from our BOPC Accounting System between January 1, 2020 and December 31, 2020. The BOPC Accounting System uses Bloomberg as a source to obtain exchange rates.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Short-Term Incentives: 2020 Short-Term Incentive Plan (the “2020 STIP”)</w:t>
      </w:r>
    </w:p>
    <w:p>
      <w:pPr>
        <w:spacing w:after="0" w:line="144" w:lineRule="exact"/>
        <w:rPr>
          <w:sz w:val="20"/>
          <w:szCs w:val="20"/>
          <w:color w:val="auto"/>
        </w:rPr>
      </w:pPr>
    </w:p>
    <w:p>
      <w:pPr>
        <w:ind w:left="1260" w:right="439"/>
        <w:spacing w:after="0"/>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formulaic incentives to achieve or exceed budgeted Adjusted Net Sales and Adjusted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drive non-financial initiatives supporting our success. Adjusted Net Sales were our net sales at budgeted currency exchange rates, excluding net sales from acquisitions. Adjusted Net Income was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Features</w:t>
      </w:r>
      <w:r>
        <w:rPr>
          <w:rFonts w:ascii="Arial" w:cs="Arial" w:eastAsia="Arial" w:hAnsi="Arial"/>
          <w:sz w:val="18"/>
          <w:szCs w:val="18"/>
          <w:b w:val="1"/>
          <w:bCs w:val="1"/>
          <w:color w:val="auto"/>
        </w:rPr>
        <w:t>:</w:t>
      </w:r>
    </w:p>
    <w:p>
      <w:pPr>
        <w:spacing w:after="0" w:line="121"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Annual cash-based bonus plan expressed as a percentage of the NEO’s weighted average base salary</w:t>
      </w:r>
    </w:p>
    <w:p>
      <w:pPr>
        <w:spacing w:after="0" w:line="126" w:lineRule="exact"/>
        <w:rPr>
          <w:rFonts w:ascii="Arial" w:cs="Arial" w:eastAsia="Arial" w:hAnsi="Arial"/>
          <w:sz w:val="16"/>
          <w:szCs w:val="16"/>
          <w:color w:val="auto"/>
        </w:rPr>
      </w:pPr>
    </w:p>
    <w:p>
      <w:pPr>
        <w:ind w:left="1800" w:right="8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Incentive payouts range from threshold to maximum levels, depending on level of performance measured against Compensation Committee determined metrics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Bonus payment based on the achievement of two financial objectives — budgeted Adjusted Net Sales and Adjusted Net Income — and non-financial objectives relating to: design, clinical, regulatory and commercialization projects; and, with the exception of Mr. McDonald, leadership.</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Our STIP provides incentives that compensate our executive officers for achieving objectives intended to enhance shareholder value. It also promotes retention of our NEOs.</w:t>
      </w:r>
    </w:p>
    <w:p>
      <w:pPr>
        <w:spacing w:after="0" w:line="90"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table below shows the minimum, Target and maximum achievement of the short-term incentive payment under the 2020 STIP:</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2020 STIP</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2020 STIP</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2020 STIP</w:t>
            </w: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Minimum</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r>
      <w:tr>
        <w:trPr>
          <w:trHeight w:val="158"/>
        </w:trPr>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(Percentage of</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(Percentage of</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(Percentage of</w:t>
            </w:r>
          </w:p>
        </w:tc>
      </w:tr>
      <w:tr>
        <w:trPr>
          <w:trHeight w:val="216"/>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Base Salary)</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4"/>
              </w:rPr>
              <w:t>Base Salary)</w:t>
            </w:r>
            <w:r>
              <w:rPr>
                <w:rFonts w:ascii="Arial" w:cs="Arial" w:eastAsia="Arial" w:hAnsi="Arial"/>
                <w:sz w:val="21"/>
                <w:szCs w:val="21"/>
                <w:b w:val="1"/>
                <w:bCs w:val="1"/>
                <w:color w:val="auto"/>
                <w:w w:val="84"/>
                <w:vertAlign w:val="superscript"/>
              </w:rPr>
              <w:t>(1)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4"/>
              </w:rPr>
              <w:t>Base Salary)</w:t>
            </w:r>
            <w:r>
              <w:rPr>
                <w:rFonts w:ascii="Arial" w:cs="Arial" w:eastAsia="Arial" w:hAnsi="Arial"/>
                <w:sz w:val="21"/>
                <w:szCs w:val="21"/>
                <w:b w:val="1"/>
                <w:bCs w:val="1"/>
                <w:color w:val="auto"/>
                <w:w w:val="84"/>
                <w:vertAlign w:val="superscript"/>
              </w:rPr>
              <w:t>(2)</w:t>
            </w: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200%</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Thad Huston</w:t>
            </w:r>
          </w:p>
        </w:tc>
        <w:tc>
          <w:tcPr>
            <w:tcW w:w="88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144%</w:t>
            </w:r>
          </w:p>
        </w:tc>
      </w:tr>
      <w:tr>
        <w:trPr>
          <w:trHeight w:val="229"/>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Shvartsburg</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Keyna Skeffington</w:t>
            </w:r>
          </w:p>
        </w:tc>
        <w:tc>
          <w:tcPr>
            <w:tcW w:w="88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112%</w:t>
            </w:r>
          </w:p>
        </w:tc>
      </w:tr>
      <w:tr>
        <w:trPr>
          <w:trHeight w:val="23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Dolci</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96%</w:t>
            </w:r>
          </w:p>
        </w:tc>
      </w:tr>
      <w:tr>
        <w:trPr>
          <w:trHeight w:val="256"/>
        </w:trPr>
        <w:tc>
          <w:tcPr>
            <w:tcW w:w="5060" w:type="dxa"/>
            <w:vAlign w:val="bottom"/>
            <w:gridSpan w:val="2"/>
          </w:tcPr>
          <w:p>
            <w:pPr>
              <w:spacing w:after="0"/>
              <w:rPr>
                <w:sz w:val="20"/>
                <w:szCs w:val="20"/>
                <w:color w:val="auto"/>
              </w:rPr>
            </w:pPr>
            <w:r>
              <w:rPr>
                <w:rFonts w:ascii="Arial" w:cs="Arial" w:eastAsia="Arial" w:hAnsi="Arial"/>
                <w:sz w:val="18"/>
                <w:szCs w:val="18"/>
                <w:color w:val="auto"/>
              </w:rPr>
              <w:t>Roy Khoury</w:t>
            </w:r>
          </w:p>
        </w:tc>
        <w:tc>
          <w:tcPr>
            <w:tcW w:w="88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2"/>
                <w:szCs w:val="22"/>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-882650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-882650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-882650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3" w:lineRule="exact"/>
        <w:rPr>
          <w:sz w:val="20"/>
          <w:szCs w:val="20"/>
          <w:color w:val="auto"/>
        </w:rPr>
      </w:pPr>
    </w:p>
    <w:p>
      <w:pPr>
        <w:ind w:left="1620" w:right="559" w:hanging="360"/>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Shvartsburg had a change in target bonus percentage in 2020. His target was at 40% from January through March and then increased to 50% effective April 1, 2020.</w:t>
      </w:r>
    </w:p>
    <w:p>
      <w:pPr>
        <w:spacing w:after="0" w:line="8" w:lineRule="exact"/>
        <w:rPr>
          <w:rFonts w:ascii="Arial" w:cs="Arial" w:eastAsia="Arial" w:hAnsi="Arial"/>
          <w:sz w:val="18"/>
          <w:szCs w:val="18"/>
          <w:color w:val="auto"/>
        </w:rPr>
      </w:pPr>
    </w:p>
    <w:p>
      <w:pPr>
        <w:ind w:left="1620" w:hanging="360"/>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percents represent 160% of their target opportunity.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2020 Short-Term Incentive Plan Pay-Out</w:t>
      </w:r>
    </w:p>
    <w:p>
      <w:pPr>
        <w:spacing w:after="0" w:line="144"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Bonuses are based on performance over the calendar year, which is also our financial year, and are generally paid in April of the following year after completion of the audit of our annual financial statements. Payouts under the 2020 STIP were based on the achievement of performance objectives consisting of financial objectives and non-financial objectives (25% attributable to Key Performance Indicators and the remainder to Individual performance).</w:t>
      </w:r>
    </w:p>
    <w:p>
      <w:pPr>
        <w:spacing w:after="0" w:line="120"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Payouts under the 2020 STIP were based, in part, on two financial objectives: Adjusted Net Sales and Adjusted Net Income.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Objectives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Achievement</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Achievement %</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Payout %</w:t>
            </w:r>
          </w:p>
        </w:tc>
      </w:tr>
      <w:tr>
        <w:trPr>
          <w:trHeight w:val="26"/>
        </w:trPr>
        <w:tc>
          <w:tcPr>
            <w:tcW w:w="4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3"/>
        </w:trPr>
        <w:tc>
          <w:tcPr>
            <w:tcW w:w="482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Group Adjusted Net Sales</w:t>
            </w:r>
            <w:r>
              <w:rPr>
                <w:rFonts w:ascii="Arial" w:cs="Arial" w:eastAsia="Arial" w:hAnsi="Arial"/>
                <w:sz w:val="26"/>
                <w:szCs w:val="26"/>
                <w:color w:val="auto"/>
                <w:vertAlign w:val="superscript"/>
              </w:rPr>
              <w:t>(1)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1,128</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937.7</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355"/>
        </w:trPr>
        <w:tc>
          <w:tcPr>
            <w:tcW w:w="4820" w:type="dxa"/>
            <w:vAlign w:val="bottom"/>
            <w:gridSpan w:val="2"/>
          </w:tcPr>
          <w:p>
            <w:pPr>
              <w:spacing w:after="0"/>
              <w:rPr>
                <w:sz w:val="20"/>
                <w:szCs w:val="20"/>
                <w:color w:val="auto"/>
              </w:rPr>
            </w:pPr>
            <w:r>
              <w:rPr>
                <w:rFonts w:ascii="Arial" w:cs="Arial" w:eastAsia="Arial" w:hAnsi="Arial"/>
                <w:sz w:val="18"/>
                <w:szCs w:val="18"/>
                <w:color w:val="auto"/>
              </w:rPr>
              <w:t>Group Adjusted Net Income</w:t>
            </w:r>
            <w:r>
              <w:rPr>
                <w:rFonts w:ascii="Arial" w:cs="Arial" w:eastAsia="Arial" w:hAnsi="Arial"/>
                <w:sz w:val="26"/>
                <w:szCs w:val="26"/>
                <w:color w:val="auto"/>
                <w:vertAlign w:val="superscript"/>
              </w:rPr>
              <w:t>(2)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38.9</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-405130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-405130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-405130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-405130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0"/>
          <w:szCs w:val="20"/>
          <w:color w:val="auto"/>
        </w:rPr>
      </w:pPr>
    </w:p>
    <w:p>
      <w:pPr>
        <w:ind w:left="1620" w:right="619" w:hanging="360"/>
        <w:spacing w:after="0" w:line="306" w:lineRule="auto"/>
        <w:tabs>
          <w:tab w:leader="none" w:pos="1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Adjusted Net Sales is our net sales for 2020 at budgeted currency exchange rates, excluding net sales from any acquisitions in 2020. Results discussed in the press release on 24 February 2021.</w:t>
      </w:r>
    </w:p>
    <w:p>
      <w:pPr>
        <w:spacing w:after="0" w:line="1" w:lineRule="exact"/>
        <w:rPr>
          <w:rFonts w:ascii="Arial" w:cs="Arial" w:eastAsia="Arial" w:hAnsi="Arial"/>
          <w:sz w:val="17"/>
          <w:szCs w:val="17"/>
          <w:color w:val="auto"/>
        </w:rPr>
      </w:pPr>
    </w:p>
    <w:p>
      <w:pPr>
        <w:ind w:left="1620" w:right="839" w:hanging="360"/>
        <w:spacing w:after="0" w:line="25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Net Income is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 Results discussed in the press release on 24 February 2021.</w:t>
      </w:r>
    </w:p>
    <w:p>
      <w:pPr>
        <w:spacing w:after="0" w:line="120"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non-financial objectives comprise product development projects that will drive revenue, plus a leadership objective focused on developing our future leaders. The table below summarizes the non-financial objectives as a percent of each NEO’s target bonus opportunity.</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ind w:left="440"/>
              <w:spacing w:after="0"/>
              <w:rPr>
                <w:sz w:val="20"/>
                <w:szCs w:val="20"/>
                <w:color w:val="auto"/>
              </w:rPr>
            </w:pPr>
            <w:r>
              <w:rPr>
                <w:rFonts w:ascii="Arial" w:cs="Arial" w:eastAsia="Arial" w:hAnsi="Arial"/>
                <w:sz w:val="14"/>
                <w:szCs w:val="14"/>
                <w:b w:val="1"/>
                <w:bCs w:val="1"/>
                <w:color w:val="auto"/>
              </w:rPr>
              <w:t>Non-Financial Objectives</w:t>
            </w:r>
          </w:p>
        </w:tc>
        <w:tc>
          <w:tcPr>
            <w:tcW w:w="66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3"/>
        </w:trPr>
        <w:tc>
          <w:tcPr>
            <w:tcW w:w="4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Clinical and</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6"/>
        </w:trPr>
        <w:tc>
          <w:tcPr>
            <w:tcW w:w="45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Design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Regulatory</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Commercialization</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5"/>
              </w:rPr>
              <w:t>Leadership</w:t>
            </w:r>
          </w:p>
        </w:tc>
      </w:tr>
      <w:tr>
        <w:trPr>
          <w:trHeight w:val="25"/>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6"/>
        </w:trPr>
        <w:tc>
          <w:tcPr>
            <w:tcW w:w="4540" w:type="dxa"/>
            <w:vAlign w:val="bottom"/>
          </w:tcPr>
          <w:p>
            <w:pPr>
              <w:spacing w:after="0"/>
              <w:rPr>
                <w:sz w:val="20"/>
                <w:szCs w:val="20"/>
                <w:color w:val="auto"/>
              </w:rPr>
            </w:pPr>
            <w:r>
              <w:rPr>
                <w:rFonts w:ascii="Arial" w:cs="Arial" w:eastAsia="Arial" w:hAnsi="Arial"/>
                <w:sz w:val="18"/>
                <w:szCs w:val="18"/>
                <w:color w:val="auto"/>
              </w:rPr>
              <w:t>Thad Huston</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Alex Shvartsburg</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Keyna Skeffington</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Marco Dolci</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Roy Khoury</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-1010920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-1010920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-1010920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-1010920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financial objectives of the STIP were not satisfied, consequently, the payout related to the financial objectives was zero for all our NEOs, other than Mr. Shvartsburg (he became Interim CFO in October 2020 and was on the Corporate bonus plan from January 2020 through October 2020). Three of the six non-financial objectives were achieved, however, given the Company’s overall financial results, the Compensation Committee reduced the payout under the STIP to 15% at Target. The Compensation Committee determined that any executive officer who served in such role for the duration of 2020 would only be eligible to receive a bonus for individual performance. Mr. Shvartsburg became an executive officer in October 2020, and, prior to that time, participated in a Corporate Bonus Plan for non-executive employees. Mr. Shvartsburg’s short-term incentive payout was calculated by using a weighted average of ten months on the Corporate Bonus plan (which had a 33% payout, details of plan below) and two months on the ELT plan (15% payout), resulting in a payout of 30% of target.</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Corporate Bonus plan that Mr. Shvartsbug was paid for the first ten months is calculated as below: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Bonus Payout = Target Bonus Opportunity</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X Business Performance Factor</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X Individual Performance</w:t>
      </w:r>
      <w:r>
        <w:rPr>
          <w:rFonts w:ascii="Arial" w:cs="Arial" w:eastAsia="Arial" w:hAnsi="Arial"/>
          <w:sz w:val="24"/>
          <w:szCs w:val="24"/>
          <w:color w:val="auto"/>
          <w:vertAlign w:val="superscript"/>
        </w:rPr>
        <w:t>(3)</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right="860"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Target Bonus Opportunity: The weighted average of base salary multiplied by target STIP percentage during the performance year.</w:t>
      </w:r>
    </w:p>
    <w:p>
      <w:pPr>
        <w:spacing w:after="0" w:line="21" w:lineRule="exact"/>
        <w:rPr>
          <w:rFonts w:ascii="Arial" w:cs="Arial" w:eastAsia="Arial" w:hAnsi="Arial"/>
          <w:sz w:val="18"/>
          <w:szCs w:val="18"/>
          <w:color w:val="auto"/>
        </w:rPr>
      </w:pPr>
    </w:p>
    <w:p>
      <w:pPr>
        <w:ind w:left="1620" w:right="1060" w:hanging="360"/>
        <w:spacing w:after="0" w:line="263"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Performance Factor (“BPF”): Factor based on LivaNova’s Financial Performance used to determine the available bonus pool. For 2020, the BPF was uniquely tied to Adjusted Net Income results of the Company.</w:t>
      </w:r>
    </w:p>
    <w:p>
      <w:pPr>
        <w:spacing w:after="0" w:line="35" w:lineRule="exact"/>
        <w:rPr>
          <w:rFonts w:ascii="Arial" w:cs="Arial" w:eastAsia="Arial" w:hAnsi="Arial"/>
          <w:sz w:val="18"/>
          <w:szCs w:val="18"/>
          <w:color w:val="auto"/>
        </w:rPr>
      </w:pPr>
    </w:p>
    <w:p>
      <w:pPr>
        <w:ind w:left="1620" w:right="1080" w:hanging="360"/>
        <w:spacing w:after="0" w:line="286"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Individual Performance Factor (“IPF”): Factor tied to individual performance of the employee and expressed as the Overall Achievement Score, which is 70% Achievements based and 30% Values based. The IPF is decided by every manager calibrated within each department or function.</w:t>
      </w:r>
    </w:p>
    <w:p>
      <w:pPr>
        <w:spacing w:after="0" w:line="98" w:lineRule="exact"/>
        <w:rPr>
          <w:sz w:val="20"/>
          <w:szCs w:val="20"/>
          <w:color w:val="auto"/>
        </w:rPr>
      </w:pPr>
    </w:p>
    <w:p>
      <w:pPr>
        <w:ind w:left="1260" w:right="1120" w:firstLine="360"/>
        <w:spacing w:after="0" w:line="277" w:lineRule="auto"/>
        <w:rPr>
          <w:sz w:val="20"/>
          <w:szCs w:val="20"/>
          <w:color w:val="auto"/>
        </w:rPr>
      </w:pPr>
      <w:r>
        <w:rPr>
          <w:rFonts w:ascii="Arial" w:cs="Arial" w:eastAsia="Arial" w:hAnsi="Arial"/>
          <w:sz w:val="18"/>
          <w:szCs w:val="18"/>
          <w:color w:val="auto"/>
        </w:rPr>
        <w:t>The following table shows the percentage of achievement of the elements of the 2020 STIP and the amount paid to the NEOs under the STIP:</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Financial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Performance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STIP</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STIP</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Target STIP</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Financial</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Financial</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(excluding</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Financial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Business</w:t>
            </w: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Payout</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60" w:type="dxa"/>
            <w:vAlign w:val="bottom"/>
          </w:tcPr>
          <w:p>
            <w:pPr>
              <w:spacing w:after="0"/>
              <w:rPr>
                <w:sz w:val="13"/>
                <w:szCs w:val="13"/>
                <w:color w:val="auto"/>
              </w:rPr>
            </w:pPr>
          </w:p>
        </w:tc>
        <w:tc>
          <w:tcPr>
            <w:tcW w:w="8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Potential</w:t>
            </w:r>
          </w:p>
        </w:tc>
        <w:tc>
          <w:tcPr>
            <w:tcW w:w="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Performance</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Performance</w:t>
            </w: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Leadership)</w:t>
            </w: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Performance</w:t>
            </w: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Leadership</w:t>
            </w:r>
          </w:p>
        </w:tc>
        <w:tc>
          <w:tcPr>
            <w:tcW w:w="8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Leadership</w:t>
            </w: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Performance</w:t>
            </w:r>
          </w:p>
        </w:tc>
        <w:tc>
          <w:tcPr>
            <w:tcW w:w="5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Award ($)</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Weight %</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Payout %</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Payout %</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Weight %</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Payout %</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40" w:type="dxa"/>
            <w:vAlign w:val="bottom"/>
          </w:tcPr>
          <w:p>
            <w:pPr>
              <w:spacing w:after="0"/>
              <w:rPr>
                <w:sz w:val="19"/>
                <w:szCs w:val="19"/>
                <w:color w:val="auto"/>
              </w:rPr>
            </w:pPr>
          </w:p>
        </w:tc>
        <w:tc>
          <w:tcPr>
            <w:tcW w:w="1040" w:type="dxa"/>
            <w:vAlign w:val="bottom"/>
            <w:gridSpan w:val="3"/>
          </w:tcPr>
          <w:p>
            <w:pPr>
              <w:jc w:val="right"/>
              <w:ind w:right="8"/>
              <w:spacing w:after="0" w:line="230" w:lineRule="exact"/>
              <w:rPr>
                <w:sz w:val="20"/>
                <w:szCs w:val="20"/>
                <w:color w:val="auto"/>
              </w:rPr>
            </w:pPr>
            <w:r>
              <w:rPr>
                <w:rFonts w:ascii="Arial" w:cs="Arial" w:eastAsia="Arial" w:hAnsi="Arial"/>
                <w:sz w:val="14"/>
                <w:szCs w:val="14"/>
                <w:b w:val="1"/>
                <w:bCs w:val="1"/>
                <w:color w:val="auto"/>
              </w:rPr>
              <w:t>Target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1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Damien McDonald</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1,217,159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75%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4"/>
                <w:szCs w:val="14"/>
                <w:color w:val="auto"/>
              </w:rPr>
              <w:t>Thad Huston</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481,660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tcPr>
          <w:p>
            <w:pPr>
              <w:spacing w:after="0"/>
              <w:rPr>
                <w:sz w:val="19"/>
                <w:szCs w:val="19"/>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71,723</w:t>
            </w:r>
          </w:p>
        </w:tc>
        <w:tc>
          <w:tcPr>
            <w:tcW w:w="0" w:type="dxa"/>
            <w:vAlign w:val="bottom"/>
          </w:tcPr>
          <w:p>
            <w:pPr>
              <w:spacing w:after="0"/>
              <w:rPr>
                <w:sz w:val="1"/>
                <w:szCs w:val="1"/>
                <w:color w:val="auto"/>
              </w:rPr>
            </w:pPr>
          </w:p>
        </w:tc>
      </w:tr>
      <w:tr>
        <w:trPr>
          <w:trHeight w:val="24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Alex Shvartsburg</w:t>
            </w:r>
            <w:r>
              <w:rPr>
                <w:rFonts w:ascii="Arial" w:cs="Arial" w:eastAsia="Arial" w:hAnsi="Arial"/>
                <w:sz w:val="21"/>
                <w:szCs w:val="21"/>
                <w:color w:val="auto"/>
                <w:vertAlign w:val="superscript"/>
              </w:rPr>
              <w:t>(3)</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128,452</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33%</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42,390</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14"/>
                <w:szCs w:val="14"/>
                <w:color w:val="auto"/>
              </w:rPr>
              <w:t>Alex Shvartsburg</w:t>
            </w:r>
            <w:r>
              <w:rPr>
                <w:rFonts w:ascii="Arial" w:cs="Arial" w:eastAsia="Arial" w:hAnsi="Arial"/>
                <w:sz w:val="21"/>
                <w:szCs w:val="21"/>
                <w:color w:val="auto"/>
                <w:vertAlign w:val="superscript"/>
              </w:rPr>
              <w:t>(4)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25,690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tcPr>
          <w:p>
            <w:pPr>
              <w:spacing w:after="0"/>
              <w:rPr>
                <w:sz w:val="21"/>
                <w:szCs w:val="21"/>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2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3,853</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Keyna Skeffington</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319,105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47,865</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4"/>
                <w:szCs w:val="14"/>
                <w:color w:val="auto"/>
              </w:rPr>
              <w:t>Marco Dolci</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342,114</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tcPr>
          <w:p>
            <w:pPr>
              <w:spacing w:after="0"/>
              <w:rPr>
                <w:sz w:val="19"/>
                <w:szCs w:val="19"/>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51,317</w:t>
            </w:r>
          </w:p>
        </w:tc>
        <w:tc>
          <w:tcPr>
            <w:tcW w:w="0" w:type="dxa"/>
            <w:vAlign w:val="bottom"/>
          </w:tcPr>
          <w:p>
            <w:pPr>
              <w:spacing w:after="0"/>
              <w:rPr>
                <w:sz w:val="1"/>
                <w:szCs w:val="1"/>
                <w:color w:val="auto"/>
              </w:rPr>
            </w:pPr>
          </w:p>
        </w:tc>
      </w:tr>
      <w:tr>
        <w:trPr>
          <w:trHeight w:val="24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Roy Khoury</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254,343</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38,151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-1053465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-1053465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-1053465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-1053465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-1053465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-1053465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-1053465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-1053465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-1053465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-1053465</wp:posOffset>
            </wp:positionV>
            <wp:extent cx="9944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right="920" w:hanging="360"/>
        <w:spacing w:after="0" w:line="26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payout amounts, we used an exchange rate of $1.282939471 per British Pound and $1.140380887 per Euro, each of which reflects the applicable period average published rate from our BOPC Accounting System between January 1, 2020 and December 31, 2020.</w:t>
      </w:r>
    </w:p>
    <w:p>
      <w:pPr>
        <w:spacing w:after="0" w:line="21" w:lineRule="exact"/>
        <w:rPr>
          <w:rFonts w:ascii="Arial" w:cs="Arial" w:eastAsia="Arial" w:hAnsi="Arial"/>
          <w:sz w:val="18"/>
          <w:szCs w:val="18"/>
          <w:color w:val="auto"/>
        </w:rPr>
      </w:pPr>
    </w:p>
    <w:p>
      <w:pPr>
        <w:ind w:left="1620" w:right="1040" w:hanging="360"/>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described above, at the recommendation of Compensation Committee, the CEO did not receive a payout under the STIP due to the Company’s financial performance in 2020.</w:t>
      </w:r>
    </w:p>
    <w:p>
      <w:pPr>
        <w:spacing w:after="0" w:line="8" w:lineRule="exact"/>
        <w:rPr>
          <w:rFonts w:ascii="Arial" w:cs="Arial" w:eastAsia="Arial" w:hAnsi="Arial"/>
          <w:sz w:val="18"/>
          <w:szCs w:val="18"/>
          <w:color w:val="auto"/>
        </w:rPr>
      </w:pPr>
    </w:p>
    <w:p>
      <w:pPr>
        <w:ind w:left="1620" w:hanging="36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represents Mr. Shvartsburg’s payout under the Corporate Bonus Plan.</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represents Mr. Shvartsburg’s STIP payout details under the executive plan.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Long-Term Incentives: 2020 Long-Term Incentive Plan (the “2020 LTIP”)</w:t>
      </w:r>
    </w:p>
    <w:p>
      <w:pPr>
        <w:spacing w:after="0" w:line="158" w:lineRule="exact"/>
        <w:rPr>
          <w:sz w:val="20"/>
          <w:szCs w:val="20"/>
          <w:color w:val="auto"/>
        </w:rPr>
      </w:pPr>
    </w:p>
    <w:p>
      <w:pPr>
        <w:ind w:left="1260" w:right="800"/>
        <w:spacing w:after="0" w:line="245"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Promote our long- term success and enhance our value by providing employees with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Features:</w:t>
      </w:r>
    </w:p>
    <w:p>
      <w:pPr>
        <w:spacing w:after="0" w:line="117"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Service-Based Awards</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2160" w:right="800" w:hanging="180"/>
        <w:spacing w:after="0" w:line="27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Restricted Stock Units vest in substantially equal amounts on each of the first four anniversaries of the grant date</w:t>
      </w:r>
    </w:p>
    <w:p>
      <w:pPr>
        <w:spacing w:after="0" w:line="62" w:lineRule="exact"/>
        <w:rPr>
          <w:rFonts w:ascii="Arial" w:cs="Arial" w:eastAsia="Arial" w:hAnsi="Arial"/>
          <w:sz w:val="18"/>
          <w:szCs w:val="18"/>
          <w:color w:val="auto"/>
        </w:rPr>
      </w:pPr>
    </w:p>
    <w:p>
      <w:pPr>
        <w:jc w:val="both"/>
        <w:ind w:left="2160" w:right="1540" w:hanging="180"/>
        <w:spacing w:after="0" w:line="308" w:lineRule="auto"/>
        <w:tabs>
          <w:tab w:leader="none" w:pos="21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Stock Appreciation Rights vest in substantially equal amounts on each of the first four anniversaries of the grant date. SARs hold a 10 year expiration period from grant date</w:t>
      </w:r>
    </w:p>
    <w:p>
      <w:pPr>
        <w:spacing w:after="0" w:line="34" w:lineRule="exact"/>
        <w:rPr>
          <w:rFonts w:ascii="Arial" w:cs="Arial" w:eastAsia="Arial" w:hAnsi="Arial"/>
          <w:sz w:val="17"/>
          <w:szCs w:val="17"/>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160" w:right="920" w:hanging="180"/>
        <w:spacing w:after="0" w:line="27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Relative Total Shareholder Return Performance Stock Units are subject to a three-year relative total shareholder return market condition</w:t>
      </w: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40" w:name="page41"/>
    <w:bookmarkEnd w:id="4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659" w:hanging="180"/>
        <w:spacing w:after="0" w:line="277" w:lineRule="auto"/>
        <w:tabs>
          <w:tab w:leader="none" w:pos="2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Free Cash Flow Performance Stock Units are subject to achievement of a three-year cumulative adjusted free cash flow target</w:t>
      </w:r>
    </w:p>
    <w:p>
      <w:pPr>
        <w:spacing w:after="0" w:line="8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typically grant equity awards to executive officers under the 2020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 but when an LTIP award is granted, the award to our CEO in his capacity as an executive director of the Company, must comply with any restrictions or limits in the Company’s UK remuneration policy then in effect.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2020 LTIP Design</w:t>
      </w:r>
    </w:p>
    <w:p>
      <w:pPr>
        <w:spacing w:after="0" w:line="158" w:lineRule="exact"/>
        <w:rPr>
          <w:sz w:val="20"/>
          <w:szCs w:val="20"/>
          <w:color w:val="auto"/>
        </w:rPr>
      </w:pPr>
    </w:p>
    <w:p>
      <w:pPr>
        <w:jc w:val="both"/>
        <w:ind w:left="1260" w:right="539" w:firstLine="360"/>
        <w:spacing w:after="0" w:line="259" w:lineRule="auto"/>
        <w:rPr>
          <w:sz w:val="20"/>
          <w:szCs w:val="20"/>
          <w:color w:val="auto"/>
        </w:rPr>
      </w:pPr>
      <w:r>
        <w:rPr>
          <w:rFonts w:ascii="Arial" w:cs="Arial" w:eastAsia="Arial" w:hAnsi="Arial"/>
          <w:sz w:val="17"/>
          <w:szCs w:val="17"/>
          <w:color w:val="auto"/>
        </w:rPr>
        <w:t>In March 2020, the Compensation Committee approved our 2020 LTIP in which all NEOs participate. Pursuant to the 2020 LTIP, the Committee approved an equity award value for each of four award vehicles for each participant with an effective date of March 30, 2020. Mr. Shvartsburg received an equity award on June 15, 2020 as a special award and an equity award on December 15, 2020 in recognition of his new role as interim Chief Financial Officer. The equity awards to the NEOs in 2020 are as follows: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Total Award</w:t>
            </w:r>
          </w:p>
        </w:tc>
      </w:tr>
      <w:tr>
        <w:trPr>
          <w:trHeight w:val="186"/>
        </w:trPr>
        <w:tc>
          <w:tcPr>
            <w:tcW w:w="326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 ($)</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SARs ($)</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rTSR PSUs ($)</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FCF PSUs ($)</w:t>
            </w: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rPr>
              <w:t>Value ($)</w:t>
            </w:r>
          </w:p>
        </w:tc>
      </w:tr>
      <w:tr>
        <w:trPr>
          <w:trHeight w:val="26"/>
        </w:trPr>
        <w:tc>
          <w:tcPr>
            <w:tcW w:w="3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1,500,000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1,250,000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1,500,000</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5,750,000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Thad Huston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2,000,000</w:t>
            </w:r>
          </w:p>
        </w:tc>
      </w:tr>
      <w:tr>
        <w:trPr>
          <w:trHeight w:val="25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Alex Shvartsburg</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Keyna Skeffington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1,000,000</w:t>
            </w:r>
          </w:p>
        </w:tc>
      </w:tr>
      <w:tr>
        <w:trPr>
          <w:trHeight w:val="27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Marco Dolci</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Roy Khoury</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-1002665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-1002665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-1002665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-1002665</wp:posOffset>
            </wp:positionV>
            <wp:extent cx="26746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579" w:hanging="360"/>
        <w:spacing w:after="0" w:line="263"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Shvartsburg received an equity award on March 30, 2020 in the amount of $123,000 in RSUs and $123,000 in SARs; an equity award on June 15, 2020 in the amount of $275,000 in RSUs, and an equity award on December 15, 2020 in the amount of $150,000 in RSUs.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Service-Based Elements: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Stock Units (“RSUs”)</w:t>
      </w:r>
    </w:p>
    <w:p>
      <w:pPr>
        <w:spacing w:after="0" w:line="15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March 2020, each NEO (other than Mr. Shvartsburg) received an award of service-based RSUs vesting in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Appreciation Rights (“SARs”)</w:t>
      </w:r>
    </w:p>
    <w:p>
      <w:pPr>
        <w:spacing w:after="0" w:line="144" w:lineRule="exact"/>
        <w:rPr>
          <w:sz w:val="20"/>
          <w:szCs w:val="20"/>
          <w:color w:val="auto"/>
        </w:rPr>
      </w:pPr>
    </w:p>
    <w:p>
      <w:pPr>
        <w:ind w:left="1260" w:right="839" w:firstLine="360"/>
        <w:spacing w:after="0"/>
        <w:rPr>
          <w:sz w:val="20"/>
          <w:szCs w:val="20"/>
          <w:color w:val="auto"/>
        </w:rPr>
      </w:pPr>
      <w:r>
        <w:rPr>
          <w:rFonts w:ascii="Arial" w:cs="Arial" w:eastAsia="Arial" w:hAnsi="Arial"/>
          <w:sz w:val="18"/>
          <w:szCs w:val="18"/>
          <w:color w:val="auto"/>
        </w:rPr>
        <w:t>In March 2020, each NEO (other than Mr. Shvartsburg) received an award of SARs vesting in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the Nasdaq as of the grant date and rounding down to the nearest whole unit. The first vesting occurred on March 30,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Performance-Based Elements: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Relative Total Shareholder Return Performance Stock Units (“rTSR PSUs”)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Each NEO (other than Mr. Shvartsburg) received an award of PSUs subject to a three-year rTSR market condition. At the end of calendar year 2022, our TSR for the three-year period 2020 through 2022</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will be compared to the TSR for a group of 30 companies (the “2020 rTSR Comparator Group”) selected by the Committee with the advise of its compensation consultant, Pearl Meyer, and the number of shares of our stock actually delivered to the participants will be determined by the following chart, with linear interpolation applied between specified levels.</w:t>
      </w:r>
    </w:p>
    <w:p>
      <w:pPr>
        <w:spacing w:after="0" w:line="139" w:lineRule="exact"/>
        <w:rPr>
          <w:sz w:val="20"/>
          <w:szCs w:val="20"/>
          <w:color w:val="auto"/>
        </w:rPr>
      </w:pPr>
    </w:p>
    <w:tbl>
      <w:tblPr>
        <w:tblLayout w:type="fixed"/>
        <w:tblInd w:w="3420" w:type="dxa"/>
        <w:tblCellMar>
          <w:top w:w="0" w:type="dxa"/>
          <w:left w:w="0" w:type="dxa"/>
          <w:bottom w:w="0" w:type="dxa"/>
          <w:right w:w="0" w:type="dxa"/>
        </w:tblCellMar>
      </w:tblPr>
      <w:tr>
        <w:trPr>
          <w:trHeight w:val="162"/>
        </w:trPr>
        <w:tc>
          <w:tcPr>
            <w:tcW w:w="1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TSR Performance</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w w:val="88"/>
              </w:rPr>
              <w:t>Percent of Target Number of PSUs</w:t>
            </w:r>
          </w:p>
        </w:tc>
      </w:tr>
      <w:tr>
        <w:trPr>
          <w:trHeight w:val="186"/>
        </w:trPr>
        <w:tc>
          <w:tcPr>
            <w:tcW w:w="17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Percentile Rank</w:t>
            </w:r>
          </w:p>
        </w:tc>
        <w:tc>
          <w:tcPr>
            <w:tcW w:w="2120" w:type="dxa"/>
            <w:vAlign w:val="bottom"/>
          </w:tcPr>
          <w:p>
            <w:pPr>
              <w:jc w:val="right"/>
              <w:ind w:right="755"/>
              <w:spacing w:after="0"/>
              <w:rPr>
                <w:sz w:val="20"/>
                <w:szCs w:val="20"/>
                <w:color w:val="auto"/>
              </w:rPr>
            </w:pPr>
            <w:r>
              <w:rPr>
                <w:rFonts w:ascii="Arial" w:cs="Arial" w:eastAsia="Arial" w:hAnsi="Arial"/>
                <w:sz w:val="14"/>
                <w:szCs w:val="14"/>
                <w:b w:val="1"/>
                <w:bCs w:val="1"/>
                <w:color w:val="auto"/>
              </w:rPr>
              <w:t>Earned</w:t>
            </w:r>
          </w:p>
        </w:tc>
      </w:tr>
      <w:tr>
        <w:trPr>
          <w:trHeight w:val="26"/>
        </w:trPr>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3"/>
        </w:trPr>
        <w:tc>
          <w:tcPr>
            <w:tcW w:w="1120" w:type="dxa"/>
            <w:vAlign w:val="bottom"/>
            <w:shd w:val="clear" w:color="auto" w:fill="CCEEFF"/>
          </w:tcPr>
          <w:p>
            <w:pPr>
              <w:jc w:val="center"/>
              <w:spacing w:after="0" w:line="263" w:lineRule="exact"/>
              <w:rPr>
                <w:sz w:val="20"/>
                <w:szCs w:val="20"/>
                <w:color w:val="auto"/>
              </w:rPr>
            </w:pPr>
            <w:r>
              <w:rPr>
                <w:rFonts w:ascii="Arial" w:cs="Arial" w:eastAsia="Arial" w:hAnsi="Arial"/>
                <w:sz w:val="18"/>
                <w:szCs w:val="18"/>
                <w:color w:val="auto"/>
                <w:w w:val="90"/>
              </w:rPr>
              <w:t>≥90</w:t>
            </w:r>
            <w:r>
              <w:rPr>
                <w:rFonts w:ascii="Arial" w:cs="Arial" w:eastAsia="Arial" w:hAnsi="Arial"/>
                <w:sz w:val="26"/>
                <w:szCs w:val="26"/>
                <w:color w:val="auto"/>
                <w:w w:val="90"/>
                <w:vertAlign w:val="superscript"/>
              </w:rPr>
              <w:t>th</w:t>
            </w:r>
          </w:p>
        </w:tc>
        <w:tc>
          <w:tcPr>
            <w:tcW w:w="64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200%</w:t>
            </w:r>
          </w:p>
        </w:tc>
      </w:tr>
      <w:tr>
        <w:trPr>
          <w:trHeight w:val="270"/>
        </w:trPr>
        <w:tc>
          <w:tcPr>
            <w:tcW w:w="1760" w:type="dxa"/>
            <w:vAlign w:val="bottom"/>
            <w:gridSpan w:val="2"/>
          </w:tcPr>
          <w:p>
            <w:pPr>
              <w:jc w:val="center"/>
              <w:ind w:right="640"/>
              <w:spacing w:after="0" w:line="270" w:lineRule="exact"/>
              <w:rPr>
                <w:sz w:val="20"/>
                <w:szCs w:val="20"/>
                <w:color w:val="auto"/>
              </w:rPr>
            </w:pPr>
            <w:r>
              <w:rPr>
                <w:rFonts w:ascii="Arial" w:cs="Arial" w:eastAsia="Arial" w:hAnsi="Arial"/>
                <w:sz w:val="18"/>
                <w:szCs w:val="18"/>
                <w:color w:val="auto"/>
                <w:w w:val="81"/>
              </w:rPr>
              <w:t>80</w:t>
            </w:r>
            <w:r>
              <w:rPr>
                <w:rFonts w:ascii="Arial" w:cs="Arial" w:eastAsia="Arial" w:hAnsi="Arial"/>
                <w:sz w:val="26"/>
                <w:szCs w:val="26"/>
                <w:color w:val="auto"/>
                <w:w w:val="81"/>
                <w:vertAlign w:val="superscript"/>
              </w:rPr>
              <w:t>th</w:t>
            </w:r>
          </w:p>
        </w:tc>
        <w:tc>
          <w:tcPr>
            <w:tcW w:w="2120" w:type="dxa"/>
            <w:vAlign w:val="bottom"/>
          </w:tcPr>
          <w:p>
            <w:pPr>
              <w:jc w:val="right"/>
              <w:ind w:right="695"/>
              <w:spacing w:after="0"/>
              <w:rPr>
                <w:sz w:val="20"/>
                <w:szCs w:val="20"/>
                <w:color w:val="auto"/>
              </w:rPr>
            </w:pPr>
            <w:r>
              <w:rPr>
                <w:rFonts w:ascii="Arial" w:cs="Arial" w:eastAsia="Arial" w:hAnsi="Arial"/>
                <w:sz w:val="18"/>
                <w:szCs w:val="18"/>
                <w:color w:val="auto"/>
              </w:rPr>
              <w:t>150%</w:t>
            </w:r>
          </w:p>
        </w:tc>
      </w:tr>
      <w:tr>
        <w:trPr>
          <w:trHeight w:val="270"/>
        </w:trPr>
        <w:tc>
          <w:tcPr>
            <w:tcW w:w="1760" w:type="dxa"/>
            <w:vAlign w:val="bottom"/>
            <w:gridSpan w:val="2"/>
            <w:shd w:val="clear" w:color="auto" w:fill="CCEEFF"/>
          </w:tcPr>
          <w:p>
            <w:pPr>
              <w:jc w:val="center"/>
              <w:ind w:right="640"/>
              <w:spacing w:after="0" w:line="270" w:lineRule="exact"/>
              <w:rPr>
                <w:sz w:val="20"/>
                <w:szCs w:val="20"/>
                <w:color w:val="auto"/>
              </w:rPr>
            </w:pPr>
            <w:r>
              <w:rPr>
                <w:rFonts w:ascii="Arial" w:cs="Arial" w:eastAsia="Arial" w:hAnsi="Arial"/>
                <w:sz w:val="18"/>
                <w:szCs w:val="18"/>
                <w:color w:val="auto"/>
                <w:w w:val="81"/>
              </w:rPr>
              <w:t>50</w:t>
            </w:r>
            <w:r>
              <w:rPr>
                <w:rFonts w:ascii="Arial" w:cs="Arial" w:eastAsia="Arial" w:hAnsi="Arial"/>
                <w:sz w:val="26"/>
                <w:szCs w:val="26"/>
                <w:color w:val="auto"/>
                <w:w w:val="81"/>
                <w:vertAlign w:val="superscript"/>
              </w:rPr>
              <w:t>th</w:t>
            </w:r>
          </w:p>
        </w:tc>
        <w:tc>
          <w:tcPr>
            <w:tcW w:w="21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100%</w:t>
            </w:r>
          </w:p>
        </w:tc>
      </w:tr>
      <w:tr>
        <w:trPr>
          <w:trHeight w:val="270"/>
        </w:trPr>
        <w:tc>
          <w:tcPr>
            <w:tcW w:w="1760" w:type="dxa"/>
            <w:vAlign w:val="bottom"/>
            <w:gridSpan w:val="2"/>
          </w:tcPr>
          <w:p>
            <w:pPr>
              <w:jc w:val="center"/>
              <w:ind w:right="640"/>
              <w:spacing w:after="0" w:line="270" w:lineRule="exact"/>
              <w:rPr>
                <w:sz w:val="20"/>
                <w:szCs w:val="20"/>
                <w:color w:val="auto"/>
              </w:rPr>
            </w:pPr>
            <w:r>
              <w:rPr>
                <w:rFonts w:ascii="Arial" w:cs="Arial" w:eastAsia="Arial" w:hAnsi="Arial"/>
                <w:sz w:val="18"/>
                <w:szCs w:val="18"/>
                <w:color w:val="auto"/>
                <w:w w:val="81"/>
              </w:rPr>
              <w:t>30</w:t>
            </w:r>
            <w:r>
              <w:rPr>
                <w:rFonts w:ascii="Arial" w:cs="Arial" w:eastAsia="Arial" w:hAnsi="Arial"/>
                <w:sz w:val="26"/>
                <w:szCs w:val="26"/>
                <w:color w:val="auto"/>
                <w:w w:val="81"/>
                <w:vertAlign w:val="superscript"/>
              </w:rPr>
              <w:t>th</w:t>
            </w:r>
          </w:p>
        </w:tc>
        <w:tc>
          <w:tcPr>
            <w:tcW w:w="2120" w:type="dxa"/>
            <w:vAlign w:val="bottom"/>
          </w:tcPr>
          <w:p>
            <w:pPr>
              <w:jc w:val="right"/>
              <w:ind w:right="695"/>
              <w:spacing w:after="0"/>
              <w:rPr>
                <w:sz w:val="20"/>
                <w:szCs w:val="20"/>
                <w:color w:val="auto"/>
              </w:rPr>
            </w:pPr>
            <w:r>
              <w:rPr>
                <w:rFonts w:ascii="Arial" w:cs="Arial" w:eastAsia="Arial" w:hAnsi="Arial"/>
                <w:sz w:val="18"/>
                <w:szCs w:val="18"/>
                <w:color w:val="auto"/>
              </w:rPr>
              <w:t>40%</w:t>
            </w:r>
          </w:p>
        </w:tc>
      </w:tr>
      <w:tr>
        <w:trPr>
          <w:trHeight w:val="270"/>
        </w:trPr>
        <w:tc>
          <w:tcPr>
            <w:tcW w:w="1760" w:type="dxa"/>
            <w:vAlign w:val="bottom"/>
            <w:gridSpan w:val="2"/>
            <w:shd w:val="clear" w:color="auto" w:fill="CCEEFF"/>
          </w:tcPr>
          <w:p>
            <w:pPr>
              <w:jc w:val="center"/>
              <w:ind w:right="640"/>
              <w:spacing w:after="0" w:line="270" w:lineRule="exact"/>
              <w:rPr>
                <w:sz w:val="20"/>
                <w:szCs w:val="20"/>
                <w:color w:val="auto"/>
              </w:rPr>
            </w:pPr>
            <w:r>
              <w:rPr>
                <w:rFonts w:ascii="Arial" w:cs="Arial" w:eastAsia="Arial" w:hAnsi="Arial"/>
                <w:sz w:val="18"/>
                <w:szCs w:val="18"/>
                <w:color w:val="auto"/>
                <w:w w:val="88"/>
              </w:rPr>
              <w:t>&lt;30</w:t>
            </w:r>
            <w:r>
              <w:rPr>
                <w:rFonts w:ascii="Arial" w:cs="Arial" w:eastAsia="Arial" w:hAnsi="Arial"/>
                <w:sz w:val="26"/>
                <w:szCs w:val="26"/>
                <w:color w:val="auto"/>
                <w:w w:val="88"/>
                <w:vertAlign w:val="superscript"/>
              </w:rPr>
              <w:t>th</w:t>
            </w:r>
          </w:p>
        </w:tc>
        <w:tc>
          <w:tcPr>
            <w:tcW w:w="21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-864870</wp:posOffset>
            </wp:positionV>
            <wp:extent cx="403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companies comprise the 2020 rTSR Comparator Group:</w:t>
      </w:r>
    </w:p>
    <w:p>
      <w:pPr>
        <w:spacing w:after="0" w:line="185"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ABIOMED, Inc.</w:t>
      </w:r>
      <w:r>
        <w:rPr>
          <w:sz w:val="20"/>
          <w:szCs w:val="20"/>
          <w:color w:val="auto"/>
        </w:rPr>
        <w:tab/>
      </w:r>
      <w:r>
        <w:rPr>
          <w:rFonts w:ascii="Arial" w:cs="Arial" w:eastAsia="Arial" w:hAnsi="Arial"/>
          <w:sz w:val="17"/>
          <w:szCs w:val="17"/>
          <w:color w:val="auto"/>
        </w:rPr>
        <w:t>Intuitive Surgical, Inc.</w:t>
      </w:r>
    </w:p>
    <w:p>
      <w:pPr>
        <w:spacing w:after="0" w:line="36"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Baxter International Inc.</w:t>
      </w:r>
      <w:r>
        <w:rPr>
          <w:sz w:val="20"/>
          <w:szCs w:val="20"/>
          <w:color w:val="auto"/>
        </w:rPr>
        <w:tab/>
      </w:r>
      <w:r>
        <w:rPr>
          <w:rFonts w:ascii="Arial" w:cs="Arial" w:eastAsia="Arial" w:hAnsi="Arial"/>
          <w:sz w:val="17"/>
          <w:szCs w:val="17"/>
          <w:color w:val="auto"/>
        </w:rPr>
        <w:t>Invacare Corporation</w:t>
      </w:r>
    </w:p>
    <w:p>
      <w:pPr>
        <w:spacing w:after="0" w:line="50"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Becton, Dickinson and Company</w:t>
      </w:r>
      <w:r>
        <w:rPr>
          <w:sz w:val="20"/>
          <w:szCs w:val="20"/>
          <w:color w:val="auto"/>
        </w:rPr>
        <w:tab/>
      </w:r>
      <w:r>
        <w:rPr>
          <w:rFonts w:ascii="Arial" w:cs="Arial" w:eastAsia="Arial" w:hAnsi="Arial"/>
          <w:sz w:val="17"/>
          <w:szCs w:val="17"/>
          <w:color w:val="auto"/>
        </w:rPr>
        <w:t>Masimo Corporation</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Boston Scientific Corporation</w:t>
      </w:r>
      <w:r>
        <w:rPr>
          <w:sz w:val="20"/>
          <w:szCs w:val="20"/>
          <w:color w:val="auto"/>
        </w:rPr>
        <w:tab/>
      </w:r>
      <w:r>
        <w:rPr>
          <w:rFonts w:ascii="Arial" w:cs="Arial" w:eastAsia="Arial" w:hAnsi="Arial"/>
          <w:sz w:val="17"/>
          <w:szCs w:val="17"/>
          <w:color w:val="auto"/>
        </w:rPr>
        <w:t>Medtronic plc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Cantel Medical Corp.</w:t>
      </w:r>
      <w:r>
        <w:rPr>
          <w:sz w:val="20"/>
          <w:szCs w:val="20"/>
          <w:color w:val="auto"/>
        </w:rPr>
        <w:tab/>
      </w:r>
      <w:r>
        <w:rPr>
          <w:rFonts w:ascii="Arial" w:cs="Arial" w:eastAsia="Arial" w:hAnsi="Arial"/>
          <w:sz w:val="17"/>
          <w:szCs w:val="17"/>
          <w:color w:val="auto"/>
        </w:rPr>
        <w:t>Natus Medical Incorporated</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CONMED Corporation</w:t>
      </w:r>
      <w:r>
        <w:rPr>
          <w:sz w:val="20"/>
          <w:szCs w:val="20"/>
          <w:color w:val="auto"/>
        </w:rPr>
        <w:tab/>
      </w:r>
      <w:r>
        <w:rPr>
          <w:rFonts w:ascii="Arial" w:cs="Arial" w:eastAsia="Arial" w:hAnsi="Arial"/>
          <w:sz w:val="17"/>
          <w:szCs w:val="17"/>
          <w:color w:val="auto"/>
        </w:rPr>
        <w:t>Nevro Corp.</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DexCom, Inc.</w:t>
      </w:r>
      <w:r>
        <w:rPr>
          <w:sz w:val="20"/>
          <w:szCs w:val="20"/>
          <w:color w:val="auto"/>
        </w:rPr>
        <w:tab/>
      </w:r>
      <w:r>
        <w:rPr>
          <w:rFonts w:ascii="Arial" w:cs="Arial" w:eastAsia="Arial" w:hAnsi="Arial"/>
          <w:sz w:val="17"/>
          <w:szCs w:val="17"/>
          <w:color w:val="auto"/>
        </w:rPr>
        <w:t>NuVasive, Inc.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Edwards Lifesciences Corporation</w:t>
      </w:r>
      <w:r>
        <w:rPr>
          <w:sz w:val="20"/>
          <w:szCs w:val="20"/>
          <w:color w:val="auto"/>
        </w:rPr>
        <w:tab/>
      </w:r>
      <w:r>
        <w:rPr>
          <w:rFonts w:ascii="Arial" w:cs="Arial" w:eastAsia="Arial" w:hAnsi="Arial"/>
          <w:sz w:val="16"/>
          <w:szCs w:val="16"/>
          <w:color w:val="auto"/>
        </w:rPr>
        <w:t>Penumbra Inc.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Globus Medical, Inc.</w:t>
      </w:r>
      <w:r>
        <w:rPr>
          <w:sz w:val="20"/>
          <w:szCs w:val="20"/>
          <w:color w:val="auto"/>
        </w:rPr>
        <w:tab/>
      </w:r>
      <w:r>
        <w:rPr>
          <w:rFonts w:ascii="Arial" w:cs="Arial" w:eastAsia="Arial" w:hAnsi="Arial"/>
          <w:sz w:val="17"/>
          <w:szCs w:val="17"/>
          <w:color w:val="auto"/>
        </w:rPr>
        <w:t>ResMed Inc.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Haemonetics Corporation</w:t>
      </w:r>
      <w:r>
        <w:rPr>
          <w:sz w:val="20"/>
          <w:szCs w:val="20"/>
          <w:color w:val="auto"/>
        </w:rPr>
        <w:tab/>
      </w:r>
      <w:r>
        <w:rPr>
          <w:rFonts w:ascii="Arial" w:cs="Arial" w:eastAsia="Arial" w:hAnsi="Arial"/>
          <w:sz w:val="17"/>
          <w:szCs w:val="17"/>
          <w:color w:val="auto"/>
        </w:rPr>
        <w:t>Smith &amp; Nephew plc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Hill-Rom Holdings, Inc.</w:t>
      </w:r>
      <w:r>
        <w:rPr>
          <w:sz w:val="20"/>
          <w:szCs w:val="20"/>
          <w:color w:val="auto"/>
        </w:rPr>
        <w:tab/>
      </w:r>
      <w:r>
        <w:rPr>
          <w:rFonts w:ascii="Arial" w:cs="Arial" w:eastAsia="Arial" w:hAnsi="Arial"/>
          <w:sz w:val="17"/>
          <w:szCs w:val="17"/>
          <w:color w:val="auto"/>
        </w:rPr>
        <w:t>Stryker Corporation</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Hologic, Inc.</w:t>
      </w:r>
      <w:r>
        <w:rPr>
          <w:sz w:val="20"/>
          <w:szCs w:val="20"/>
          <w:color w:val="auto"/>
        </w:rPr>
        <w:tab/>
      </w:r>
      <w:r>
        <w:rPr>
          <w:rFonts w:ascii="Arial" w:cs="Arial" w:eastAsia="Arial" w:hAnsi="Arial"/>
          <w:sz w:val="17"/>
          <w:szCs w:val="17"/>
          <w:color w:val="auto"/>
        </w:rPr>
        <w:t>Teleflex Incorporated</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Insulet Corporation</w:t>
      </w:r>
      <w:r>
        <w:rPr>
          <w:sz w:val="20"/>
          <w:szCs w:val="20"/>
          <w:color w:val="auto"/>
        </w:rPr>
        <w:tab/>
      </w:r>
      <w:r>
        <w:rPr>
          <w:rFonts w:ascii="Arial" w:cs="Arial" w:eastAsia="Arial" w:hAnsi="Arial"/>
          <w:sz w:val="17"/>
          <w:szCs w:val="17"/>
          <w:color w:val="auto"/>
        </w:rPr>
        <w:t>Varian Medical Systems, Inc.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Integer Holdings Corporation</w:t>
      </w:r>
      <w:r>
        <w:rPr>
          <w:sz w:val="20"/>
          <w:szCs w:val="20"/>
          <w:color w:val="auto"/>
        </w:rPr>
        <w:tab/>
      </w:r>
      <w:r>
        <w:rPr>
          <w:rFonts w:ascii="Arial" w:cs="Arial" w:eastAsia="Arial" w:hAnsi="Arial"/>
          <w:sz w:val="17"/>
          <w:szCs w:val="17"/>
          <w:color w:val="auto"/>
        </w:rPr>
        <w:t>Wright Medical Group N.V.</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Integra LifeSciences Holdings Corp.</w:t>
      </w:r>
      <w:r>
        <w:rPr>
          <w:sz w:val="20"/>
          <w:szCs w:val="20"/>
          <w:color w:val="auto"/>
        </w:rPr>
        <w:tab/>
      </w:r>
      <w:r>
        <w:rPr>
          <w:rFonts w:ascii="Arial" w:cs="Arial" w:eastAsia="Arial" w:hAnsi="Arial"/>
          <w:sz w:val="17"/>
          <w:szCs w:val="17"/>
          <w:color w:val="auto"/>
        </w:rPr>
        <w:t>Zimmer Biomet Holdings, Inc.</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Adjusted Free Cash Flow PSUs (“FCF PSUs”)</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Each NEO (other than Mr. Shvartsburg) received an award of PSUs subject to achievement of a three-year cumulative adjusted free cash flow target (the “FCF Target”).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2022, cumulative adjusted free cash flow for the period 2020 through 2020 will be compared to the FCF Target, and the number of shares of our stock actually delivered to the participants will be determined by the following chart, with linear interpolation applied between specified levels:</w:t>
      </w:r>
    </w:p>
    <w:p>
      <w:pPr>
        <w:spacing w:after="0" w:line="145" w:lineRule="exact"/>
        <w:rPr>
          <w:sz w:val="20"/>
          <w:szCs w:val="20"/>
          <w:color w:val="auto"/>
        </w:rPr>
      </w:pPr>
    </w:p>
    <w:tbl>
      <w:tblPr>
        <w:tblLayout w:type="fixed"/>
        <w:tblInd w:w="3420" w:type="dxa"/>
        <w:tblCellMar>
          <w:top w:w="0" w:type="dxa"/>
          <w:left w:w="0" w:type="dxa"/>
          <w:bottom w:w="0" w:type="dxa"/>
          <w:right w:w="0" w:type="dxa"/>
        </w:tblCellMar>
      </w:tblPr>
      <w:tr>
        <w:trPr>
          <w:trHeight w:val="162"/>
        </w:trPr>
        <w:tc>
          <w:tcPr>
            <w:tcW w:w="282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91"/>
              </w:rPr>
              <w:t>FCF Achievement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 of Target</w:t>
            </w:r>
          </w:p>
        </w:tc>
        <w:tc>
          <w:tcPr>
            <w:tcW w:w="0" w:type="dxa"/>
            <w:vAlign w:val="bottom"/>
          </w:tcPr>
          <w:p>
            <w:pPr>
              <w:spacing w:after="0"/>
              <w:rPr>
                <w:sz w:val="1"/>
                <w:szCs w:val="1"/>
                <w:color w:val="auto"/>
              </w:rPr>
            </w:pPr>
          </w:p>
        </w:tc>
      </w:tr>
      <w:tr>
        <w:trPr>
          <w:trHeight w:val="144"/>
        </w:trPr>
        <w:tc>
          <w:tcPr>
            <w:tcW w:w="2820" w:type="dxa"/>
            <w:vAlign w:val="bottom"/>
            <w:gridSpan w:val="2"/>
            <w:vMerge w:val="continue"/>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Number of PSUs</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8"/>
              </w:rPr>
              <w:t>Relative to FCF Target</w:t>
            </w:r>
            <w:r>
              <w:rPr>
                <w:rFonts w:ascii="Arial" w:cs="Arial" w:eastAsia="Arial" w:hAnsi="Arial"/>
                <w:sz w:val="21"/>
                <w:szCs w:val="21"/>
                <w:b w:val="1"/>
                <w:bCs w:val="1"/>
                <w:color w:val="auto"/>
                <w:w w:val="88"/>
                <w:vertAlign w:val="superscript"/>
              </w:rPr>
              <w:t>(1)</w:t>
            </w:r>
          </w:p>
        </w:tc>
        <w:tc>
          <w:tcPr>
            <w:tcW w:w="1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Earned</w:t>
            </w:r>
          </w:p>
        </w:tc>
        <w:tc>
          <w:tcPr>
            <w:tcW w:w="0" w:type="dxa"/>
            <w:vAlign w:val="bottom"/>
          </w:tcPr>
          <w:p>
            <w:pPr>
              <w:spacing w:after="0"/>
              <w:rPr>
                <w:sz w:val="1"/>
                <w:szCs w:val="1"/>
                <w:color w:val="auto"/>
              </w:rPr>
            </w:pPr>
          </w:p>
        </w:tc>
      </w:tr>
      <w:tr>
        <w:trPr>
          <w:trHeight w:val="250"/>
        </w:trPr>
        <w:tc>
          <w:tcPr>
            <w:tcW w:w="28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6"/>
              </w:rPr>
              <w:t>≥150%</w:t>
            </w: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1320" w:type="dxa"/>
            <w:vAlign w:val="bottom"/>
          </w:tcPr>
          <w:p>
            <w:pPr>
              <w:spacing w:after="0"/>
              <w:rPr>
                <w:sz w:val="22"/>
                <w:szCs w:val="22"/>
                <w:color w:val="auto"/>
              </w:rPr>
            </w:pP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15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320" w:type="dxa"/>
            <w:vAlign w:val="bottom"/>
          </w:tcPr>
          <w:p>
            <w:pPr>
              <w:spacing w:after="0"/>
              <w:rPr>
                <w:sz w:val="22"/>
                <w:szCs w:val="22"/>
                <w:color w:val="auto"/>
              </w:rPr>
            </w:pP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&lt;60%</w:t>
            </w:r>
          </w:p>
        </w:tc>
        <w:tc>
          <w:tcPr>
            <w:tcW w:w="1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-830580</wp:posOffset>
            </wp:positionV>
            <wp:extent cx="8401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“Adjusted Free Cash Flow” is defined as the Company’s reported cash flow from operating activities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59"/>
        <w:spacing w:after="0" w:line="275" w:lineRule="auto"/>
        <w:rPr>
          <w:sz w:val="20"/>
          <w:szCs w:val="20"/>
          <w:color w:val="auto"/>
        </w:rPr>
      </w:pPr>
      <w:r>
        <w:rPr>
          <w:rFonts w:ascii="Arial" w:cs="Arial" w:eastAsia="Arial" w:hAnsi="Arial"/>
          <w:sz w:val="17"/>
          <w:szCs w:val="17"/>
          <w:color w:val="auto"/>
        </w:rPr>
        <w:t>(including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Benefits and Perquisites</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immigration assistance,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w:t>
      </w:r>
      <w:r>
        <w:rPr>
          <w:rFonts w:ascii="Arial" w:cs="Arial" w:eastAsia="Arial" w:hAnsi="Arial"/>
          <w:sz w:val="17"/>
          <w:szCs w:val="17"/>
          <w:i w:val="1"/>
          <w:iCs w:val="1"/>
          <w:color w:val="auto"/>
        </w:rPr>
        <w:t>All Other Compensation</w:t>
      </w:r>
      <w:r>
        <w:rPr>
          <w:rFonts w:ascii="Arial" w:cs="Arial" w:eastAsia="Arial" w:hAnsi="Arial"/>
          <w:sz w:val="17"/>
          <w:szCs w:val="17"/>
          <w:color w:val="auto"/>
        </w:rPr>
        <w:t xml:space="preserve">. However, some of the NEOs’ benefits are not offered to all other employees (e.g. car allowance) and accordingly are considered “perquisites” or “personal benefits” that are reflected in the Summary Compensation Table under </w:t>
      </w:r>
      <w:r>
        <w:rPr>
          <w:rFonts w:ascii="Arial" w:cs="Arial" w:eastAsia="Arial" w:hAnsi="Arial"/>
          <w:sz w:val="17"/>
          <w:szCs w:val="17"/>
          <w:i w:val="1"/>
          <w:iCs w:val="1"/>
          <w:color w:val="auto"/>
        </w:rPr>
        <w:t>All Other Compensation</w:t>
      </w:r>
      <w:r>
        <w:rPr>
          <w:rFonts w:ascii="Arial" w:cs="Arial" w:eastAsia="Arial" w:hAnsi="Arial"/>
          <w:sz w:val="17"/>
          <w:szCs w:val="17"/>
          <w:color w:val="auto"/>
        </w:rPr>
        <w:t xml:space="preserve"> and separately identified in footnotes as perquisites and other benefits.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Health/Welfare Plans</w:t>
      </w:r>
    </w:p>
    <w:p>
      <w:pPr>
        <w:spacing w:after="0" w:line="1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All of our full-time US-based employees, are eligible to participate in our health and welfare plans, including:</w:t>
      </w:r>
    </w:p>
    <w:p>
      <w:pPr>
        <w:spacing w:after="0" w:line="62"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Group term life insurance.</w:t>
      </w:r>
    </w:p>
    <w:p>
      <w:pPr>
        <w:spacing w:after="0" w:line="158"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Outside the US, our employees are generally covered by a state-run health plan and may be eligible to participate in a supplemental health plan, depending on their geography and position in the Company. Our NEOs based in the UK, Ms. Skeffington and Messrs. McDonald, Huston, Shvartsburg and Khoury, are eligible to receive Company-paid supplemental private health insurance, group term life insurance, disability insurance, a gym membership and tax assistance support. Mr. Dolci is based in Italy and receives Company-paid supplemental private health insurance, group term life insurance and disability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Compensation Tables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Summary Compensation Table</w:t>
      </w:r>
    </w:p>
    <w:p>
      <w:pPr>
        <w:spacing w:after="0" w:line="144"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The following table contains information about the compensation earned by each of our NEOs during each of the last three financial years unless such individual was an NEO for fewer than three years.</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Non-Equity</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Incentive Plan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Salary ($)</w:t>
            </w:r>
            <w:r>
              <w:rPr>
                <w:rFonts w:ascii="Arial" w:cs="Arial" w:eastAsia="Arial" w:hAnsi="Arial"/>
                <w:sz w:val="21"/>
                <w:szCs w:val="21"/>
                <w:b w:val="1"/>
                <w:bCs w:val="1"/>
                <w:color w:val="auto"/>
                <w:w w:val="87"/>
                <w:vertAlign w:val="superscript"/>
              </w:rPr>
              <w:t>(1)</w:t>
            </w:r>
          </w:p>
        </w:tc>
        <w:tc>
          <w:tcPr>
            <w:tcW w:w="200" w:type="dxa"/>
            <w:vAlign w:val="bottom"/>
            <w:vMerge w:val="restart"/>
          </w:tcPr>
          <w:p>
            <w:pPr>
              <w:spacing w:after="0"/>
              <w:rPr>
                <w:sz w:val="13"/>
                <w:szCs w:val="13"/>
                <w:color w:val="auto"/>
              </w:rPr>
            </w:pPr>
          </w:p>
        </w:tc>
        <w:tc>
          <w:tcPr>
            <w:tcW w:w="10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Stock Awards</w:t>
            </w:r>
          </w:p>
        </w:tc>
        <w:tc>
          <w:tcPr>
            <w:tcW w:w="11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Option Awards</w:t>
            </w: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right"/>
              <w:ind w:right="20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6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10"/>
                <w:szCs w:val="10"/>
                <w:b w:val="1"/>
                <w:bCs w:val="1"/>
                <w:color w:val="auto"/>
                <w:w w:val="89"/>
              </w:rPr>
              <w:t>(1)(3)</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10"/>
                <w:szCs w:val="10"/>
                <w:b w:val="1"/>
                <w:bCs w:val="1"/>
                <w:color w:val="auto"/>
                <w:w w:val="89"/>
              </w:rPr>
              <w:t>(1)(4)</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w:t>
            </w:r>
          </w:p>
        </w:tc>
        <w:tc>
          <w:tcPr>
            <w:tcW w:w="0" w:type="dxa"/>
            <w:vAlign w:val="bottom"/>
          </w:tcPr>
          <w:p>
            <w:pPr>
              <w:spacing w:after="0"/>
              <w:rPr>
                <w:sz w:val="1"/>
                <w:szCs w:val="1"/>
                <w:color w:val="auto"/>
              </w:rPr>
            </w:pPr>
          </w:p>
        </w:tc>
      </w:tr>
      <w:tr>
        <w:trPr>
          <w:trHeight w:val="177"/>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Damien McDonald</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973,663</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4,371,196</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1,249,834</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307,660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6,902,353</w:t>
            </w:r>
          </w:p>
        </w:tc>
        <w:tc>
          <w:tcPr>
            <w:tcW w:w="0" w:type="dxa"/>
            <w:vAlign w:val="bottom"/>
          </w:tcPr>
          <w:p>
            <w:pPr>
              <w:spacing w:after="0"/>
              <w:rPr>
                <w:sz w:val="1"/>
                <w:szCs w:val="1"/>
                <w:color w:val="auto"/>
              </w:rPr>
            </w:pPr>
          </w:p>
        </w:tc>
      </w:tr>
      <w:tr>
        <w:trPr>
          <w:trHeight w:val="223"/>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Executive Officer</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933,202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4,309,277</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1,249,978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277,244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362,226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7,131,927</w:t>
            </w:r>
          </w:p>
        </w:tc>
        <w:tc>
          <w:tcPr>
            <w:tcW w:w="0" w:type="dxa"/>
            <w:vAlign w:val="bottom"/>
          </w:tcPr>
          <w:p>
            <w:pPr>
              <w:spacing w:after="0"/>
              <w:rPr>
                <w:sz w:val="1"/>
                <w:szCs w:val="1"/>
                <w:color w:val="auto"/>
              </w:rPr>
            </w:pPr>
          </w:p>
        </w:tc>
      </w:tr>
      <w:tr>
        <w:trPr>
          <w:trHeight w:val="215"/>
        </w:trPr>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951,218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3,522,492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1,124,847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999,131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514,940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7,112,628</w:t>
            </w:r>
          </w:p>
        </w:tc>
        <w:tc>
          <w:tcPr>
            <w:tcW w:w="0" w:type="dxa"/>
            <w:vAlign w:val="bottom"/>
          </w:tcPr>
          <w:p>
            <w:pPr>
              <w:spacing w:after="0"/>
              <w:rPr>
                <w:sz w:val="1"/>
                <w:szCs w:val="1"/>
                <w:color w:val="auto"/>
              </w:rPr>
            </w:pPr>
          </w:p>
        </w:tc>
      </w:tr>
      <w:tr>
        <w:trPr>
          <w:trHeight w:val="184"/>
        </w:trPr>
        <w:tc>
          <w:tcPr>
            <w:tcW w:w="1760" w:type="dxa"/>
            <w:vAlign w:val="bottom"/>
            <w:gridSpan w:val="2"/>
          </w:tcPr>
          <w:p>
            <w:pPr>
              <w:spacing w:after="0"/>
              <w:rPr>
                <w:sz w:val="20"/>
                <w:szCs w:val="20"/>
                <w:color w:val="auto"/>
              </w:rPr>
            </w:pPr>
            <w:r>
              <w:rPr>
                <w:rFonts w:ascii="Arial" w:cs="Arial" w:eastAsia="Arial" w:hAnsi="Arial"/>
                <w:sz w:val="14"/>
                <w:szCs w:val="14"/>
                <w:color w:val="auto"/>
              </w:rPr>
              <w:t>Thad Huston</w:t>
            </w: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2020</w:t>
            </w: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531,281</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1,456,981</w:t>
            </w:r>
          </w:p>
        </w:tc>
        <w:tc>
          <w:tcPr>
            <w:tcW w:w="20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499,937</w:t>
            </w:r>
          </w:p>
        </w:tc>
        <w:tc>
          <w:tcPr>
            <w:tcW w:w="18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71,723</w:t>
            </w:r>
          </w:p>
        </w:tc>
        <w:tc>
          <w:tcPr>
            <w:tcW w:w="20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131,464</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2,691,386</w:t>
            </w:r>
          </w:p>
        </w:tc>
        <w:tc>
          <w:tcPr>
            <w:tcW w:w="0" w:type="dxa"/>
            <w:vAlign w:val="bottom"/>
          </w:tcPr>
          <w:p>
            <w:pPr>
              <w:spacing w:after="0"/>
              <w:rPr>
                <w:sz w:val="1"/>
                <w:szCs w:val="1"/>
                <w:color w:val="auto"/>
              </w:rPr>
            </w:pPr>
          </w:p>
        </w:tc>
      </w:tr>
      <w:tr>
        <w:trPr>
          <w:trHeight w:val="181"/>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Chief</w:t>
            </w: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2019</w:t>
            </w: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510,694</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1,519,670</w:t>
            </w:r>
          </w:p>
        </w:tc>
        <w:tc>
          <w:tcPr>
            <w:tcW w:w="20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499,998</w:t>
            </w:r>
          </w:p>
        </w:tc>
        <w:tc>
          <w:tcPr>
            <w:tcW w:w="18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170,088</w:t>
            </w:r>
          </w:p>
        </w:tc>
        <w:tc>
          <w:tcPr>
            <w:tcW w:w="20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139,192</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2,839,642</w:t>
            </w:r>
          </w:p>
        </w:tc>
        <w:tc>
          <w:tcPr>
            <w:tcW w:w="0" w:type="dxa"/>
            <w:vAlign w:val="bottom"/>
          </w:tcPr>
          <w:p>
            <w:pPr>
              <w:spacing w:after="0"/>
              <w:rPr>
                <w:sz w:val="1"/>
                <w:szCs w:val="1"/>
                <w:color w:val="auto"/>
              </w:rPr>
            </w:pPr>
          </w:p>
        </w:tc>
      </w:tr>
      <w:tr>
        <w:trPr>
          <w:trHeight w:val="18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Financial Officer</w:t>
            </w:r>
          </w:p>
        </w:tc>
        <w:tc>
          <w:tcPr>
            <w:tcW w:w="560" w:type="dxa"/>
            <w:vAlign w:val="bottom"/>
            <w:gridSpan w:val="3"/>
            <w:vMerge w:val="restart"/>
          </w:tcPr>
          <w:p>
            <w:pPr>
              <w:ind w:left="120"/>
              <w:spacing w:after="0"/>
              <w:rPr>
                <w:sz w:val="20"/>
                <w:szCs w:val="20"/>
                <w:color w:val="auto"/>
              </w:rPr>
            </w:pPr>
            <w:r>
              <w:rPr>
                <w:rFonts w:ascii="Arial" w:cs="Arial" w:eastAsia="Arial" w:hAnsi="Arial"/>
                <w:sz w:val="14"/>
                <w:szCs w:val="14"/>
                <w:color w:val="auto"/>
              </w:rPr>
              <w:t>2018</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0"/>
              </w:rPr>
              <w:t>511,458</w:t>
            </w:r>
          </w:p>
        </w:tc>
        <w:tc>
          <w:tcPr>
            <w:tcW w:w="200" w:type="dxa"/>
            <w:vAlign w:val="bottom"/>
          </w:tcPr>
          <w:p>
            <w:pPr>
              <w:spacing w:after="0"/>
              <w:rPr>
                <w:sz w:val="15"/>
                <w:szCs w:val="1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1,174,164</w:t>
            </w:r>
          </w:p>
        </w:tc>
        <w:tc>
          <w:tcPr>
            <w:tcW w:w="200" w:type="dxa"/>
            <w:vAlign w:val="bottom"/>
          </w:tcPr>
          <w:p>
            <w:pPr>
              <w:spacing w:after="0"/>
              <w:rPr>
                <w:sz w:val="15"/>
                <w:szCs w:val="15"/>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374,940</w:t>
            </w:r>
          </w:p>
        </w:tc>
        <w:tc>
          <w:tcPr>
            <w:tcW w:w="180" w:type="dxa"/>
            <w:vAlign w:val="bottom"/>
          </w:tcPr>
          <w:p>
            <w:pPr>
              <w:spacing w:after="0"/>
              <w:rPr>
                <w:sz w:val="15"/>
                <w:szCs w:val="15"/>
                <w:color w:val="auto"/>
              </w:rPr>
            </w:pPr>
          </w:p>
        </w:tc>
        <w:tc>
          <w:tcPr>
            <w:tcW w:w="920" w:type="dxa"/>
            <w:vAlign w:val="bottom"/>
            <w:vMerge w:val="restart"/>
          </w:tcPr>
          <w:p>
            <w:pPr>
              <w:jc w:val="right"/>
              <w:ind w:right="149"/>
              <w:spacing w:after="0"/>
              <w:rPr>
                <w:sz w:val="20"/>
                <w:szCs w:val="20"/>
                <w:color w:val="auto"/>
              </w:rPr>
            </w:pPr>
            <w:r>
              <w:rPr>
                <w:rFonts w:ascii="Arial" w:cs="Arial" w:eastAsia="Arial" w:hAnsi="Arial"/>
                <w:sz w:val="14"/>
                <w:szCs w:val="14"/>
                <w:color w:val="auto"/>
              </w:rPr>
              <w:t>480,257</w:t>
            </w:r>
          </w:p>
        </w:tc>
        <w:tc>
          <w:tcPr>
            <w:tcW w:w="200" w:type="dxa"/>
            <w:vAlign w:val="bottom"/>
          </w:tcPr>
          <w:p>
            <w:pPr>
              <w:spacing w:after="0"/>
              <w:rPr>
                <w:sz w:val="15"/>
                <w:szCs w:val="15"/>
                <w:color w:val="auto"/>
              </w:rPr>
            </w:pPr>
          </w:p>
        </w:tc>
        <w:tc>
          <w:tcPr>
            <w:tcW w:w="880" w:type="dxa"/>
            <w:vAlign w:val="bottom"/>
            <w:vMerge w:val="restart"/>
          </w:tcPr>
          <w:p>
            <w:pPr>
              <w:jc w:val="right"/>
              <w:ind w:right="149"/>
              <w:spacing w:after="0"/>
              <w:rPr>
                <w:sz w:val="20"/>
                <w:szCs w:val="20"/>
                <w:color w:val="auto"/>
              </w:rPr>
            </w:pPr>
            <w:r>
              <w:rPr>
                <w:rFonts w:ascii="Arial" w:cs="Arial" w:eastAsia="Arial" w:hAnsi="Arial"/>
                <w:sz w:val="14"/>
                <w:szCs w:val="14"/>
                <w:color w:val="auto"/>
              </w:rPr>
              <w:t>431,233</w:t>
            </w:r>
          </w:p>
        </w:tc>
        <w:tc>
          <w:tcPr>
            <w:tcW w:w="20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9"/>
              </w:rPr>
              <w:t>2,972,052</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Alex Shvartsburg</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321,104</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572,817</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122,923</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46,243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77,942</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1,141,029</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Interim Chief Financial</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Officer</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2"/>
          </w:tcPr>
          <w:p>
            <w:pPr>
              <w:spacing w:after="0"/>
              <w:rPr>
                <w:sz w:val="20"/>
                <w:szCs w:val="20"/>
                <w:color w:val="auto"/>
              </w:rPr>
            </w:pPr>
            <w:r>
              <w:rPr>
                <w:rFonts w:ascii="Arial" w:cs="Arial" w:eastAsia="Arial" w:hAnsi="Arial"/>
                <w:sz w:val="14"/>
                <w:szCs w:val="14"/>
                <w:color w:val="auto"/>
              </w:rPr>
              <w:t>Keyna Skeffington</w:t>
            </w: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2020</w:t>
            </w: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455,828</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728,427</w:t>
            </w:r>
          </w:p>
        </w:tc>
        <w:tc>
          <w:tcPr>
            <w:tcW w:w="20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249,961</w:t>
            </w:r>
          </w:p>
        </w:tc>
        <w:tc>
          <w:tcPr>
            <w:tcW w:w="18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47,866</w:t>
            </w:r>
          </w:p>
        </w:tc>
        <w:tc>
          <w:tcPr>
            <w:tcW w:w="20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119,585</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1,601,667</w:t>
            </w:r>
          </w:p>
        </w:tc>
        <w:tc>
          <w:tcPr>
            <w:tcW w:w="0" w:type="dxa"/>
            <w:vAlign w:val="bottom"/>
          </w:tcPr>
          <w:p>
            <w:pPr>
              <w:spacing w:after="0"/>
              <w:rPr>
                <w:sz w:val="1"/>
                <w:szCs w:val="1"/>
                <w:color w:val="auto"/>
              </w:rPr>
            </w:pPr>
          </w:p>
        </w:tc>
      </w:tr>
      <w:tr>
        <w:trPr>
          <w:trHeight w:val="181"/>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Senior Vice President</w:t>
            </w: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2019</w:t>
            </w: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424,183</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683,719</w:t>
            </w:r>
          </w:p>
        </w:tc>
        <w:tc>
          <w:tcPr>
            <w:tcW w:w="20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224,988</w:t>
            </w:r>
          </w:p>
        </w:tc>
        <w:tc>
          <w:tcPr>
            <w:tcW w:w="18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106,289</w:t>
            </w:r>
          </w:p>
        </w:tc>
        <w:tc>
          <w:tcPr>
            <w:tcW w:w="20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128,751</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1,567,930</w:t>
            </w:r>
          </w:p>
        </w:tc>
        <w:tc>
          <w:tcPr>
            <w:tcW w:w="0" w:type="dxa"/>
            <w:vAlign w:val="bottom"/>
          </w:tcPr>
          <w:p>
            <w:pPr>
              <w:spacing w:after="0"/>
              <w:rPr>
                <w:sz w:val="1"/>
                <w:szCs w:val="1"/>
                <w:color w:val="auto"/>
              </w:rPr>
            </w:pPr>
          </w:p>
        </w:tc>
      </w:tr>
      <w:tr>
        <w:trPr>
          <w:trHeight w:val="18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and General Counsel</w:t>
            </w:r>
          </w:p>
        </w:tc>
        <w:tc>
          <w:tcPr>
            <w:tcW w:w="560" w:type="dxa"/>
            <w:vAlign w:val="bottom"/>
            <w:gridSpan w:val="3"/>
            <w:vMerge w:val="restart"/>
          </w:tcPr>
          <w:p>
            <w:pPr>
              <w:ind w:left="120"/>
              <w:spacing w:after="0"/>
              <w:rPr>
                <w:sz w:val="20"/>
                <w:szCs w:val="20"/>
                <w:color w:val="auto"/>
              </w:rPr>
            </w:pPr>
            <w:r>
              <w:rPr>
                <w:rFonts w:ascii="Arial" w:cs="Arial" w:eastAsia="Arial" w:hAnsi="Arial"/>
                <w:sz w:val="14"/>
                <w:szCs w:val="14"/>
                <w:color w:val="auto"/>
              </w:rPr>
              <w:t>2018</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0"/>
              </w:rPr>
              <w:t>410,166</w:t>
            </w:r>
          </w:p>
        </w:tc>
        <w:tc>
          <w:tcPr>
            <w:tcW w:w="200" w:type="dxa"/>
            <w:vAlign w:val="bottom"/>
          </w:tcPr>
          <w:p>
            <w:pPr>
              <w:spacing w:after="0"/>
              <w:rPr>
                <w:sz w:val="15"/>
                <w:szCs w:val="1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658,627</w:t>
            </w:r>
          </w:p>
        </w:tc>
        <w:tc>
          <w:tcPr>
            <w:tcW w:w="200" w:type="dxa"/>
            <w:vAlign w:val="bottom"/>
          </w:tcPr>
          <w:p>
            <w:pPr>
              <w:spacing w:after="0"/>
              <w:rPr>
                <w:sz w:val="15"/>
                <w:szCs w:val="15"/>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162,473</w:t>
            </w:r>
          </w:p>
        </w:tc>
        <w:tc>
          <w:tcPr>
            <w:tcW w:w="180" w:type="dxa"/>
            <w:vAlign w:val="bottom"/>
          </w:tcPr>
          <w:p>
            <w:pPr>
              <w:spacing w:after="0"/>
              <w:rPr>
                <w:sz w:val="15"/>
                <w:szCs w:val="15"/>
                <w:color w:val="auto"/>
              </w:rPr>
            </w:pPr>
          </w:p>
        </w:tc>
        <w:tc>
          <w:tcPr>
            <w:tcW w:w="920" w:type="dxa"/>
            <w:vAlign w:val="bottom"/>
            <w:vMerge w:val="restart"/>
          </w:tcPr>
          <w:p>
            <w:pPr>
              <w:jc w:val="right"/>
              <w:ind w:right="149"/>
              <w:spacing w:after="0"/>
              <w:rPr>
                <w:sz w:val="20"/>
                <w:szCs w:val="20"/>
                <w:color w:val="auto"/>
              </w:rPr>
            </w:pPr>
            <w:r>
              <w:rPr>
                <w:rFonts w:ascii="Arial" w:cs="Arial" w:eastAsia="Arial" w:hAnsi="Arial"/>
                <w:sz w:val="14"/>
                <w:szCs w:val="14"/>
                <w:color w:val="auto"/>
              </w:rPr>
              <w:t>251,619</w:t>
            </w:r>
          </w:p>
        </w:tc>
        <w:tc>
          <w:tcPr>
            <w:tcW w:w="200" w:type="dxa"/>
            <w:vAlign w:val="bottom"/>
          </w:tcPr>
          <w:p>
            <w:pPr>
              <w:spacing w:after="0"/>
              <w:rPr>
                <w:sz w:val="15"/>
                <w:szCs w:val="15"/>
                <w:color w:val="auto"/>
              </w:rPr>
            </w:pPr>
          </w:p>
        </w:tc>
        <w:tc>
          <w:tcPr>
            <w:tcW w:w="880" w:type="dxa"/>
            <w:vAlign w:val="bottom"/>
            <w:vMerge w:val="restart"/>
          </w:tcPr>
          <w:p>
            <w:pPr>
              <w:jc w:val="right"/>
              <w:ind w:right="149"/>
              <w:spacing w:after="0"/>
              <w:rPr>
                <w:sz w:val="20"/>
                <w:szCs w:val="20"/>
                <w:color w:val="auto"/>
              </w:rPr>
            </w:pPr>
            <w:r>
              <w:rPr>
                <w:rFonts w:ascii="Arial" w:cs="Arial" w:eastAsia="Arial" w:hAnsi="Arial"/>
                <w:sz w:val="14"/>
                <w:szCs w:val="14"/>
                <w:color w:val="auto"/>
              </w:rPr>
              <w:t>134,393</w:t>
            </w:r>
          </w:p>
        </w:tc>
        <w:tc>
          <w:tcPr>
            <w:tcW w:w="20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9"/>
              </w:rPr>
              <w:t>1,617,278</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Marco Dolci</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570,190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728,427</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249,960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51,317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122,641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1,722,535</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Senior Vice President,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Global Operations and</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R&amp;D</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gridSpan w:val="2"/>
          </w:tcPr>
          <w:p>
            <w:pPr>
              <w:spacing w:after="0"/>
              <w:rPr>
                <w:sz w:val="20"/>
                <w:szCs w:val="20"/>
                <w:color w:val="auto"/>
              </w:rPr>
            </w:pPr>
            <w:r>
              <w:rPr>
                <w:rFonts w:ascii="Arial" w:cs="Arial" w:eastAsia="Arial" w:hAnsi="Arial"/>
                <w:sz w:val="14"/>
                <w:szCs w:val="14"/>
                <w:color w:val="auto"/>
              </w:rPr>
              <w:t>Roy Khoury</w:t>
            </w: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2020</w:t>
            </w: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391,297</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728,427</w:t>
            </w:r>
          </w:p>
        </w:tc>
        <w:tc>
          <w:tcPr>
            <w:tcW w:w="20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249,960</w:t>
            </w:r>
          </w:p>
        </w:tc>
        <w:tc>
          <w:tcPr>
            <w:tcW w:w="18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38,151</w:t>
            </w:r>
          </w:p>
        </w:tc>
        <w:tc>
          <w:tcPr>
            <w:tcW w:w="20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87,482</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1,495,317</w:t>
            </w:r>
          </w:p>
        </w:tc>
        <w:tc>
          <w:tcPr>
            <w:tcW w:w="0" w:type="dxa"/>
            <w:vAlign w:val="bottom"/>
          </w:tcPr>
          <w:p>
            <w:pPr>
              <w:spacing w:after="0"/>
              <w:rPr>
                <w:sz w:val="1"/>
                <w:szCs w:val="1"/>
                <w:color w:val="auto"/>
              </w:rPr>
            </w:pPr>
          </w:p>
        </w:tc>
      </w:tr>
      <w:tr>
        <w:trPr>
          <w:trHeight w:val="16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President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International Region and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Senior Vice President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Global Strategic</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gridSpan w:val="2"/>
          </w:tcPr>
          <w:p>
            <w:pPr>
              <w:ind w:left="120"/>
              <w:spacing w:after="0"/>
              <w:rPr>
                <w:sz w:val="20"/>
                <w:szCs w:val="20"/>
                <w:color w:val="auto"/>
              </w:rPr>
            </w:pPr>
            <w:r>
              <w:rPr>
                <w:rFonts w:ascii="Arial" w:cs="Arial" w:eastAsia="Arial" w:hAnsi="Arial"/>
                <w:sz w:val="14"/>
                <w:szCs w:val="14"/>
                <w:i w:val="1"/>
                <w:iCs w:val="1"/>
                <w:color w:val="auto"/>
              </w:rPr>
              <w:t>Marketing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-2657475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-2657475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-2657475</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-2657475</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-2657475</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-2657475</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-2657475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264795</wp:posOffset>
            </wp:positionV>
            <wp:extent cx="123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620" w:right="499" w:hanging="360"/>
        <w:spacing w:after="0" w:line="254"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amounts paid in 2020, we used an exchange rate of $1.28293 per British Pound and $1.14038 per Euro, which reflects the applicable period average published rate from our BOPC Accounting System between January 1, 2020 and December 31, 2020. The BOPC Accounting System uses Bloomberg as a source to obtain exchange rates. Salaries for our NEOs are reviewed and, if thought appropriate by the Compensation Committee, increased or decreased with effect on April 1st. The salaries indicated here thus reflect three months of the prior year’s base salary and nine months of the new base salary with effect from April 1st. For Mr. Shvartsburg’s salary, this includes a monthly stipend of £5,000 effective October 2020 ($6,414).</w:t>
      </w:r>
    </w:p>
    <w:p>
      <w:pPr>
        <w:spacing w:after="0" w:line="70" w:lineRule="exact"/>
        <w:rPr>
          <w:rFonts w:ascii="Arial" w:cs="Arial" w:eastAsia="Arial" w:hAnsi="Arial"/>
          <w:sz w:val="18"/>
          <w:szCs w:val="18"/>
          <w:color w:val="auto"/>
        </w:rPr>
      </w:pPr>
    </w:p>
    <w:p>
      <w:pPr>
        <w:ind w:left="1620" w:right="459" w:hanging="360"/>
        <w:spacing w:after="0" w:line="271"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Amounts reflect the full grant-date fair value of RSUs and SARs granted computed in accordance with Federal Accounting Standards Board Accounting Standards Codification (“FASB ASC”) Topic 718, rather than the amounts paid to or realized by the named individual. We provide information regarding the assumptions used to calculate the value of all RSUs and SARs awards made to executive officers in Note 2 to our audited financial statements in our US Annual Report on Form 10-K for the year ended December 31, 2020. For additional information regarding the RSUs and SARs awards reported herein, see “— </w:t>
      </w:r>
      <w:r>
        <w:rPr>
          <w:rFonts w:ascii="Arial" w:cs="Arial" w:eastAsia="Arial" w:hAnsi="Arial"/>
          <w:sz w:val="17"/>
          <w:szCs w:val="17"/>
          <w:i w:val="1"/>
          <w:iCs w:val="1"/>
          <w:color w:val="auto"/>
        </w:rPr>
        <w:t>Compensation Discussion and Analysis — 2020 Long-Term Incentive Plan</w:t>
      </w:r>
      <w:r>
        <w:rPr>
          <w:rFonts w:ascii="Arial" w:cs="Arial" w:eastAsia="Arial" w:hAnsi="Arial"/>
          <w:sz w:val="17"/>
          <w:szCs w:val="17"/>
          <w:color w:val="auto"/>
        </w:rPr>
        <w:t xml:space="preserve">” and “ — </w:t>
      </w:r>
      <w:r>
        <w:rPr>
          <w:rFonts w:ascii="Arial" w:cs="Arial" w:eastAsia="Arial" w:hAnsi="Arial"/>
          <w:sz w:val="17"/>
          <w:szCs w:val="17"/>
          <w:i w:val="1"/>
          <w:iCs w:val="1"/>
          <w:color w:val="auto"/>
        </w:rPr>
        <w:t>Compensation Discussion and Analysis — 2020 Grants of Plan-Based Awards.</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Values in this column reflect payments in respect of the relevant year’s short-term incentive plan.</w:t>
      </w:r>
    </w:p>
    <w:p>
      <w:pPr>
        <w:spacing w:after="0" w:line="103" w:lineRule="exact"/>
        <w:rPr>
          <w:rFonts w:ascii="Arial" w:cs="Arial" w:eastAsia="Arial" w:hAnsi="Arial"/>
          <w:sz w:val="18"/>
          <w:szCs w:val="18"/>
          <w:color w:val="auto"/>
        </w:rPr>
      </w:pPr>
    </w:p>
    <w:p>
      <w:pPr>
        <w:ind w:left="1620" w:right="459" w:hanging="360"/>
        <w:spacing w:after="0" w:line="26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reported in the All Other Compensation column represent the aggregate dollar amount for all other benefits and payment received by our NEOs. The following table shows the nature of the benefits and payments and specific amounts for each of our NEOs in 2020:</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Non-Qualified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and Defined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36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87"/>
              </w:rPr>
              <w:t>Supplemental</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Contribution</w:t>
            </w: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Cash in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Health</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Housing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Car</w:t>
            </w:r>
          </w:p>
        </w:tc>
        <w:tc>
          <w:tcPr>
            <w:tcW w:w="11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89"/>
              </w:rPr>
              <w:t>Plan Registrant</w:t>
            </w: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Lieu of</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8"/>
        </w:trPr>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Insurance</w:t>
            </w:r>
          </w:p>
        </w:tc>
        <w:tc>
          <w:tcPr>
            <w:tcW w:w="8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Allowance</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Allowance</w:t>
            </w:r>
          </w:p>
        </w:tc>
        <w:tc>
          <w:tcPr>
            <w:tcW w:w="2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Contributions</w:t>
            </w:r>
          </w:p>
        </w:tc>
        <w:tc>
          <w:tcPr>
            <w:tcW w:w="9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84"/>
              </w:rPr>
              <w:t>Pension</w:t>
            </w:r>
          </w:p>
        </w:tc>
        <w:tc>
          <w:tcPr>
            <w:tcW w:w="6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48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1460" w:type="dxa"/>
            <w:vAlign w:val="bottom"/>
          </w:tcPr>
          <w:p>
            <w:pPr>
              <w:spacing w:after="0"/>
              <w:rPr>
                <w:sz w:val="19"/>
                <w:szCs w:val="19"/>
                <w:color w:val="auto"/>
              </w:rPr>
            </w:pPr>
          </w:p>
        </w:tc>
        <w:tc>
          <w:tcPr>
            <w:tcW w:w="11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9"/>
                <w:szCs w:val="19"/>
                <w:color w:val="auto"/>
              </w:rPr>
            </w:pPr>
          </w:p>
        </w:tc>
        <w:tc>
          <w:tcPr>
            <w:tcW w:w="840" w:type="dxa"/>
            <w:vAlign w:val="bottom"/>
            <w:gridSpan w:val="2"/>
          </w:tcPr>
          <w:p>
            <w:pPr>
              <w:jc w:val="center"/>
              <w:ind w:right="200"/>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(a)</w:t>
            </w:r>
          </w:p>
        </w:tc>
        <w:tc>
          <w:tcPr>
            <w:tcW w:w="66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1"/>
                <w:szCs w:val="21"/>
                <w:b w:val="1"/>
                <w:bCs w:val="1"/>
                <w:color w:val="auto"/>
                <w:w w:val="85"/>
                <w:vertAlign w:val="superscript"/>
              </w:rPr>
              <w:t>(b)</w:t>
            </w:r>
          </w:p>
        </w:tc>
        <w:tc>
          <w:tcPr>
            <w:tcW w:w="200" w:type="dxa"/>
            <w:vAlign w:val="bottom"/>
          </w:tcPr>
          <w:p>
            <w:pPr>
              <w:spacing w:after="0"/>
              <w:rPr>
                <w:sz w:val="19"/>
                <w:szCs w:val="19"/>
                <w:color w:val="auto"/>
              </w:rPr>
            </w:pPr>
          </w:p>
        </w:tc>
        <w:tc>
          <w:tcPr>
            <w:tcW w:w="96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75"/>
              </w:rPr>
              <w:t>($)</w:t>
            </w:r>
            <w:r>
              <w:rPr>
                <w:rFonts w:ascii="Arial" w:cs="Arial" w:eastAsia="Arial" w:hAnsi="Arial"/>
                <w:sz w:val="21"/>
                <w:szCs w:val="21"/>
                <w:b w:val="1"/>
                <w:bCs w:val="1"/>
                <w:color w:val="auto"/>
                <w:w w:val="75"/>
                <w:vertAlign w:val="superscript"/>
              </w:rPr>
              <w:t>(c)</w:t>
            </w:r>
          </w:p>
        </w:tc>
        <w:tc>
          <w:tcPr>
            <w:tcW w:w="200" w:type="dxa"/>
            <w:vAlign w:val="bottom"/>
          </w:tcPr>
          <w:p>
            <w:pPr>
              <w:spacing w:after="0"/>
              <w:rPr>
                <w:sz w:val="19"/>
                <w:szCs w:val="19"/>
                <w:color w:val="auto"/>
              </w:rPr>
            </w:pPr>
          </w:p>
        </w:tc>
        <w:tc>
          <w:tcPr>
            <w:tcW w:w="700" w:type="dxa"/>
            <w:vAlign w:val="bottom"/>
            <w:gridSpan w:val="2"/>
          </w:tcPr>
          <w:p>
            <w:pPr>
              <w:jc w:val="center"/>
              <w:ind w:right="220"/>
              <w:spacing w:after="0" w:line="230" w:lineRule="exact"/>
              <w:rPr>
                <w:sz w:val="20"/>
                <w:szCs w:val="20"/>
                <w:color w:val="auto"/>
              </w:rPr>
            </w:pPr>
            <w:r>
              <w:rPr>
                <w:rFonts w:ascii="Arial" w:cs="Arial" w:eastAsia="Arial" w:hAnsi="Arial"/>
                <w:sz w:val="14"/>
                <w:szCs w:val="14"/>
                <w:b w:val="1"/>
                <w:bCs w:val="1"/>
                <w:color w:val="auto"/>
                <w:w w:val="79"/>
              </w:rPr>
              <w:t>($)</w:t>
            </w:r>
            <w:r>
              <w:rPr>
                <w:rFonts w:ascii="Arial" w:cs="Arial" w:eastAsia="Arial" w:hAnsi="Arial"/>
                <w:sz w:val="21"/>
                <w:szCs w:val="21"/>
                <w:b w:val="1"/>
                <w:bCs w:val="1"/>
                <w:color w:val="auto"/>
                <w:w w:val="79"/>
                <w:vertAlign w:val="superscript"/>
              </w:rPr>
              <w:t>(d)</w:t>
            </w:r>
          </w:p>
        </w:tc>
        <w:tc>
          <w:tcPr>
            <w:tcW w:w="620" w:type="dxa"/>
            <w:vAlign w:val="bottom"/>
            <w:gridSpan w:val="2"/>
          </w:tcPr>
          <w:p>
            <w:pPr>
              <w:jc w:val="center"/>
              <w:ind w:right="220"/>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(e)</w:t>
            </w: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263"/>
        </w:trPr>
        <w:tc>
          <w:tcPr>
            <w:tcW w:w="14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4"/>
                <w:szCs w:val="14"/>
                <w:color w:val="auto"/>
              </w:rPr>
              <w:t>Damien McDonald</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33,064</w:t>
            </w:r>
          </w:p>
        </w:tc>
        <w:tc>
          <w:tcPr>
            <w:tcW w:w="200" w:type="dxa"/>
            <w:vAlign w:val="bottom"/>
          </w:tcPr>
          <w:p>
            <w:pPr>
              <w:spacing w:after="0"/>
              <w:rPr>
                <w:sz w:val="19"/>
                <w:szCs w:val="19"/>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76,976</w:t>
            </w:r>
          </w:p>
        </w:tc>
        <w:tc>
          <w:tcPr>
            <w:tcW w:w="1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22,772</w:t>
            </w: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12,829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117,065</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44,954</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307,660</w:t>
            </w:r>
          </w:p>
        </w:tc>
      </w:tr>
      <w:tr>
        <w:trPr>
          <w:trHeight w:val="23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Thad Huston</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23,361</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16,935</w:t>
            </w:r>
          </w:p>
        </w:tc>
        <w:tc>
          <w:tcPr>
            <w:tcW w:w="11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3"/>
              </w:rPr>
              <w:t>90,451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131,464</w:t>
            </w:r>
          </w:p>
        </w:tc>
      </w:tr>
      <w:tr>
        <w:trPr>
          <w:trHeight w:val="223"/>
        </w:trPr>
        <w:tc>
          <w:tcPr>
            <w:tcW w:w="1460" w:type="dxa"/>
            <w:vAlign w:val="bottom"/>
          </w:tcPr>
          <w:p>
            <w:pPr>
              <w:spacing w:after="0"/>
              <w:rPr>
                <w:sz w:val="20"/>
                <w:szCs w:val="20"/>
                <w:color w:val="auto"/>
              </w:rPr>
            </w:pPr>
            <w:r>
              <w:rPr>
                <w:rFonts w:ascii="Arial" w:cs="Arial" w:eastAsia="Arial" w:hAnsi="Arial"/>
                <w:sz w:val="14"/>
                <w:szCs w:val="14"/>
                <w:color w:val="auto"/>
              </w:rPr>
              <w:t>Alex Shvartsburg</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22,643</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13,856</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40,350</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1,093</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77,942</w:t>
            </w:r>
          </w:p>
        </w:tc>
      </w:tr>
      <w:tr>
        <w:trPr>
          <w:trHeight w:val="235"/>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Keyna Skeffington</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36,259</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16,935</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66,391</w:t>
            </w: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119,585</w:t>
            </w:r>
          </w:p>
        </w:tc>
      </w:tr>
      <w:tr>
        <w:trPr>
          <w:trHeight w:val="223"/>
        </w:trPr>
        <w:tc>
          <w:tcPr>
            <w:tcW w:w="1460" w:type="dxa"/>
            <w:vAlign w:val="bottom"/>
          </w:tcPr>
          <w:p>
            <w:pPr>
              <w:spacing w:after="0"/>
              <w:rPr>
                <w:sz w:val="20"/>
                <w:szCs w:val="20"/>
                <w:color w:val="auto"/>
              </w:rPr>
            </w:pPr>
            <w:r>
              <w:rPr>
                <w:rFonts w:ascii="Arial" w:cs="Arial" w:eastAsia="Arial" w:hAnsi="Arial"/>
                <w:sz w:val="14"/>
                <w:szCs w:val="14"/>
                <w:color w:val="auto"/>
              </w:rPr>
              <w:t>Marco Dolci</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4,400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16,421</w:t>
            </w: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94,029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7,791</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122,641</w:t>
            </w:r>
          </w:p>
        </w:tc>
      </w:tr>
      <w:tr>
        <w:trPr>
          <w:trHeight w:val="23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Roy Khoury</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6,130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16,935</w:t>
            </w:r>
          </w:p>
        </w:tc>
        <w:tc>
          <w:tcPr>
            <w:tcW w:w="11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3"/>
              </w:rPr>
              <w:t>64,417</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-1053465</wp:posOffset>
            </wp:positionV>
            <wp:extent cx="47491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housing allowance to Mr. McDonald under the terms of his service agreement.</w:t>
      </w:r>
    </w:p>
    <w:p>
      <w:pPr>
        <w:spacing w:after="0" w:line="76"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car allowance for each of Messrs. McDonald, Huston, Shvartsburg, Dolci and Khoury and Ms. Skeffington, these allowances are customary for UK and Italy executive compensation packages.</w:t>
      </w:r>
    </w:p>
    <w:p>
      <w:pPr>
        <w:spacing w:after="0" w:line="48" w:lineRule="exact"/>
        <w:rPr>
          <w:rFonts w:ascii="Arial" w:cs="Arial" w:eastAsia="Arial" w:hAnsi="Arial"/>
          <w:sz w:val="18"/>
          <w:szCs w:val="18"/>
          <w:color w:val="auto"/>
        </w:rPr>
      </w:pPr>
    </w:p>
    <w:p>
      <w:pPr>
        <w:ind w:left="1620" w:right="439" w:hanging="360"/>
        <w:spacing w:after="0" w:line="271"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Company contributions to a partially non-qualified defined contribution plan equal to the amount of company contributions made on behalf of the executive officer on top of the maximum amounts that may be tax qualified under the supplemental pension plan. (see — 2020 Nonqualified Deferred Compensation). In respect of Mr. Dolci, the Company contributed €51,760 ($59,026) and he received supplementary pension fund of €30,694 ($35,003). For the NEOs in the UK; the Company contributed the following amounts into a personal pension plan sponsored by the Company; in respect of Mr. McDonald: the Company contributed £10,000 ($12,829), in respect of Mr. Huston, the Company contributed £70,503 ($90,451); in respect to Mr.Khoury, the Company contributed £50,211 ($64,417).</w:t>
      </w:r>
    </w:p>
    <w:p>
      <w:pPr>
        <w:spacing w:after="0" w:line="29" w:lineRule="exact"/>
        <w:rPr>
          <w:rFonts w:ascii="Arial" w:cs="Arial" w:eastAsia="Arial" w:hAnsi="Arial"/>
          <w:sz w:val="17"/>
          <w:szCs w:val="17"/>
          <w:color w:val="auto"/>
        </w:rPr>
      </w:pPr>
    </w:p>
    <w:p>
      <w:pPr>
        <w:ind w:left="1620" w:right="819" w:hanging="360"/>
        <w:spacing w:after="0" w:line="274"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cash received in lieu of pension (</w:t>
      </w:r>
      <w:r>
        <w:rPr>
          <w:rFonts w:ascii="Arial" w:cs="Arial" w:eastAsia="Arial" w:hAnsi="Arial"/>
          <w:sz w:val="17"/>
          <w:szCs w:val="17"/>
          <w:i w:val="1"/>
          <w:iCs w:val="1"/>
          <w:color w:val="auto"/>
        </w:rPr>
        <w:t>see — 2020</w:t>
      </w:r>
      <w:r>
        <w:rPr>
          <w:rFonts w:ascii="Arial" w:cs="Arial" w:eastAsia="Arial" w:hAnsi="Arial"/>
          <w:sz w:val="17"/>
          <w:szCs w:val="17"/>
          <w:color w:val="auto"/>
        </w:rPr>
        <w:t xml:space="preserve"> Nonqualified Deferred Compensation). In respect of Mr. McDonald: £91,248 ($117,065) was paid in cash in lieu of pension. In respect of</w:t>
      </w:r>
    </w:p>
    <w:p>
      <w:pPr>
        <w:ind w:left="1620" w:right="539"/>
        <w:spacing w:after="0" w:line="260" w:lineRule="auto"/>
        <w:rPr>
          <w:rFonts w:ascii="Arial" w:cs="Arial" w:eastAsia="Arial" w:hAnsi="Arial"/>
          <w:sz w:val="17"/>
          <w:szCs w:val="17"/>
          <w:color w:val="auto"/>
        </w:rPr>
      </w:pPr>
      <w:r>
        <w:rPr>
          <w:rFonts w:ascii="Arial" w:cs="Arial" w:eastAsia="Arial" w:hAnsi="Arial"/>
          <w:sz w:val="18"/>
          <w:szCs w:val="18"/>
          <w:color w:val="auto"/>
        </w:rPr>
        <w:t>Ms. Skeffington, £51,750 ($66,391) was paid in cash in lieu of pension. In respect of Mr. Shvarstburg, £31,451 ($40,350) was paid in cash in lieu of pension.</w:t>
      </w:r>
    </w:p>
    <w:p>
      <w:pPr>
        <w:spacing w:after="0" w:line="36" w:lineRule="exact"/>
        <w:rPr>
          <w:rFonts w:ascii="Arial" w:cs="Arial" w:eastAsia="Arial" w:hAnsi="Arial"/>
          <w:sz w:val="17"/>
          <w:szCs w:val="17"/>
          <w:color w:val="auto"/>
        </w:rPr>
      </w:pPr>
    </w:p>
    <w:p>
      <w:pPr>
        <w:ind w:left="1620" w:right="419" w:hanging="360"/>
        <w:spacing w:after="0" w:line="25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Mr.McDonald, this represents a school tuition fee allowance for Mr. McDonald’s children £12,780 ($16,396) and tax assistance £22,260 ($28,558). As to Mr. Huston, this represents gym membership £559 ($717). As to Mr. Shvartsburg, this represents gym membership £852 ($1,093). For Mr. Dolci, this represents, Flexible Benefit €1,750 ($1,996), Meal Voucher € 2,400 ($2,737) and Travel Allowance €2,682 ($3,058).</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Grants of Plan-Based Awards Table</w:t>
      </w:r>
    </w:p>
    <w:p>
      <w:pPr>
        <w:spacing w:after="0" w:line="158"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7"/>
          <w:szCs w:val="17"/>
          <w:color w:val="auto"/>
        </w:rPr>
        <w:t>The following table provides supplemental information relating to grants of plan-based awards made during 2020 to help explain information provided above in our Summary Compensation Table. This table presents information regarding all grants of plan-based awards occurring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All</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Future Payouts</w:t>
            </w: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Option</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w:t>
            </w:r>
          </w:p>
        </w:tc>
        <w:tc>
          <w:tcPr>
            <w:tcW w:w="2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Estimated Future Payouts</w:t>
            </w: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Under Equity Incentive</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Under Non-Equity Incentive</w:t>
            </w: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Plan: Performance Stock</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Price of</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RSU and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Plan Awards</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Units (PSUs) (#)</w:t>
            </w:r>
          </w:p>
        </w:tc>
        <w:tc>
          <w:tcPr>
            <w:tcW w:w="80" w:type="dxa"/>
            <w:vAlign w:val="bottom"/>
          </w:tcPr>
          <w:p>
            <w:pPr>
              <w:spacing w:after="0"/>
              <w:rPr>
                <w:sz w:val="14"/>
                <w:szCs w:val="14"/>
                <w:color w:val="auto"/>
              </w:rPr>
            </w:pPr>
          </w:p>
        </w:tc>
        <w:tc>
          <w:tcPr>
            <w:tcW w:w="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Service</w:t>
            </w:r>
          </w:p>
        </w:tc>
        <w:tc>
          <w:tcPr>
            <w:tcW w:w="8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SAR</w:t>
            </w:r>
          </w:p>
        </w:tc>
        <w:tc>
          <w:tcPr>
            <w:tcW w:w="260" w:type="dxa"/>
            <w:vAlign w:val="bottom"/>
          </w:tcPr>
          <w:p>
            <w:pPr>
              <w:spacing w:after="0"/>
              <w:rPr>
                <w:sz w:val="14"/>
                <w:szCs w:val="14"/>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SAR</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Threshold</w:t>
            </w: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5"/>
              </w:rPr>
              <w:t>Maximum</w:t>
            </w: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Threshold</w:t>
            </w:r>
          </w:p>
        </w:tc>
        <w:tc>
          <w:tcPr>
            <w:tcW w:w="5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Target</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Based</w:t>
            </w:r>
          </w:p>
        </w:tc>
        <w:tc>
          <w:tcPr>
            <w:tcW w:w="8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Awards</w:t>
            </w:r>
          </w:p>
        </w:tc>
        <w:tc>
          <w:tcPr>
            <w:tcW w:w="2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RSUs (#)</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SARs (#)</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10"/>
                <w:szCs w:val="10"/>
                <w:b w:val="1"/>
                <w:bCs w:val="1"/>
                <w:color w:val="auto"/>
                <w:w w:val="89"/>
              </w:rPr>
              <w:t>(1)(2)</w:t>
            </w:r>
          </w:p>
        </w:tc>
        <w:tc>
          <w:tcPr>
            <w:tcW w:w="0" w:type="dxa"/>
            <w:vAlign w:val="bottom"/>
          </w:tcPr>
          <w:p>
            <w:pPr>
              <w:spacing w:after="0"/>
              <w:rPr>
                <w:sz w:val="1"/>
                <w:szCs w:val="1"/>
                <w:color w:val="auto"/>
              </w:rPr>
            </w:pPr>
          </w:p>
        </w:tc>
      </w:tr>
      <w:tr>
        <w:trPr>
          <w:trHeight w:val="22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Damien McDonald</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1,217,159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1,947,325</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25"/>
                <w:szCs w:val="25"/>
                <w:color w:val="auto"/>
                <w:w w:val="93"/>
                <w:vertAlign w:val="superscript"/>
              </w:rPr>
              <w:t>(1)</w:t>
            </w:r>
            <w:r>
              <w:rPr>
                <w:rFonts w:ascii="Arial" w:cs="Arial" w:eastAsia="Arial" w:hAnsi="Arial"/>
                <w:sz w:val="16"/>
                <w:szCs w:val="16"/>
                <w:color w:val="auto"/>
                <w:w w:val="93"/>
              </w:rPr>
              <w:t xml:space="preserve"> 1,499,984</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20"/>
              <w:spacing w:after="0" w:line="175" w:lineRule="exact"/>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2"/>
              <w:spacing w:after="0" w:line="175" w:lineRule="exact"/>
              <w:rPr>
                <w:sz w:val="20"/>
                <w:szCs w:val="20"/>
                <w:color w:val="auto"/>
              </w:rPr>
            </w:pPr>
            <w:r>
              <w:rPr>
                <w:rFonts w:ascii="Arial" w:cs="Arial" w:eastAsia="Arial" w:hAnsi="Arial"/>
                <w:sz w:val="16"/>
                <w:szCs w:val="16"/>
                <w:color w:val="auto"/>
              </w:rPr>
              <w:t>13,771</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w w:val="89"/>
              </w:rPr>
              <w:t>34,427</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68,854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6,885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34,427</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68,854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1,371,227</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34,427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1,499,984</w:t>
            </w:r>
          </w:p>
        </w:tc>
        <w:tc>
          <w:tcPr>
            <w:tcW w:w="0" w:type="dxa"/>
            <w:vAlign w:val="bottom"/>
          </w:tcPr>
          <w:p>
            <w:pPr>
              <w:spacing w:after="0"/>
              <w:rPr>
                <w:sz w:val="1"/>
                <w:szCs w:val="1"/>
                <w:color w:val="auto"/>
              </w:rPr>
            </w:pPr>
          </w:p>
        </w:tc>
      </w:tr>
      <w:tr>
        <w:trPr>
          <w:trHeight w:val="257"/>
        </w:trPr>
        <w:tc>
          <w:tcPr>
            <w:tcW w:w="1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78,517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1,249,834</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6"/>
                <w:szCs w:val="16"/>
                <w:color w:val="auto"/>
              </w:rPr>
              <w:t>Thad Huston</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481,660</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770,656</w:t>
            </w: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4,590</w:t>
            </w:r>
          </w:p>
        </w:tc>
        <w:tc>
          <w:tcPr>
            <w:tcW w:w="80" w:type="dxa"/>
            <w:vAlign w:val="bottom"/>
          </w:tcPr>
          <w:p>
            <w:pPr>
              <w:spacing w:after="0"/>
              <w:rPr>
                <w:sz w:val="20"/>
                <w:szCs w:val="2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89"/>
              </w:rPr>
              <w:t>11,475</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22,950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499,966</w:t>
            </w:r>
          </w:p>
        </w:tc>
        <w:tc>
          <w:tcPr>
            <w:tcW w:w="0" w:type="dxa"/>
            <w:vAlign w:val="bottom"/>
          </w:tcPr>
          <w:p>
            <w:pPr>
              <w:spacing w:after="0"/>
              <w:rPr>
                <w:sz w:val="1"/>
                <w:szCs w:val="1"/>
                <w:color w:val="auto"/>
              </w:rPr>
            </w:pPr>
          </w:p>
        </w:tc>
      </w:tr>
      <w:tr>
        <w:trPr>
          <w:trHeight w:val="111"/>
        </w:trPr>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2,295</w:t>
            </w:r>
          </w:p>
        </w:tc>
        <w:tc>
          <w:tcPr>
            <w:tcW w:w="8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89"/>
              </w:rPr>
              <w:t>11,475</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22,950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457,049</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11,475</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499,966</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6"/>
                <w:szCs w:val="16"/>
                <w:color w:val="auto"/>
              </w:rPr>
              <w:t>31,407</w:t>
            </w:r>
          </w:p>
        </w:tc>
        <w:tc>
          <w:tcPr>
            <w:tcW w:w="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499,937</w:t>
            </w: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Alex Shvartsburg</w:t>
            </w:r>
          </w:p>
        </w:tc>
        <w:tc>
          <w:tcPr>
            <w:tcW w:w="40" w:type="dxa"/>
            <w:vAlign w:val="bottom"/>
            <w:shd w:val="clear" w:color="auto" w:fill="CCEEFF"/>
          </w:tcPr>
          <w:p>
            <w:pPr>
              <w:spacing w:after="0"/>
              <w:rPr>
                <w:sz w:val="20"/>
                <w:szCs w:val="20"/>
                <w:color w:val="auto"/>
              </w:rPr>
            </w:pPr>
          </w:p>
        </w:tc>
        <w:tc>
          <w:tcPr>
            <w:tcW w:w="80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154,143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246,629</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122,867</w:t>
            </w:r>
          </w:p>
        </w:tc>
        <w:tc>
          <w:tcPr>
            <w:tcW w:w="0" w:type="dxa"/>
            <w:vAlign w:val="bottom"/>
          </w:tcPr>
          <w:p>
            <w:pPr>
              <w:spacing w:after="0"/>
              <w:rPr>
                <w:sz w:val="1"/>
                <w:szCs w:val="1"/>
                <w:color w:val="auto"/>
              </w:rPr>
            </w:pPr>
          </w:p>
        </w:tc>
      </w:tr>
      <w:tr>
        <w:trPr>
          <w:trHeight w:val="119"/>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06/15/2020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299,961</w:t>
            </w: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12/15/2020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149,989</w:t>
            </w: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7,838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122,923</w:t>
            </w:r>
          </w:p>
        </w:tc>
        <w:tc>
          <w:tcPr>
            <w:tcW w:w="0" w:type="dxa"/>
            <w:vAlign w:val="bottom"/>
          </w:tcPr>
          <w:p>
            <w:pPr>
              <w:spacing w:after="0"/>
              <w:rPr>
                <w:sz w:val="1"/>
                <w:szCs w:val="1"/>
                <w:color w:val="auto"/>
              </w:rPr>
            </w:pPr>
          </w:p>
        </w:tc>
      </w:tr>
      <w:tr>
        <w:trPr>
          <w:trHeight w:val="97"/>
        </w:trPr>
        <w:tc>
          <w:tcPr>
            <w:tcW w:w="1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6"/>
                <w:szCs w:val="16"/>
                <w:color w:val="auto"/>
              </w:rPr>
              <w:t>Keyna Skeffington</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319,105</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510,568</w:t>
            </w: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2,295</w:t>
            </w:r>
          </w:p>
        </w:tc>
        <w:tc>
          <w:tcPr>
            <w:tcW w:w="80" w:type="dxa"/>
            <w:vAlign w:val="bottom"/>
          </w:tcPr>
          <w:p>
            <w:pPr>
              <w:spacing w:after="0"/>
              <w:rPr>
                <w:sz w:val="20"/>
                <w:szCs w:val="2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112"/>
        </w:trPr>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228,505</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5,737</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6"/>
                <w:szCs w:val="16"/>
                <w:color w:val="auto"/>
              </w:rPr>
              <w:t>15,703</w:t>
            </w:r>
          </w:p>
        </w:tc>
        <w:tc>
          <w:tcPr>
            <w:tcW w:w="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249,960</w:t>
            </w: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Marco Dolci</w:t>
            </w:r>
          </w:p>
        </w:tc>
        <w:tc>
          <w:tcPr>
            <w:tcW w:w="40" w:type="dxa"/>
            <w:vAlign w:val="bottom"/>
            <w:shd w:val="clear" w:color="auto" w:fill="CCEEFF"/>
          </w:tcPr>
          <w:p>
            <w:pPr>
              <w:spacing w:after="0"/>
              <w:rPr>
                <w:sz w:val="20"/>
                <w:szCs w:val="20"/>
                <w:color w:val="auto"/>
              </w:rPr>
            </w:pPr>
          </w:p>
        </w:tc>
        <w:tc>
          <w:tcPr>
            <w:tcW w:w="80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342,114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547,382</w:t>
            </w:r>
          </w:p>
        </w:tc>
        <w:tc>
          <w:tcPr>
            <w:tcW w:w="6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2,295</w:t>
            </w:r>
          </w:p>
        </w:tc>
        <w:tc>
          <w:tcPr>
            <w:tcW w:w="80" w:type="dxa"/>
            <w:vAlign w:val="bottom"/>
            <w:shd w:val="clear" w:color="auto" w:fill="CCEEFF"/>
          </w:tcPr>
          <w:p>
            <w:pPr>
              <w:spacing w:after="0"/>
              <w:rPr>
                <w:sz w:val="20"/>
                <w:szCs w:val="2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119"/>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1,147</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228,505</w:t>
            </w: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5,737</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91"/>
        </w:trPr>
        <w:tc>
          <w:tcPr>
            <w:tcW w:w="1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15,703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249,960</w:t>
            </w:r>
          </w:p>
        </w:tc>
        <w:tc>
          <w:tcPr>
            <w:tcW w:w="0" w:type="dxa"/>
            <w:vAlign w:val="bottom"/>
          </w:tcPr>
          <w:p>
            <w:pPr>
              <w:spacing w:after="0"/>
              <w:rPr>
                <w:sz w:val="1"/>
                <w:szCs w:val="1"/>
                <w:color w:val="auto"/>
              </w:rPr>
            </w:pPr>
          </w:p>
        </w:tc>
      </w:tr>
      <w:tr>
        <w:trPr>
          <w:trHeight w:val="97"/>
        </w:trPr>
        <w:tc>
          <w:tcPr>
            <w:tcW w:w="1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6"/>
                <w:szCs w:val="16"/>
                <w:color w:val="auto"/>
              </w:rPr>
              <w:t>Roy Khoury</w:t>
            </w: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254,343</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406,949</w:t>
            </w: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2,295</w:t>
            </w:r>
          </w:p>
        </w:tc>
        <w:tc>
          <w:tcPr>
            <w:tcW w:w="80" w:type="dxa"/>
            <w:vAlign w:val="bottom"/>
          </w:tcPr>
          <w:p>
            <w:pPr>
              <w:spacing w:after="0"/>
              <w:rPr>
                <w:sz w:val="20"/>
                <w:szCs w:val="2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111"/>
        </w:trPr>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2"/>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5,737</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11,474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228,505</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5,737</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03/30/2020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6"/>
                <w:szCs w:val="16"/>
                <w:color w:val="auto"/>
              </w:rPr>
              <w:t>15,703</w:t>
            </w:r>
          </w:p>
        </w:tc>
        <w:tc>
          <w:tcPr>
            <w:tcW w:w="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89"/>
              </w:rPr>
              <w:t>43.57</w:t>
            </w:r>
          </w:p>
        </w:tc>
        <w:tc>
          <w:tcPr>
            <w:tcW w:w="26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249,960</w:t>
            </w: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-4170045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-4170045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-4170045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-4170045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-4170045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-4170045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-4170045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-4170045</wp:posOffset>
            </wp:positionV>
            <wp:extent cx="254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-4170045</wp:posOffset>
            </wp:positionV>
            <wp:extent cx="25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-4170045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-4170045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-4170045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201295</wp:posOffset>
            </wp:positionV>
            <wp:extent cx="12344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20" w:right="820" w:hanging="360"/>
        <w:spacing w:after="0" w:line="289" w:lineRule="auto"/>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2020.</w:t>
      </w:r>
    </w:p>
    <w:p>
      <w:pPr>
        <w:spacing w:after="0" w:line="31" w:lineRule="exact"/>
        <w:rPr>
          <w:rFonts w:ascii="Arial" w:cs="Arial" w:eastAsia="Arial" w:hAnsi="Arial"/>
          <w:sz w:val="16"/>
          <w:szCs w:val="16"/>
          <w:color w:val="auto"/>
        </w:rPr>
      </w:pPr>
    </w:p>
    <w:p>
      <w:pPr>
        <w:ind w:left="1620" w:right="960" w:hanging="360"/>
        <w:spacing w:after="0" w:line="279"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amounts reported represent the fair value of the PSU awards computed in accordance with FASB ASC Topic 718 on the grant date. LivaNova received a computed Fair Value (Monte Carlo) from an outside source, MTI Consulting, that computed the Fair Value of the LivaNova PLC (LIVN) PSU contracts using the risk-neutral approach (i.e., assuming hedging and selling of the contract).</w:t>
      </w:r>
    </w:p>
    <w:p>
      <w:pPr>
        <w:spacing w:after="0" w:line="3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46" w:name="page47"/>
    <w:bookmarkEnd w:id="4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Outstanding Equity Awards at Year End</w:t>
      </w:r>
    </w:p>
    <w:p>
      <w:pPr>
        <w:spacing w:after="0" w:line="144" w:lineRule="exact"/>
        <w:rPr>
          <w:sz w:val="20"/>
          <w:szCs w:val="20"/>
          <w:color w:val="auto"/>
        </w:rPr>
      </w:pPr>
    </w:p>
    <w:p>
      <w:pPr>
        <w:ind w:left="1260" w:right="1120" w:firstLine="360"/>
        <w:spacing w:after="0" w:line="277" w:lineRule="auto"/>
        <w:rPr>
          <w:sz w:val="20"/>
          <w:szCs w:val="20"/>
          <w:color w:val="auto"/>
        </w:rPr>
      </w:pPr>
      <w:r>
        <w:rPr>
          <w:rFonts w:ascii="Arial" w:cs="Arial" w:eastAsia="Arial" w:hAnsi="Arial"/>
          <w:sz w:val="18"/>
          <w:szCs w:val="18"/>
          <w:color w:val="auto"/>
        </w:rPr>
        <w:t>The following table summarizes the number of ordinary shares of our stock underlying outstanding equity incentive plan awards for each NEO as of December 31, 2020.</w:t>
      </w:r>
    </w:p>
    <w:p>
      <w:pPr>
        <w:sectPr>
          <w:pgSz w:w="11900" w:h="16838" w:orient="portrait"/>
          <w:cols w:equalWidth="0" w:num="1">
            <w:col w:w="10220"/>
          </w:cols>
          <w:pgMar w:left="580" w:top="132" w:right="1099" w:bottom="1440" w:gutter="0" w:footer="0" w:header="0"/>
        </w:sectPr>
      </w:pPr>
    </w:p>
    <w:p>
      <w:pPr>
        <w:spacing w:after="0" w:line="148"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23495</wp:posOffset>
            </wp:positionV>
            <wp:extent cx="2837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or</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Units of</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That</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Have</w:t>
            </w: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Not</w:t>
            </w:r>
          </w:p>
        </w:tc>
      </w:tr>
      <w:tr>
        <w:trPr>
          <w:trHeight w:val="158"/>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Options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Options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3"/>
                <w:szCs w:val="13"/>
                <w:color w:val="auto"/>
              </w:rPr>
            </w:pPr>
          </w:p>
        </w:tc>
        <w:tc>
          <w:tcPr>
            <w:tcW w:w="9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Expiration</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Vested</w:t>
            </w:r>
          </w:p>
        </w:tc>
      </w:tr>
      <w:tr>
        <w:trPr>
          <w:trHeight w:val="216"/>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4"/>
                <w:szCs w:val="14"/>
                <w:b w:val="1"/>
                <w:bCs w:val="1"/>
                <w:color w:val="auto"/>
                <w:w w:val="82"/>
              </w:rPr>
              <w:t xml:space="preserve">Exercisable </w:t>
            </w:r>
            <w:r>
              <w:rPr>
                <w:rFonts w:ascii="Arial" w:cs="Arial" w:eastAsia="Arial" w:hAnsi="Arial"/>
                <w:sz w:val="21"/>
                <w:szCs w:val="21"/>
                <w:b w:val="1"/>
                <w:bCs w:val="1"/>
                <w:color w:val="auto"/>
                <w:w w:val="82"/>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4"/>
                <w:szCs w:val="14"/>
                <w:b w:val="1"/>
                <w:bCs w:val="1"/>
                <w:color w:val="auto"/>
                <w:w w:val="83"/>
              </w:rPr>
              <w:t>Unexercisable</w:t>
            </w:r>
            <w:r>
              <w:rPr>
                <w:rFonts w:ascii="Arial" w:cs="Arial" w:eastAsia="Arial" w:hAnsi="Arial"/>
                <w:sz w:val="21"/>
                <w:szCs w:val="21"/>
                <w:b w:val="1"/>
                <w:bCs w:val="1"/>
                <w:color w:val="auto"/>
                <w:w w:val="83"/>
                <w:vertAlign w:val="superscript"/>
              </w:rPr>
              <w:t>(2)</w:t>
            </w:r>
          </w:p>
        </w:tc>
        <w:tc>
          <w:tcPr>
            <w:tcW w:w="220" w:type="dxa"/>
            <w:vAlign w:val="bottom"/>
            <w:gridSpan w:val="2"/>
          </w:tcPr>
          <w:p>
            <w:pPr>
              <w:spacing w:after="0"/>
              <w:rPr>
                <w:sz w:val="18"/>
                <w:szCs w:val="18"/>
                <w:color w:val="auto"/>
              </w:rPr>
            </w:pPr>
          </w:p>
        </w:tc>
        <w:tc>
          <w:tcPr>
            <w:tcW w:w="4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r>
      <w:tr>
        <w:trPr>
          <w:trHeight w:val="231"/>
        </w:trPr>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Damien McDonald</w:t>
            </w: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130,670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5"/>
          </w:tcPr>
          <w:p>
            <w:pPr>
              <w:jc w:val="center"/>
              <w:ind w:left="159"/>
              <w:spacing w:after="0"/>
              <w:rPr>
                <w:sz w:val="20"/>
                <w:szCs w:val="20"/>
                <w:color w:val="auto"/>
              </w:rPr>
            </w:pPr>
            <w:r>
              <w:rPr>
                <w:rFonts w:ascii="Arial" w:cs="Arial" w:eastAsia="Arial" w:hAnsi="Arial"/>
                <w:sz w:val="16"/>
                <w:szCs w:val="16"/>
                <w:color w:val="auto"/>
                <w:w w:val="89"/>
              </w:rPr>
              <w:t>44.79</w:t>
            </w:r>
          </w:p>
        </w:tc>
        <w:tc>
          <w:tcPr>
            <w:tcW w:w="1120" w:type="dxa"/>
            <w:vAlign w:val="bottom"/>
            <w:gridSpan w:val="3"/>
          </w:tcPr>
          <w:p>
            <w:pPr>
              <w:ind w:left="240"/>
              <w:spacing w:after="0"/>
              <w:rPr>
                <w:sz w:val="20"/>
                <w:szCs w:val="20"/>
                <w:color w:val="auto"/>
              </w:rPr>
            </w:pPr>
            <w:r>
              <w:rPr>
                <w:rFonts w:ascii="Arial" w:cs="Arial" w:eastAsia="Arial" w:hAnsi="Arial"/>
                <w:sz w:val="16"/>
                <w:szCs w:val="16"/>
                <w:color w:val="auto"/>
              </w:rPr>
              <w:t>11/4/2026</w:t>
            </w:r>
          </w:p>
        </w:tc>
        <w:tc>
          <w:tcPr>
            <w:tcW w:w="580" w:type="dxa"/>
            <w:vAlign w:val="bottom"/>
          </w:tcPr>
          <w:p>
            <w:pPr>
              <w:spacing w:after="0"/>
              <w:rPr>
                <w:sz w:val="20"/>
                <w:szCs w:val="20"/>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20,756</w:t>
            </w:r>
          </w:p>
        </w:tc>
        <w:tc>
          <w:tcPr>
            <w:tcW w:w="1160" w:type="dxa"/>
            <w:vAlign w:val="bottom"/>
            <w:gridSpan w:val="5"/>
          </w:tcPr>
          <w:p>
            <w:pPr>
              <w:jc w:val="right"/>
              <w:ind w:right="240"/>
              <w:spacing w:after="0"/>
              <w:rPr>
                <w:sz w:val="20"/>
                <w:szCs w:val="20"/>
                <w:color w:val="auto"/>
              </w:rPr>
            </w:pPr>
            <w:r>
              <w:rPr>
                <w:rFonts w:ascii="Arial" w:cs="Arial" w:eastAsia="Arial" w:hAnsi="Arial"/>
                <w:sz w:val="16"/>
                <w:szCs w:val="16"/>
                <w:color w:val="auto"/>
              </w:rPr>
              <w:t>20,756</w:t>
            </w:r>
          </w:p>
        </w:tc>
        <w:tc>
          <w:tcPr>
            <w:tcW w:w="760" w:type="dxa"/>
            <w:vAlign w:val="bottom"/>
            <w:gridSpan w:val="5"/>
          </w:tcPr>
          <w:p>
            <w:pPr>
              <w:jc w:val="center"/>
              <w:ind w:left="159"/>
              <w:spacing w:after="0"/>
              <w:rPr>
                <w:sz w:val="20"/>
                <w:szCs w:val="20"/>
                <w:color w:val="auto"/>
              </w:rPr>
            </w:pPr>
            <w:r>
              <w:rPr>
                <w:rFonts w:ascii="Arial" w:cs="Arial" w:eastAsia="Arial" w:hAnsi="Arial"/>
                <w:sz w:val="16"/>
                <w:szCs w:val="16"/>
                <w:color w:val="auto"/>
                <w:w w:val="89"/>
              </w:rPr>
              <w:t>88.38</w:t>
            </w:r>
          </w:p>
        </w:tc>
        <w:tc>
          <w:tcPr>
            <w:tcW w:w="1120" w:type="dxa"/>
            <w:vAlign w:val="bottom"/>
            <w:gridSpan w:val="3"/>
          </w:tcPr>
          <w:p>
            <w:pPr>
              <w:ind w:left="240"/>
              <w:spacing w:after="0"/>
              <w:rPr>
                <w:sz w:val="20"/>
                <w:szCs w:val="20"/>
                <w:color w:val="auto"/>
              </w:rPr>
            </w:pPr>
            <w:r>
              <w:rPr>
                <w:rFonts w:ascii="Arial" w:cs="Arial" w:eastAsia="Arial" w:hAnsi="Arial"/>
                <w:sz w:val="16"/>
                <w:szCs w:val="16"/>
                <w:color w:val="auto"/>
              </w:rPr>
              <w:t>3/15/2028</w:t>
            </w:r>
          </w:p>
        </w:tc>
        <w:tc>
          <w:tcPr>
            <w:tcW w:w="58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9,840</w:t>
            </w:r>
          </w:p>
        </w:tc>
        <w:tc>
          <w:tcPr>
            <w:tcW w:w="160" w:type="dxa"/>
            <w:vAlign w:val="bottom"/>
          </w:tcPr>
          <w:p>
            <w:pPr>
              <w:spacing w:after="0"/>
              <w:rPr>
                <w:sz w:val="18"/>
                <w:szCs w:val="18"/>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6"/>
                <w:szCs w:val="16"/>
                <w:color w:val="auto"/>
              </w:rPr>
              <w:t>29,517</w:t>
            </w:r>
          </w:p>
        </w:tc>
        <w:tc>
          <w:tcPr>
            <w:tcW w:w="760" w:type="dxa"/>
            <w:vAlign w:val="bottom"/>
            <w:gridSpan w:val="5"/>
          </w:tcPr>
          <w:p>
            <w:pPr>
              <w:jc w:val="center"/>
              <w:ind w:left="159"/>
              <w:spacing w:after="0"/>
              <w:rPr>
                <w:sz w:val="20"/>
                <w:szCs w:val="20"/>
                <w:color w:val="auto"/>
              </w:rPr>
            </w:pPr>
            <w:r>
              <w:rPr>
                <w:rFonts w:ascii="Arial" w:cs="Arial" w:eastAsia="Arial" w:hAnsi="Arial"/>
                <w:sz w:val="16"/>
                <w:szCs w:val="16"/>
                <w:color w:val="auto"/>
                <w:w w:val="89"/>
              </w:rPr>
              <w:t>97.25</w:t>
            </w:r>
          </w:p>
        </w:tc>
        <w:tc>
          <w:tcPr>
            <w:tcW w:w="1120" w:type="dxa"/>
            <w:vAlign w:val="bottom"/>
            <w:gridSpan w:val="3"/>
          </w:tcPr>
          <w:p>
            <w:pPr>
              <w:ind w:left="240"/>
              <w:spacing w:after="0"/>
              <w:rPr>
                <w:sz w:val="20"/>
                <w:szCs w:val="20"/>
                <w:color w:val="auto"/>
              </w:rPr>
            </w:pPr>
            <w:r>
              <w:rPr>
                <w:rFonts w:ascii="Arial" w:cs="Arial" w:eastAsia="Arial" w:hAnsi="Arial"/>
                <w:sz w:val="16"/>
                <w:szCs w:val="16"/>
                <w:color w:val="auto"/>
              </w:rPr>
              <w:t>3/30/2029</w:t>
            </w:r>
          </w:p>
        </w:tc>
        <w:tc>
          <w:tcPr>
            <w:tcW w:w="58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6"/>
                <w:szCs w:val="16"/>
                <w:color w:val="auto"/>
              </w:rPr>
              <w:t>78,517</w:t>
            </w:r>
          </w:p>
        </w:tc>
        <w:tc>
          <w:tcPr>
            <w:tcW w:w="760" w:type="dxa"/>
            <w:vAlign w:val="bottom"/>
            <w:gridSpan w:val="5"/>
          </w:tcPr>
          <w:p>
            <w:pPr>
              <w:jc w:val="center"/>
              <w:ind w:left="159"/>
              <w:spacing w:after="0"/>
              <w:rPr>
                <w:sz w:val="20"/>
                <w:szCs w:val="20"/>
                <w:color w:val="auto"/>
              </w:rPr>
            </w:pPr>
            <w:r>
              <w:rPr>
                <w:rFonts w:ascii="Arial" w:cs="Arial" w:eastAsia="Arial" w:hAnsi="Arial"/>
                <w:sz w:val="16"/>
                <w:szCs w:val="16"/>
                <w:color w:val="auto"/>
                <w:w w:val="89"/>
              </w:rPr>
              <w:t>43.57</w:t>
            </w:r>
          </w:p>
        </w:tc>
        <w:tc>
          <w:tcPr>
            <w:tcW w:w="1120" w:type="dxa"/>
            <w:vAlign w:val="bottom"/>
            <w:gridSpan w:val="3"/>
          </w:tcPr>
          <w:p>
            <w:pPr>
              <w:ind w:left="240"/>
              <w:spacing w:after="0"/>
              <w:rPr>
                <w:sz w:val="20"/>
                <w:szCs w:val="20"/>
                <w:color w:val="auto"/>
              </w:rPr>
            </w:pPr>
            <w:r>
              <w:rPr>
                <w:rFonts w:ascii="Arial" w:cs="Arial" w:eastAsia="Arial" w:hAnsi="Arial"/>
                <w:sz w:val="16"/>
                <w:szCs w:val="16"/>
                <w:color w:val="auto"/>
              </w:rPr>
              <w:t>3/30/2030</w:t>
            </w:r>
          </w:p>
        </w:tc>
        <w:tc>
          <w:tcPr>
            <w:tcW w:w="58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w w:val="98"/>
              </w:rPr>
              <w:t>13,352</w:t>
            </w: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4,450</w:t>
            </w: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6,364</w:t>
            </w: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9,639</w:t>
            </w:r>
          </w:p>
        </w:tc>
      </w:tr>
      <w:tr>
        <w:trPr>
          <w:trHeight w:val="219"/>
        </w:trPr>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w w:val="98"/>
              </w:rPr>
              <w:t>34,427</w:t>
            </w:r>
          </w:p>
        </w:tc>
      </w:tr>
      <w:tr>
        <w:trPr>
          <w:trHeight w:val="219"/>
        </w:trPr>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32"/>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-2082165</wp:posOffset>
            </wp:positionV>
            <wp:extent cx="5280660" cy="8489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80660" cy="848995"/>
                    </a:xfrm>
                    <a:prstGeom prst="rect">
                      <a:avLst/>
                    </a:prstGeom>
                    <a:noFill/>
                  </pic:spPr>
                </pic:pic>
              </a:graphicData>
            </a:graphic>
          </wp:anchor>
        </w:drawing>
      </w:r>
    </w:p>
    <w:p>
      <w:pPr>
        <w:spacing w:after="0" w:line="11" w:lineRule="exact"/>
        <w:rPr>
          <w:sz w:val="20"/>
          <w:szCs w:val="20"/>
          <w:color w:val="auto"/>
        </w:rPr>
      </w:pPr>
    </w:p>
    <w:tbl>
      <w:tblPr>
        <w:tblLayout w:type="fixed"/>
        <w:tblInd w:w="500" w:type="dxa"/>
        <w:tblCellMar>
          <w:top w:w="0" w:type="dxa"/>
          <w:left w:w="0" w:type="dxa"/>
          <w:bottom w:w="0" w:type="dxa"/>
          <w:right w:w="0" w:type="dxa"/>
        </w:tblCellMar>
      </w:tblPr>
      <w:tr>
        <w:trPr>
          <w:trHeight w:val="202"/>
        </w:trPr>
        <w:tc>
          <w:tcPr>
            <w:tcW w:w="1400" w:type="dxa"/>
            <w:vAlign w:val="bottom"/>
          </w:tcPr>
          <w:p>
            <w:pPr>
              <w:spacing w:after="0"/>
              <w:rPr>
                <w:sz w:val="20"/>
                <w:szCs w:val="20"/>
                <w:color w:val="auto"/>
              </w:rPr>
            </w:pPr>
            <w:r>
              <w:rPr>
                <w:rFonts w:ascii="Arial" w:cs="Arial" w:eastAsia="Arial" w:hAnsi="Arial"/>
                <w:sz w:val="16"/>
                <w:szCs w:val="16"/>
                <w:color w:val="auto"/>
              </w:rPr>
              <w:t>Thad Huston</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6,919</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6,918</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88.38</w:t>
            </w:r>
          </w:p>
        </w:tc>
        <w:tc>
          <w:tcPr>
            <w:tcW w:w="820" w:type="dxa"/>
            <w:vAlign w:val="bottom"/>
          </w:tcPr>
          <w:p>
            <w:pPr>
              <w:jc w:val="right"/>
              <w:spacing w:after="0"/>
              <w:rPr>
                <w:sz w:val="20"/>
                <w:szCs w:val="20"/>
                <w:color w:val="auto"/>
              </w:rPr>
            </w:pPr>
            <w:r>
              <w:rPr>
                <w:rFonts w:ascii="Arial" w:cs="Arial" w:eastAsia="Arial" w:hAnsi="Arial"/>
                <w:sz w:val="16"/>
                <w:szCs w:val="16"/>
                <w:color w:val="auto"/>
              </w:rPr>
              <w:t>3/15/2028</w:t>
            </w:r>
          </w:p>
        </w:tc>
      </w:tr>
      <w:tr>
        <w:trPr>
          <w:trHeight w:val="206"/>
        </w:trPr>
        <w:tc>
          <w:tcPr>
            <w:tcW w:w="140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3,936</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11,807</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97.25</w:t>
            </w:r>
          </w:p>
        </w:tc>
        <w:tc>
          <w:tcPr>
            <w:tcW w:w="820" w:type="dxa"/>
            <w:vAlign w:val="bottom"/>
          </w:tcPr>
          <w:p>
            <w:pPr>
              <w:jc w:val="right"/>
              <w:spacing w:after="0"/>
              <w:rPr>
                <w:sz w:val="20"/>
                <w:szCs w:val="20"/>
                <w:color w:val="auto"/>
              </w:rPr>
            </w:pPr>
            <w:r>
              <w:rPr>
                <w:rFonts w:ascii="Arial" w:cs="Arial" w:eastAsia="Arial" w:hAnsi="Arial"/>
                <w:sz w:val="16"/>
                <w:szCs w:val="16"/>
                <w:color w:val="auto"/>
              </w:rPr>
              <w:t>3/30/2029</w:t>
            </w:r>
          </w:p>
        </w:tc>
      </w:tr>
      <w:tr>
        <w:trPr>
          <w:trHeight w:val="216"/>
        </w:trPr>
        <w:tc>
          <w:tcPr>
            <w:tcW w:w="1400" w:type="dxa"/>
            <w:vAlign w:val="bottom"/>
          </w:tcPr>
          <w:p>
            <w:pPr>
              <w:spacing w:after="0"/>
              <w:rPr>
                <w:sz w:val="18"/>
                <w:szCs w:val="18"/>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31,407</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43.57</w:t>
            </w:r>
          </w:p>
        </w:tc>
        <w:tc>
          <w:tcPr>
            <w:tcW w:w="820" w:type="dxa"/>
            <w:vAlign w:val="bottom"/>
          </w:tcPr>
          <w:p>
            <w:pPr>
              <w:jc w:val="right"/>
              <w:spacing w:after="0"/>
              <w:rPr>
                <w:sz w:val="20"/>
                <w:szCs w:val="20"/>
                <w:color w:val="auto"/>
              </w:rPr>
            </w:pPr>
            <w:r>
              <w:rPr>
                <w:rFonts w:ascii="Arial" w:cs="Arial" w:eastAsia="Arial" w:hAnsi="Arial"/>
                <w:sz w:val="16"/>
                <w:szCs w:val="16"/>
                <w:color w:val="auto"/>
              </w:rPr>
              <w:t>3/30/2030</w:t>
            </w:r>
          </w:p>
        </w:tc>
      </w:tr>
    </w:tbl>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1,594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4,783</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9,906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2,121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3,855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11,475</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93"/>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186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35" w:lineRule="exact"/>
        <w:rPr>
          <w:sz w:val="20"/>
          <w:szCs w:val="20"/>
          <w:color w:val="auto"/>
        </w:rPr>
      </w:pPr>
    </w:p>
    <w:tbl>
      <w:tblPr>
        <w:tblLayout w:type="fixed"/>
        <w:tblInd w:w="373"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Incentive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62"/>
        </w:trPr>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Market</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Plan 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960" w:type="dxa"/>
            <w:vAlign w:val="bottom"/>
            <w:gridSpan w:val="2"/>
            <w:vMerge w:val="continue"/>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Unearned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Shares or</w:t>
            </w: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Units 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Units of</w:t>
            </w: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Rights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That</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That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Have</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Have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58"/>
        </w:trPr>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Not</w:t>
            </w:r>
          </w:p>
        </w:tc>
        <w:tc>
          <w:tcPr>
            <w:tcW w:w="14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4"/>
              </w:rPr>
              <w:t>Not</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216"/>
        </w:trPr>
        <w:tc>
          <w:tcPr>
            <w:tcW w:w="7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(4)</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Vested</w:t>
            </w:r>
          </w:p>
        </w:tc>
        <w:tc>
          <w:tcPr>
            <w:tcW w:w="60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3" w:hanging="490"/>
        <w:spacing w:after="0"/>
        <w:tabs>
          <w:tab w:leader="none" w:pos="553" w:val="left"/>
        </w:tabs>
        <w:numPr>
          <w:ilvl w:val="0"/>
          <w:numId w:val="55"/>
        </w:numPr>
        <w:rPr>
          <w:rFonts w:ascii="Arial" w:cs="Arial" w:eastAsia="Arial" w:hAnsi="Arial"/>
          <w:sz w:val="25"/>
          <w:szCs w:val="25"/>
          <w:color w:val="auto"/>
          <w:vertAlign w:val="superscript"/>
        </w:rPr>
      </w:pPr>
      <w:r>
        <w:rPr>
          <w:rFonts w:ascii="Arial" w:cs="Arial" w:eastAsia="Arial" w:hAnsi="Arial"/>
          <w:sz w:val="16"/>
          <w:szCs w:val="16"/>
          <w:color w:val="auto"/>
        </w:rPr>
        <w:t>884,036</w:t>
      </w:r>
    </w:p>
    <w:p>
      <w:pPr>
        <w:spacing w:after="0" w:line="23" w:lineRule="exact"/>
        <w:rPr>
          <w:rFonts w:ascii="Arial" w:cs="Arial" w:eastAsia="Arial" w:hAnsi="Arial"/>
          <w:sz w:val="25"/>
          <w:szCs w:val="25"/>
          <w:color w:val="auto"/>
          <w:vertAlign w:val="superscript"/>
        </w:rPr>
      </w:pPr>
    </w:p>
    <w:p>
      <w:pPr>
        <w:ind w:left="553" w:hanging="490"/>
        <w:spacing w:after="0" w:line="182" w:lineRule="auto"/>
        <w:tabs>
          <w:tab w:leader="none" w:pos="553"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294,635</w:t>
      </w:r>
    </w:p>
    <w:p>
      <w:pPr>
        <w:spacing w:after="0" w:line="24" w:lineRule="exact"/>
        <w:rPr>
          <w:rFonts w:ascii="Arial" w:cs="Arial" w:eastAsia="Arial" w:hAnsi="Arial"/>
          <w:sz w:val="22"/>
          <w:szCs w:val="22"/>
          <w:color w:val="auto"/>
          <w:vertAlign w:val="superscript"/>
        </w:rPr>
      </w:pPr>
    </w:p>
    <w:p>
      <w:pPr>
        <w:ind w:left="553" w:hanging="490"/>
        <w:spacing w:after="0" w:line="182" w:lineRule="auto"/>
        <w:tabs>
          <w:tab w:leader="none" w:pos="553"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421,360</w:t>
      </w:r>
    </w:p>
    <w:p>
      <w:pPr>
        <w:spacing w:after="0" w:line="24" w:lineRule="exact"/>
        <w:rPr>
          <w:rFonts w:ascii="Arial" w:cs="Arial" w:eastAsia="Arial" w:hAnsi="Arial"/>
          <w:sz w:val="22"/>
          <w:szCs w:val="22"/>
          <w:color w:val="auto"/>
          <w:vertAlign w:val="superscript"/>
        </w:rPr>
      </w:pPr>
    </w:p>
    <w:p>
      <w:pPr>
        <w:ind w:left="553" w:hanging="490"/>
        <w:spacing w:after="0" w:line="182" w:lineRule="auto"/>
        <w:tabs>
          <w:tab w:leader="none" w:pos="553"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638,198</w:t>
      </w:r>
    </w:p>
    <w:p>
      <w:pPr>
        <w:spacing w:after="0" w:line="24" w:lineRule="exact"/>
        <w:rPr>
          <w:rFonts w:ascii="Arial" w:cs="Arial" w:eastAsia="Arial" w:hAnsi="Arial"/>
          <w:sz w:val="22"/>
          <w:szCs w:val="22"/>
          <w:color w:val="auto"/>
          <w:vertAlign w:val="superscript"/>
        </w:rPr>
      </w:pPr>
    </w:p>
    <w:p>
      <w:pPr>
        <w:ind w:left="433" w:hanging="370"/>
        <w:spacing w:after="0" w:line="183" w:lineRule="auto"/>
        <w:tabs>
          <w:tab w:leader="none" w:pos="433"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2,279,412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-390525</wp:posOffset>
            </wp:positionV>
            <wp:extent cx="4491990"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91990" cy="411480"/>
                    </a:xfrm>
                    <a:prstGeom prst="rect">
                      <a:avLst/>
                    </a:prstGeom>
                    <a:noFill/>
                  </pic:spPr>
                </pic:pic>
              </a:graphicData>
            </a:graphic>
          </wp:anchor>
        </w:drawing>
      </w:r>
    </w:p>
    <w:tbl>
      <w:tblPr>
        <w:tblLayout w:type="fixed"/>
        <w:tblInd w:w="1513" w:type="dxa"/>
        <w:tblCellMar>
          <w:top w:w="0" w:type="dxa"/>
          <w:left w:w="0" w:type="dxa"/>
          <w:bottom w:w="0" w:type="dxa"/>
          <w:right w:w="0" w:type="dxa"/>
        </w:tblCellMar>
      </w:tblPr>
      <w:tr>
        <w:trPr>
          <w:trHeight w:val="160"/>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12,729</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842,787</w:t>
            </w: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(11)</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12,729</w:t>
            </w:r>
          </w:p>
        </w:tc>
        <w:tc>
          <w:tcPr>
            <w:tcW w:w="500" w:type="dxa"/>
            <w:vAlign w:val="bottom"/>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842,787</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(12)</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15,424</w:t>
            </w:r>
          </w:p>
        </w:tc>
        <w:tc>
          <w:tcPr>
            <w:tcW w:w="500" w:type="dxa"/>
            <w:vAlign w:val="bottom"/>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1,021,223</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(13)</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15,424</w:t>
            </w:r>
          </w:p>
        </w:tc>
        <w:tc>
          <w:tcPr>
            <w:tcW w:w="500" w:type="dxa"/>
            <w:vAlign w:val="bottom"/>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1,021,223</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(14)</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34,427</w:t>
            </w:r>
          </w:p>
        </w:tc>
        <w:tc>
          <w:tcPr>
            <w:tcW w:w="500" w:type="dxa"/>
            <w:vAlign w:val="bottom"/>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2,279,412</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(15)</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34,427</w:t>
            </w:r>
          </w:p>
        </w:tc>
        <w:tc>
          <w:tcPr>
            <w:tcW w:w="500" w:type="dxa"/>
            <w:vAlign w:val="bottom"/>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2,279,412</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-818515</wp:posOffset>
            </wp:positionV>
            <wp:extent cx="3883025" cy="822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83025" cy="82296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553" w:hanging="553"/>
        <w:spacing w:after="0"/>
        <w:tabs>
          <w:tab w:leader="none" w:pos="553"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105,539</w:t>
      </w:r>
    </w:p>
    <w:p>
      <w:pPr>
        <w:ind w:left="553" w:hanging="553"/>
        <w:spacing w:after="0" w:line="180" w:lineRule="auto"/>
        <w:tabs>
          <w:tab w:leader="none" w:pos="553"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316,682</w:t>
      </w:r>
    </w:p>
    <w:p>
      <w:pPr>
        <w:ind w:left="553" w:hanging="553"/>
        <w:spacing w:after="0" w:line="180" w:lineRule="auto"/>
        <w:tabs>
          <w:tab w:leader="none" w:pos="553"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655,876</w:t>
      </w:r>
    </w:p>
    <w:p>
      <w:pPr>
        <w:ind w:left="553" w:hanging="490"/>
        <w:spacing w:after="0" w:line="201" w:lineRule="auto"/>
        <w:tabs>
          <w:tab w:leader="none" w:pos="553" w:val="left"/>
        </w:tabs>
        <w:numPr>
          <w:ilvl w:val="0"/>
          <w:numId w:val="57"/>
        </w:numPr>
        <w:rPr>
          <w:rFonts w:ascii="Arial" w:cs="Arial" w:eastAsia="Arial" w:hAnsi="Arial"/>
          <w:sz w:val="25"/>
          <w:szCs w:val="25"/>
          <w:color w:val="auto"/>
          <w:vertAlign w:val="superscript"/>
        </w:rPr>
      </w:pPr>
      <w:r>
        <w:rPr>
          <w:rFonts w:ascii="Arial" w:cs="Arial" w:eastAsia="Arial" w:hAnsi="Arial"/>
          <w:sz w:val="16"/>
          <w:szCs w:val="16"/>
          <w:color w:val="auto"/>
        </w:rPr>
        <w:t>140,431</w:t>
      </w:r>
    </w:p>
    <w:p>
      <w:pPr>
        <w:spacing w:after="0" w:line="24" w:lineRule="exact"/>
        <w:rPr>
          <w:rFonts w:ascii="Arial" w:cs="Arial" w:eastAsia="Arial" w:hAnsi="Arial"/>
          <w:sz w:val="25"/>
          <w:szCs w:val="25"/>
          <w:color w:val="auto"/>
          <w:vertAlign w:val="superscript"/>
        </w:rPr>
      </w:pPr>
    </w:p>
    <w:p>
      <w:pPr>
        <w:ind w:left="553" w:hanging="490"/>
        <w:spacing w:after="0" w:line="182" w:lineRule="auto"/>
        <w:tabs>
          <w:tab w:leader="none" w:pos="553"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255,240</w:t>
      </w:r>
    </w:p>
    <w:p>
      <w:pPr>
        <w:spacing w:after="0" w:line="24" w:lineRule="exact"/>
        <w:rPr>
          <w:rFonts w:ascii="Arial" w:cs="Arial" w:eastAsia="Arial" w:hAnsi="Arial"/>
          <w:sz w:val="22"/>
          <w:szCs w:val="22"/>
          <w:color w:val="auto"/>
          <w:vertAlign w:val="superscript"/>
        </w:rPr>
      </w:pPr>
    </w:p>
    <w:p>
      <w:pPr>
        <w:ind w:left="553" w:hanging="490"/>
        <w:spacing w:after="0" w:line="183" w:lineRule="auto"/>
        <w:tabs>
          <w:tab w:leader="none" w:pos="553"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759,760</w:t>
      </w:r>
    </w:p>
    <w:p>
      <w:pPr>
        <w:jc w:val="both"/>
        <w:ind w:left="1593"/>
        <w:spacing w:after="0"/>
        <w:tabs>
          <w:tab w:leader="none" w:pos="2352" w:val="left"/>
          <w:tab w:leader="none" w:pos="2872" w:val="left"/>
        </w:tabs>
        <w:rPr>
          <w:sz w:val="20"/>
          <w:szCs w:val="20"/>
          <w:color w:val="auto"/>
        </w:rPr>
      </w:pPr>
      <w:r>
        <w:rPr>
          <w:rFonts w:ascii="Arial" w:cs="Arial" w:eastAsia="Arial" w:hAnsi="Arial"/>
          <w:sz w:val="16"/>
          <w:szCs w:val="16"/>
          <w:color w:val="auto"/>
        </w:rPr>
        <w:t>4,243</w:t>
      </w:r>
      <w:r>
        <w:rPr>
          <w:sz w:val="20"/>
          <w:szCs w:val="20"/>
          <w:color w:val="auto"/>
        </w:rPr>
        <w:tab/>
      </w:r>
      <w:r>
        <w:rPr>
          <w:rFonts w:ascii="Arial" w:cs="Arial" w:eastAsia="Arial" w:hAnsi="Arial"/>
          <w:sz w:val="25"/>
          <w:szCs w:val="25"/>
          <w:color w:val="auto"/>
          <w:vertAlign w:val="superscript"/>
        </w:rPr>
        <w:t>(10)</w:t>
      </w:r>
      <w:r>
        <w:rPr>
          <w:sz w:val="20"/>
          <w:szCs w:val="20"/>
          <w:color w:val="auto"/>
        </w:rPr>
        <w:tab/>
      </w:r>
      <w:r>
        <w:rPr>
          <w:rFonts w:ascii="Arial" w:cs="Arial" w:eastAsia="Arial" w:hAnsi="Arial"/>
          <w:sz w:val="14"/>
          <w:szCs w:val="14"/>
          <w:color w:val="auto"/>
        </w:rPr>
        <w:t>280,929</w:t>
      </w:r>
    </w:p>
    <w:p>
      <w:pPr>
        <w:jc w:val="both"/>
        <w:ind w:left="1593"/>
        <w:spacing w:after="0"/>
        <w:tabs>
          <w:tab w:leader="none" w:pos="2352" w:val="left"/>
          <w:tab w:leader="none" w:pos="2872" w:val="left"/>
        </w:tabs>
        <w:rPr>
          <w:sz w:val="20"/>
          <w:szCs w:val="20"/>
          <w:color w:val="auto"/>
        </w:rPr>
      </w:pPr>
      <w:r>
        <w:rPr>
          <w:rFonts w:ascii="Arial" w:cs="Arial" w:eastAsia="Arial" w:hAnsi="Arial"/>
          <w:sz w:val="16"/>
          <w:szCs w:val="16"/>
          <w:color w:val="auto"/>
        </w:rPr>
        <w:t>4,243</w:t>
      </w:r>
      <w:r>
        <w:rPr>
          <w:sz w:val="20"/>
          <w:szCs w:val="20"/>
          <w:color w:val="auto"/>
        </w:rPr>
        <w:tab/>
      </w:r>
      <w:r>
        <w:rPr>
          <w:rFonts w:ascii="Arial" w:cs="Arial" w:eastAsia="Arial" w:hAnsi="Arial"/>
          <w:sz w:val="25"/>
          <w:szCs w:val="25"/>
          <w:color w:val="auto"/>
          <w:vertAlign w:val="superscript"/>
        </w:rPr>
        <w:t>(11)</w:t>
      </w:r>
      <w:r>
        <w:rPr>
          <w:sz w:val="20"/>
          <w:szCs w:val="20"/>
          <w:color w:val="auto"/>
        </w:rPr>
        <w:tab/>
      </w:r>
      <w:r>
        <w:rPr>
          <w:rFonts w:ascii="Arial" w:cs="Arial" w:eastAsia="Arial" w:hAnsi="Arial"/>
          <w:sz w:val="14"/>
          <w:szCs w:val="14"/>
          <w:color w:val="auto"/>
        </w:rPr>
        <w:t>280,929</w:t>
      </w:r>
    </w:p>
    <w:p>
      <w:pPr>
        <w:jc w:val="both"/>
        <w:ind w:left="1593"/>
        <w:spacing w:after="0"/>
        <w:tabs>
          <w:tab w:leader="none" w:pos="2352" w:val="left"/>
          <w:tab w:leader="none" w:pos="2872" w:val="left"/>
        </w:tabs>
        <w:rPr>
          <w:sz w:val="20"/>
          <w:szCs w:val="20"/>
          <w:color w:val="auto"/>
        </w:rPr>
      </w:pPr>
      <w:r>
        <w:rPr>
          <w:rFonts w:ascii="Arial" w:cs="Arial" w:eastAsia="Arial" w:hAnsi="Arial"/>
          <w:sz w:val="16"/>
          <w:szCs w:val="16"/>
          <w:color w:val="auto"/>
        </w:rPr>
        <w:t>5,141</w:t>
      </w:r>
      <w:r>
        <w:rPr>
          <w:sz w:val="20"/>
          <w:szCs w:val="20"/>
          <w:color w:val="auto"/>
        </w:rPr>
        <w:tab/>
      </w:r>
      <w:r>
        <w:rPr>
          <w:rFonts w:ascii="Arial" w:cs="Arial" w:eastAsia="Arial" w:hAnsi="Arial"/>
          <w:sz w:val="25"/>
          <w:szCs w:val="25"/>
          <w:color w:val="auto"/>
          <w:vertAlign w:val="superscript"/>
        </w:rPr>
        <w:t>(12)</w:t>
      </w:r>
      <w:r>
        <w:rPr>
          <w:sz w:val="20"/>
          <w:szCs w:val="20"/>
          <w:color w:val="auto"/>
        </w:rPr>
        <w:tab/>
      </w:r>
      <w:r>
        <w:rPr>
          <w:rFonts w:ascii="Arial" w:cs="Arial" w:eastAsia="Arial" w:hAnsi="Arial"/>
          <w:sz w:val="14"/>
          <w:szCs w:val="14"/>
          <w:color w:val="auto"/>
        </w:rPr>
        <w:t>340,386</w:t>
      </w:r>
    </w:p>
    <w:p>
      <w:pPr>
        <w:jc w:val="both"/>
        <w:ind w:left="1593"/>
        <w:spacing w:after="0"/>
        <w:tabs>
          <w:tab w:leader="none" w:pos="2352" w:val="left"/>
          <w:tab w:leader="none" w:pos="2872" w:val="left"/>
        </w:tabs>
        <w:rPr>
          <w:sz w:val="20"/>
          <w:szCs w:val="20"/>
          <w:color w:val="auto"/>
        </w:rPr>
      </w:pPr>
      <w:r>
        <w:rPr>
          <w:rFonts w:ascii="Arial" w:cs="Arial" w:eastAsia="Arial" w:hAnsi="Arial"/>
          <w:sz w:val="16"/>
          <w:szCs w:val="16"/>
          <w:color w:val="auto"/>
        </w:rPr>
        <w:t>5,141</w:t>
      </w:r>
      <w:r>
        <w:rPr>
          <w:sz w:val="20"/>
          <w:szCs w:val="20"/>
          <w:color w:val="auto"/>
        </w:rPr>
        <w:tab/>
      </w:r>
      <w:r>
        <w:rPr>
          <w:rFonts w:ascii="Arial" w:cs="Arial" w:eastAsia="Arial" w:hAnsi="Arial"/>
          <w:sz w:val="25"/>
          <w:szCs w:val="25"/>
          <w:color w:val="auto"/>
          <w:vertAlign w:val="superscript"/>
        </w:rPr>
        <w:t>(13)</w:t>
      </w:r>
      <w:r>
        <w:rPr>
          <w:sz w:val="20"/>
          <w:szCs w:val="20"/>
          <w:color w:val="auto"/>
        </w:rPr>
        <w:tab/>
      </w:r>
      <w:r>
        <w:rPr>
          <w:rFonts w:ascii="Arial" w:cs="Arial" w:eastAsia="Arial" w:hAnsi="Arial"/>
          <w:sz w:val="14"/>
          <w:szCs w:val="14"/>
          <w:color w:val="auto"/>
        </w:rPr>
        <w:t>340,386</w:t>
      </w:r>
    </w:p>
    <w:p>
      <w:pPr>
        <w:jc w:val="both"/>
        <w:ind w:left="1533"/>
        <w:spacing w:after="0"/>
        <w:tabs>
          <w:tab w:leader="none" w:pos="2352" w:val="left"/>
          <w:tab w:leader="none" w:pos="2872" w:val="left"/>
        </w:tabs>
        <w:rPr>
          <w:sz w:val="20"/>
          <w:szCs w:val="20"/>
          <w:color w:val="auto"/>
        </w:rPr>
      </w:pPr>
      <w:r>
        <w:rPr>
          <w:rFonts w:ascii="Arial" w:cs="Arial" w:eastAsia="Arial" w:hAnsi="Arial"/>
          <w:sz w:val="16"/>
          <w:szCs w:val="16"/>
          <w:color w:val="auto"/>
        </w:rPr>
        <w:t>11,475</w:t>
      </w:r>
      <w:r>
        <w:rPr>
          <w:sz w:val="20"/>
          <w:szCs w:val="20"/>
          <w:color w:val="auto"/>
        </w:rPr>
        <w:tab/>
      </w:r>
      <w:r>
        <w:rPr>
          <w:rFonts w:ascii="Arial" w:cs="Arial" w:eastAsia="Arial" w:hAnsi="Arial"/>
          <w:sz w:val="25"/>
          <w:szCs w:val="25"/>
          <w:color w:val="auto"/>
          <w:vertAlign w:val="superscript"/>
        </w:rPr>
        <w:t>(14)</w:t>
      </w:r>
      <w:r>
        <w:rPr>
          <w:sz w:val="20"/>
          <w:szCs w:val="20"/>
          <w:color w:val="auto"/>
        </w:rPr>
        <w:tab/>
      </w:r>
      <w:r>
        <w:rPr>
          <w:rFonts w:ascii="Arial" w:cs="Arial" w:eastAsia="Arial" w:hAnsi="Arial"/>
          <w:sz w:val="14"/>
          <w:szCs w:val="14"/>
          <w:color w:val="auto"/>
        </w:rPr>
        <w:t>759,760</w:t>
      </w:r>
    </w:p>
    <w:p>
      <w:pPr>
        <w:jc w:val="both"/>
        <w:ind w:left="1533"/>
        <w:spacing w:after="0"/>
        <w:tabs>
          <w:tab w:leader="none" w:pos="2352" w:val="left"/>
          <w:tab w:leader="none" w:pos="2872" w:val="left"/>
        </w:tabs>
        <w:rPr>
          <w:sz w:val="20"/>
          <w:szCs w:val="20"/>
          <w:color w:val="auto"/>
        </w:rPr>
      </w:pPr>
      <w:r>
        <w:rPr>
          <w:rFonts w:ascii="Arial" w:cs="Arial" w:eastAsia="Arial" w:hAnsi="Arial"/>
          <w:sz w:val="16"/>
          <w:szCs w:val="16"/>
          <w:color w:val="auto"/>
        </w:rPr>
        <w:t>11,475</w:t>
      </w:r>
      <w:r>
        <w:rPr>
          <w:sz w:val="20"/>
          <w:szCs w:val="20"/>
          <w:color w:val="auto"/>
        </w:rPr>
        <w:tab/>
      </w:r>
      <w:r>
        <w:rPr>
          <w:rFonts w:ascii="Arial" w:cs="Arial" w:eastAsia="Arial" w:hAnsi="Arial"/>
          <w:sz w:val="25"/>
          <w:szCs w:val="25"/>
          <w:color w:val="auto"/>
          <w:vertAlign w:val="superscript"/>
        </w:rPr>
        <w:t>(15)</w:t>
      </w:r>
      <w:r>
        <w:rPr>
          <w:sz w:val="20"/>
          <w:szCs w:val="20"/>
          <w:color w:val="auto"/>
        </w:rPr>
        <w:tab/>
      </w:r>
      <w:r>
        <w:rPr>
          <w:rFonts w:ascii="Arial" w:cs="Arial" w:eastAsia="Arial" w:hAnsi="Arial"/>
          <w:sz w:val="14"/>
          <w:szCs w:val="14"/>
          <w:color w:val="auto"/>
        </w:rPr>
        <w:t>759,760</w:t>
      </w:r>
    </w:p>
    <w:p>
      <w:pPr>
        <w:spacing w:after="0" w:line="200" w:lineRule="exact"/>
        <w:rPr>
          <w:sz w:val="20"/>
          <w:szCs w:val="20"/>
          <w:color w:val="auto"/>
        </w:rPr>
      </w:pPr>
    </w:p>
    <w:p>
      <w:pPr>
        <w:sectPr>
          <w:pgSz w:w="11900" w:h="16838" w:orient="portrait"/>
          <w:cols w:equalWidth="0" w:num="2">
            <w:col w:w="6560" w:space="247"/>
            <w:col w:w="3413"/>
          </w:cols>
          <w:pgMar w:left="580" w:top="132"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8"/>
              </w:rPr>
              <w:t>Stock Awards</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Equity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Incentive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Plan Awards: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Unearned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Shares or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Shares,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Units of</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Units 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Other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That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Rights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Underlying</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Have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That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Unexercised</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Unexercised</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Not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Have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58"/>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Options (#)</w:t>
            </w: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Expiration</w:t>
            </w:r>
          </w:p>
        </w:tc>
        <w:tc>
          <w:tcPr>
            <w:tcW w:w="120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3"/>
                <w:szCs w:val="13"/>
                <w:color w:val="auto"/>
              </w:rPr>
            </w:pPr>
          </w:p>
        </w:tc>
        <w:tc>
          <w:tcPr>
            <w:tcW w:w="14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4"/>
              </w:rPr>
              <w:t>Not</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8"/>
                <w:szCs w:val="18"/>
                <w:color w:val="auto"/>
              </w:rPr>
            </w:pPr>
          </w:p>
        </w:tc>
        <w:tc>
          <w:tcPr>
            <w:tcW w:w="84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4"/>
              </w:rPr>
              <w:t xml:space="preserve">Exercisable </w:t>
            </w:r>
            <w:r>
              <w:rPr>
                <w:rFonts w:ascii="Arial" w:cs="Arial" w:eastAsia="Arial" w:hAnsi="Arial"/>
                <w:sz w:val="21"/>
                <w:szCs w:val="21"/>
                <w:b w:val="1"/>
                <w:bCs w:val="1"/>
                <w:color w:val="auto"/>
                <w:w w:val="84"/>
                <w:vertAlign w:val="superscript"/>
              </w:rPr>
              <w:t>(1)</w:t>
            </w:r>
          </w:p>
        </w:tc>
        <w:tc>
          <w:tcPr>
            <w:tcW w:w="180" w:type="dxa"/>
            <w:vAlign w:val="bottom"/>
          </w:tcPr>
          <w:p>
            <w:pPr>
              <w:spacing w:after="0"/>
              <w:rPr>
                <w:sz w:val="18"/>
                <w:szCs w:val="18"/>
                <w:color w:val="auto"/>
              </w:rPr>
            </w:pPr>
          </w:p>
        </w:tc>
        <w:tc>
          <w:tcPr>
            <w:tcW w:w="1160" w:type="dxa"/>
            <w:vAlign w:val="bottom"/>
            <w:gridSpan w:val="2"/>
          </w:tcPr>
          <w:p>
            <w:pPr>
              <w:jc w:val="center"/>
              <w:ind w:right="180"/>
              <w:spacing w:after="0" w:line="216" w:lineRule="exact"/>
              <w:rPr>
                <w:sz w:val="20"/>
                <w:szCs w:val="20"/>
                <w:color w:val="auto"/>
              </w:rPr>
            </w:pPr>
            <w:r>
              <w:rPr>
                <w:rFonts w:ascii="Arial" w:cs="Arial" w:eastAsia="Arial" w:hAnsi="Arial"/>
                <w:sz w:val="14"/>
                <w:szCs w:val="14"/>
                <w:b w:val="1"/>
                <w:bCs w:val="1"/>
                <w:color w:val="auto"/>
                <w:w w:val="83"/>
              </w:rPr>
              <w:t>Unexercisable</w:t>
            </w:r>
            <w:r>
              <w:rPr>
                <w:rFonts w:ascii="Arial" w:cs="Arial" w:eastAsia="Arial" w:hAnsi="Arial"/>
                <w:sz w:val="21"/>
                <w:szCs w:val="21"/>
                <w:b w:val="1"/>
                <w:bCs w:val="1"/>
                <w:color w:val="auto"/>
                <w:w w:val="83"/>
                <w:vertAlign w:val="superscript"/>
              </w:rPr>
              <w:t>(2)</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center"/>
              <w:ind w:right="60"/>
              <w:spacing w:after="0" w:line="216"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(4)</w:t>
            </w:r>
          </w:p>
        </w:tc>
        <w:tc>
          <w:tcPr>
            <w:tcW w:w="1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Vested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13970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80455" cy="1397000"/>
                    </a:xfrm>
                    <a:prstGeom prst="rect">
                      <a:avLst/>
                    </a:prstGeom>
                    <a:noFill/>
                  </pic:spPr>
                </pic:pic>
              </a:graphicData>
            </a:graphic>
          </wp:anchor>
        </w:drawing>
      </w:r>
    </w:p>
    <w:p>
      <w:pPr>
        <w:spacing w:after="0" w:line="11"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1600" w:type="dxa"/>
            <w:vAlign w:val="bottom"/>
          </w:tcPr>
          <w:p>
            <w:pPr>
              <w:spacing w:after="0"/>
              <w:rPr>
                <w:sz w:val="20"/>
                <w:szCs w:val="20"/>
                <w:color w:val="auto"/>
              </w:rPr>
            </w:pPr>
            <w:r>
              <w:rPr>
                <w:rFonts w:ascii="Arial" w:cs="Arial" w:eastAsia="Arial" w:hAnsi="Arial"/>
                <w:sz w:val="16"/>
                <w:szCs w:val="16"/>
                <w:color w:val="auto"/>
              </w:rPr>
              <w:t>Alex Shvartsburg</w:t>
            </w:r>
          </w:p>
        </w:tc>
        <w:tc>
          <w:tcPr>
            <w:tcW w:w="1000" w:type="dxa"/>
            <w:vAlign w:val="bottom"/>
            <w:gridSpan w:val="2"/>
          </w:tcPr>
          <w:p>
            <w:pPr>
              <w:jc w:val="right"/>
              <w:ind w:right="279"/>
              <w:spacing w:after="0"/>
              <w:rPr>
                <w:sz w:val="20"/>
                <w:szCs w:val="20"/>
                <w:color w:val="auto"/>
              </w:rPr>
            </w:pPr>
            <w:r>
              <w:rPr>
                <w:rFonts w:ascii="Arial" w:cs="Arial" w:eastAsia="Arial" w:hAnsi="Arial"/>
                <w:sz w:val="16"/>
                <w:szCs w:val="16"/>
                <w:color w:val="auto"/>
              </w:rPr>
              <w:t>4,375</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1,458</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80.26</w:t>
            </w:r>
          </w:p>
        </w:tc>
        <w:tc>
          <w:tcPr>
            <w:tcW w:w="5320" w:type="dxa"/>
            <w:vAlign w:val="bottom"/>
          </w:tcPr>
          <w:p>
            <w:pPr>
              <w:jc w:val="right"/>
              <w:ind w:right="4339"/>
              <w:spacing w:after="0"/>
              <w:rPr>
                <w:sz w:val="20"/>
                <w:szCs w:val="20"/>
                <w:color w:val="auto"/>
              </w:rPr>
            </w:pPr>
            <w:r>
              <w:rPr>
                <w:rFonts w:ascii="Arial" w:cs="Arial" w:eastAsia="Arial" w:hAnsi="Arial"/>
                <w:sz w:val="16"/>
                <w:szCs w:val="16"/>
                <w:color w:val="auto"/>
              </w:rPr>
              <w:t>12/15/2027</w:t>
            </w:r>
          </w:p>
        </w:tc>
      </w:tr>
      <w:tr>
        <w:trPr>
          <w:trHeight w:val="219"/>
        </w:trPr>
        <w:tc>
          <w:tcPr>
            <w:tcW w:w="1600" w:type="dxa"/>
            <w:vAlign w:val="bottom"/>
          </w:tcPr>
          <w:p>
            <w:pPr>
              <w:spacing w:after="0"/>
              <w:rPr>
                <w:sz w:val="19"/>
                <w:szCs w:val="19"/>
                <w:color w:val="auto"/>
              </w:rPr>
            </w:pPr>
          </w:p>
        </w:tc>
        <w:tc>
          <w:tcPr>
            <w:tcW w:w="100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2,538</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2,538</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88.38</w:t>
            </w:r>
          </w:p>
        </w:tc>
        <w:tc>
          <w:tcPr>
            <w:tcW w:w="5320" w:type="dxa"/>
            <w:vAlign w:val="bottom"/>
            <w:shd w:val="clear" w:color="auto" w:fill="CCEEFF"/>
          </w:tcPr>
          <w:p>
            <w:pPr>
              <w:jc w:val="right"/>
              <w:ind w:right="4339"/>
              <w:spacing w:after="0"/>
              <w:rPr>
                <w:sz w:val="20"/>
                <w:szCs w:val="20"/>
                <w:color w:val="auto"/>
              </w:rPr>
            </w:pPr>
            <w:r>
              <w:rPr>
                <w:rFonts w:ascii="Arial" w:cs="Arial" w:eastAsia="Arial" w:hAnsi="Arial"/>
                <w:sz w:val="16"/>
                <w:szCs w:val="16"/>
                <w:color w:val="auto"/>
              </w:rPr>
              <w:t>3/15/2028</w:t>
            </w: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1,219</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3,655</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97.25</w:t>
            </w:r>
          </w:p>
        </w:tc>
        <w:tc>
          <w:tcPr>
            <w:tcW w:w="5320" w:type="dxa"/>
            <w:vAlign w:val="bottom"/>
            <w:shd w:val="clear" w:color="auto" w:fill="CCEEFF"/>
          </w:tcPr>
          <w:p>
            <w:pPr>
              <w:jc w:val="right"/>
              <w:ind w:right="4339"/>
              <w:spacing w:after="0"/>
              <w:rPr>
                <w:sz w:val="20"/>
                <w:szCs w:val="20"/>
                <w:color w:val="auto"/>
              </w:rPr>
            </w:pPr>
            <w:r>
              <w:rPr>
                <w:rFonts w:ascii="Arial" w:cs="Arial" w:eastAsia="Arial" w:hAnsi="Arial"/>
                <w:sz w:val="16"/>
                <w:szCs w:val="16"/>
                <w:color w:val="auto"/>
              </w:rPr>
              <w:t>3/30/2029</w:t>
            </w:r>
          </w:p>
        </w:tc>
      </w:tr>
      <w:tr>
        <w:trPr>
          <w:trHeight w:val="185"/>
        </w:trPr>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7,838</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43.57</w:t>
            </w:r>
          </w:p>
        </w:tc>
        <w:tc>
          <w:tcPr>
            <w:tcW w:w="5320" w:type="dxa"/>
            <w:vAlign w:val="bottom"/>
          </w:tcPr>
          <w:p>
            <w:pPr>
              <w:jc w:val="right"/>
              <w:ind w:right="4339"/>
              <w:spacing w:after="0"/>
              <w:rPr>
                <w:sz w:val="20"/>
                <w:szCs w:val="20"/>
                <w:color w:val="auto"/>
              </w:rPr>
            </w:pPr>
            <w:r>
              <w:rPr>
                <w:rFonts w:ascii="Arial" w:cs="Arial" w:eastAsia="Arial" w:hAnsi="Arial"/>
                <w:sz w:val="16"/>
                <w:szCs w:val="16"/>
                <w:color w:val="auto"/>
              </w:rPr>
              <w:t>3/30/2030</w:t>
            </w: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31"/>
        </w:trPr>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663</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43,897</w:t>
            </w:r>
          </w:p>
        </w:tc>
        <w:tc>
          <w:tcPr>
            <w:tcW w:w="5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740" w:type="dxa"/>
            <w:vAlign w:val="bottom"/>
            <w:vMerge w:val="continue"/>
            <w:shd w:val="clear" w:color="auto" w:fill="CCEEFF"/>
          </w:tcPr>
          <w:p>
            <w:pPr>
              <w:spacing w:after="0"/>
              <w:rPr>
                <w:sz w:val="4"/>
                <w:szCs w:val="4"/>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780" w:type="dxa"/>
            <w:vAlign w:val="bottom"/>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781</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51,710</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1,178</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77,995</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2,820</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186,712</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6,307</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417,586</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2,452</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162,347</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780" w:type="dxa"/>
            <w:vAlign w:val="bottom"/>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r>
              <w:rPr>
                <w:rFonts w:ascii="Arial" w:cs="Arial" w:eastAsia="Arial" w:hAnsi="Arial"/>
                <w:sz w:val="16"/>
                <w:szCs w:val="16"/>
                <w:color w:val="auto"/>
              </w:rPr>
              <w:t>Keyna Skeffington</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11,403</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3,800</w:t>
            </w: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59.97</w:t>
            </w:r>
          </w:p>
        </w:tc>
        <w:tc>
          <w:tcPr>
            <w:tcW w:w="1740" w:type="dxa"/>
            <w:vAlign w:val="bottom"/>
          </w:tcPr>
          <w:p>
            <w:pPr>
              <w:jc w:val="right"/>
              <w:ind w:right="799"/>
              <w:spacing w:after="0"/>
              <w:rPr>
                <w:sz w:val="20"/>
                <w:szCs w:val="20"/>
                <w:color w:val="auto"/>
              </w:rPr>
            </w:pPr>
            <w:r>
              <w:rPr>
                <w:rFonts w:ascii="Arial" w:cs="Arial" w:eastAsia="Arial" w:hAnsi="Arial"/>
                <w:sz w:val="16"/>
                <w:szCs w:val="16"/>
                <w:color w:val="auto"/>
              </w:rPr>
              <w:t>6/12/2027</w:t>
            </w: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2,998</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2,998</w:t>
            </w: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88.38</w:t>
            </w:r>
          </w:p>
        </w:tc>
        <w:tc>
          <w:tcPr>
            <w:tcW w:w="1740" w:type="dxa"/>
            <w:vAlign w:val="bottom"/>
          </w:tcPr>
          <w:p>
            <w:pPr>
              <w:jc w:val="right"/>
              <w:ind w:right="799"/>
              <w:spacing w:after="0"/>
              <w:rPr>
                <w:sz w:val="20"/>
                <w:szCs w:val="20"/>
                <w:color w:val="auto"/>
              </w:rPr>
            </w:pPr>
            <w:r>
              <w:rPr>
                <w:rFonts w:ascii="Arial" w:cs="Arial" w:eastAsia="Arial" w:hAnsi="Arial"/>
                <w:sz w:val="16"/>
                <w:szCs w:val="16"/>
                <w:color w:val="auto"/>
              </w:rPr>
              <w:t>3/15/2028</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1,771</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5,313</w:t>
            </w: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97.25</w:t>
            </w:r>
          </w:p>
        </w:tc>
        <w:tc>
          <w:tcPr>
            <w:tcW w:w="1740" w:type="dxa"/>
            <w:vAlign w:val="bottom"/>
          </w:tcPr>
          <w:p>
            <w:pPr>
              <w:jc w:val="right"/>
              <w:ind w:right="799"/>
              <w:spacing w:after="0"/>
              <w:rPr>
                <w:sz w:val="20"/>
                <w:szCs w:val="20"/>
                <w:color w:val="auto"/>
              </w:rPr>
            </w:pPr>
            <w:r>
              <w:rPr>
                <w:rFonts w:ascii="Arial" w:cs="Arial" w:eastAsia="Arial" w:hAnsi="Arial"/>
                <w:sz w:val="16"/>
                <w:szCs w:val="16"/>
                <w:color w:val="auto"/>
              </w:rPr>
              <w:t>3/30/2029</w:t>
            </w: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15,703</w:t>
            </w: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43.57</w:t>
            </w:r>
          </w:p>
        </w:tc>
        <w:tc>
          <w:tcPr>
            <w:tcW w:w="1740" w:type="dxa"/>
            <w:vAlign w:val="bottom"/>
          </w:tcPr>
          <w:p>
            <w:pPr>
              <w:jc w:val="right"/>
              <w:ind w:right="799"/>
              <w:spacing w:after="0"/>
              <w:rPr>
                <w:sz w:val="20"/>
                <w:szCs w:val="20"/>
                <w:color w:val="auto"/>
              </w:rPr>
            </w:pPr>
            <w:r>
              <w:rPr>
                <w:rFonts w:ascii="Arial" w:cs="Arial" w:eastAsia="Arial" w:hAnsi="Arial"/>
                <w:sz w:val="16"/>
                <w:szCs w:val="16"/>
                <w:color w:val="auto"/>
              </w:rPr>
              <w:t>3/30/2030</w:t>
            </w:r>
          </w:p>
        </w:tc>
        <w:tc>
          <w:tcPr>
            <w:tcW w:w="520" w:type="dxa"/>
            <w:vAlign w:val="bottom"/>
            <w:vMerge w:val="restart"/>
          </w:tcPr>
          <w:p>
            <w:pPr>
              <w:jc w:val="right"/>
              <w:ind w:right="77"/>
              <w:spacing w:after="0"/>
              <w:rPr>
                <w:sz w:val="20"/>
                <w:szCs w:val="20"/>
                <w:color w:val="auto"/>
              </w:rPr>
            </w:pPr>
            <w:r>
              <w:rPr>
                <w:rFonts w:ascii="Arial" w:cs="Arial" w:eastAsia="Arial" w:hAnsi="Arial"/>
                <w:sz w:val="13"/>
                <w:szCs w:val="13"/>
                <w:color w:val="auto"/>
              </w:rPr>
              <w:t>(22)</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6"/>
                <w:szCs w:val="16"/>
                <w:color w:val="auto"/>
              </w:rPr>
              <w:t>1,146</w:t>
            </w:r>
          </w:p>
        </w:tc>
        <w:tc>
          <w:tcPr>
            <w:tcW w:w="520" w:type="dxa"/>
            <w:vAlign w:val="bottom"/>
            <w:vMerge w:val="continue"/>
          </w:tcPr>
          <w:p>
            <w:pPr>
              <w:spacing w:after="0"/>
              <w:rPr>
                <w:sz w:val="10"/>
                <w:szCs w:val="10"/>
                <w:color w:val="auto"/>
              </w:rPr>
            </w:pPr>
          </w:p>
        </w:tc>
        <w:tc>
          <w:tcPr>
            <w:tcW w:w="1780" w:type="dxa"/>
            <w:vAlign w:val="bottom"/>
            <w:vMerge w:val="restart"/>
          </w:tcPr>
          <w:p>
            <w:pPr>
              <w:jc w:val="right"/>
              <w:ind w:right="1019"/>
              <w:spacing w:after="0"/>
              <w:rPr>
                <w:sz w:val="20"/>
                <w:szCs w:val="20"/>
                <w:color w:val="auto"/>
              </w:rPr>
            </w:pPr>
            <w:r>
              <w:rPr>
                <w:rFonts w:ascii="Arial" w:cs="Arial" w:eastAsia="Arial" w:hAnsi="Arial"/>
                <w:sz w:val="16"/>
                <w:szCs w:val="16"/>
                <w:color w:val="auto"/>
              </w:rPr>
              <w:t>75,877</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520" w:type="dxa"/>
            <w:vAlign w:val="bottom"/>
            <w:vMerge w:val="restart"/>
          </w:tcPr>
          <w:p>
            <w:pPr>
              <w:jc w:val="right"/>
              <w:ind w:right="77"/>
              <w:spacing w:after="0"/>
              <w:rPr>
                <w:sz w:val="20"/>
                <w:szCs w:val="20"/>
                <w:color w:val="auto"/>
              </w:rPr>
            </w:pPr>
            <w:r>
              <w:rPr>
                <w:rFonts w:ascii="Arial" w:cs="Arial" w:eastAsia="Arial" w:hAnsi="Arial"/>
                <w:sz w:val="13"/>
                <w:szCs w:val="13"/>
                <w:color w:val="auto"/>
              </w:rPr>
              <w:t>(7)</w:t>
            </w:r>
          </w:p>
        </w:tc>
        <w:tc>
          <w:tcPr>
            <w:tcW w:w="17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6"/>
                <w:szCs w:val="16"/>
                <w:color w:val="auto"/>
              </w:rPr>
              <w:t>919</w:t>
            </w:r>
          </w:p>
        </w:tc>
        <w:tc>
          <w:tcPr>
            <w:tcW w:w="520" w:type="dxa"/>
            <w:vAlign w:val="bottom"/>
            <w:vMerge w:val="continue"/>
          </w:tcPr>
          <w:p>
            <w:pPr>
              <w:spacing w:after="0"/>
              <w:rPr>
                <w:sz w:val="10"/>
                <w:szCs w:val="10"/>
                <w:color w:val="auto"/>
              </w:rPr>
            </w:pPr>
          </w:p>
        </w:tc>
        <w:tc>
          <w:tcPr>
            <w:tcW w:w="1780" w:type="dxa"/>
            <w:vAlign w:val="bottom"/>
            <w:vMerge w:val="restart"/>
          </w:tcPr>
          <w:p>
            <w:pPr>
              <w:jc w:val="right"/>
              <w:ind w:right="1019"/>
              <w:spacing w:after="0"/>
              <w:rPr>
                <w:sz w:val="20"/>
                <w:szCs w:val="20"/>
                <w:color w:val="auto"/>
              </w:rPr>
            </w:pPr>
            <w:r>
              <w:rPr>
                <w:rFonts w:ascii="Arial" w:cs="Arial" w:eastAsia="Arial" w:hAnsi="Arial"/>
                <w:sz w:val="16"/>
                <w:szCs w:val="16"/>
                <w:color w:val="auto"/>
              </w:rPr>
              <w:t>60,847</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520" w:type="dxa"/>
            <w:vAlign w:val="bottom"/>
            <w:vMerge w:val="restart"/>
          </w:tcPr>
          <w:p>
            <w:pPr>
              <w:jc w:val="right"/>
              <w:ind w:right="77"/>
              <w:spacing w:after="0"/>
              <w:rPr>
                <w:sz w:val="20"/>
                <w:szCs w:val="20"/>
                <w:color w:val="auto"/>
              </w:rPr>
            </w:pPr>
            <w:r>
              <w:rPr>
                <w:rFonts w:ascii="Arial" w:cs="Arial" w:eastAsia="Arial" w:hAnsi="Arial"/>
                <w:sz w:val="13"/>
                <w:szCs w:val="13"/>
                <w:color w:val="auto"/>
              </w:rPr>
              <w:t>(23)</w:t>
            </w:r>
          </w:p>
        </w:tc>
        <w:tc>
          <w:tcPr>
            <w:tcW w:w="17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6"/>
                <w:szCs w:val="16"/>
                <w:color w:val="auto"/>
              </w:rPr>
              <w:t>601</w:t>
            </w:r>
          </w:p>
        </w:tc>
        <w:tc>
          <w:tcPr>
            <w:tcW w:w="520" w:type="dxa"/>
            <w:vAlign w:val="bottom"/>
            <w:vMerge w:val="continue"/>
          </w:tcPr>
          <w:p>
            <w:pPr>
              <w:spacing w:after="0"/>
              <w:rPr>
                <w:sz w:val="10"/>
                <w:szCs w:val="10"/>
                <w:color w:val="auto"/>
              </w:rPr>
            </w:pPr>
          </w:p>
        </w:tc>
        <w:tc>
          <w:tcPr>
            <w:tcW w:w="1780" w:type="dxa"/>
            <w:vAlign w:val="bottom"/>
            <w:vMerge w:val="restart"/>
          </w:tcPr>
          <w:p>
            <w:pPr>
              <w:jc w:val="right"/>
              <w:ind w:right="1019"/>
              <w:spacing w:after="0"/>
              <w:rPr>
                <w:sz w:val="20"/>
                <w:szCs w:val="20"/>
                <w:color w:val="auto"/>
              </w:rPr>
            </w:pPr>
            <w:r>
              <w:rPr>
                <w:rFonts w:ascii="Arial" w:cs="Arial" w:eastAsia="Arial" w:hAnsi="Arial"/>
                <w:sz w:val="16"/>
                <w:szCs w:val="16"/>
                <w:color w:val="auto"/>
              </w:rPr>
              <w:t>39,792</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520" w:type="dxa"/>
            <w:vAlign w:val="bottom"/>
            <w:vMerge w:val="restart"/>
          </w:tcPr>
          <w:p>
            <w:pPr>
              <w:jc w:val="right"/>
              <w:ind w:right="77"/>
              <w:spacing w:after="0"/>
              <w:rPr>
                <w:sz w:val="20"/>
                <w:szCs w:val="20"/>
                <w:color w:val="auto"/>
              </w:rPr>
            </w:pPr>
            <w:r>
              <w:rPr>
                <w:rFonts w:ascii="Arial" w:cs="Arial" w:eastAsia="Arial" w:hAnsi="Arial"/>
                <w:sz w:val="13"/>
                <w:szCs w:val="13"/>
                <w:color w:val="auto"/>
              </w:rPr>
              <w:t>(8)</w:t>
            </w:r>
          </w:p>
        </w:tc>
        <w:tc>
          <w:tcPr>
            <w:tcW w:w="17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6"/>
                <w:szCs w:val="16"/>
                <w:color w:val="auto"/>
              </w:rPr>
              <w:t>1,734</w:t>
            </w:r>
          </w:p>
        </w:tc>
        <w:tc>
          <w:tcPr>
            <w:tcW w:w="520" w:type="dxa"/>
            <w:vAlign w:val="bottom"/>
            <w:vMerge w:val="continue"/>
          </w:tcPr>
          <w:p>
            <w:pPr>
              <w:spacing w:after="0"/>
              <w:rPr>
                <w:sz w:val="10"/>
                <w:szCs w:val="10"/>
                <w:color w:val="auto"/>
              </w:rPr>
            </w:pPr>
          </w:p>
        </w:tc>
        <w:tc>
          <w:tcPr>
            <w:tcW w:w="1780" w:type="dxa"/>
            <w:vAlign w:val="bottom"/>
            <w:vMerge w:val="restart"/>
          </w:tcPr>
          <w:p>
            <w:pPr>
              <w:jc w:val="right"/>
              <w:ind w:right="1019"/>
              <w:spacing w:after="0"/>
              <w:rPr>
                <w:sz w:val="20"/>
                <w:szCs w:val="20"/>
                <w:color w:val="auto"/>
              </w:rPr>
            </w:pPr>
            <w:r>
              <w:rPr>
                <w:rFonts w:ascii="Arial" w:cs="Arial" w:eastAsia="Arial" w:hAnsi="Arial"/>
                <w:sz w:val="16"/>
                <w:szCs w:val="16"/>
                <w:color w:val="auto"/>
              </w:rPr>
              <w:t>114,808</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520" w:type="dxa"/>
            <w:vAlign w:val="bottom"/>
            <w:vMerge w:val="restart"/>
          </w:tcPr>
          <w:p>
            <w:pPr>
              <w:jc w:val="right"/>
              <w:ind w:right="77"/>
              <w:spacing w:after="0"/>
              <w:rPr>
                <w:sz w:val="20"/>
                <w:szCs w:val="20"/>
                <w:color w:val="auto"/>
              </w:rPr>
            </w:pPr>
            <w:r>
              <w:rPr>
                <w:rFonts w:ascii="Arial" w:cs="Arial" w:eastAsia="Arial" w:hAnsi="Arial"/>
                <w:sz w:val="13"/>
                <w:szCs w:val="13"/>
                <w:color w:val="auto"/>
              </w:rPr>
              <w:t>(9)</w:t>
            </w:r>
          </w:p>
        </w:tc>
        <w:tc>
          <w:tcPr>
            <w:tcW w:w="17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6"/>
                <w:szCs w:val="16"/>
                <w:color w:val="auto"/>
              </w:rPr>
              <w:t>5,737</w:t>
            </w:r>
          </w:p>
        </w:tc>
        <w:tc>
          <w:tcPr>
            <w:tcW w:w="520" w:type="dxa"/>
            <w:vAlign w:val="bottom"/>
            <w:vMerge w:val="continue"/>
          </w:tcPr>
          <w:p>
            <w:pPr>
              <w:spacing w:after="0"/>
              <w:rPr>
                <w:sz w:val="10"/>
                <w:szCs w:val="10"/>
                <w:color w:val="auto"/>
              </w:rPr>
            </w:pPr>
          </w:p>
        </w:tc>
        <w:tc>
          <w:tcPr>
            <w:tcW w:w="1780" w:type="dxa"/>
            <w:vAlign w:val="bottom"/>
            <w:vMerge w:val="restart"/>
          </w:tcPr>
          <w:p>
            <w:pPr>
              <w:jc w:val="right"/>
              <w:ind w:right="1019"/>
              <w:spacing w:after="0"/>
              <w:rPr>
                <w:sz w:val="20"/>
                <w:szCs w:val="20"/>
                <w:color w:val="auto"/>
              </w:rPr>
            </w:pPr>
            <w:r>
              <w:rPr>
                <w:rFonts w:ascii="Arial" w:cs="Arial" w:eastAsia="Arial" w:hAnsi="Arial"/>
                <w:sz w:val="16"/>
                <w:szCs w:val="16"/>
                <w:color w:val="auto"/>
              </w:rPr>
              <w:t>379,847</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(10)</w:t>
            </w: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1,838</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121,694</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(11)</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1,838</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121,694</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(12)</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2,313</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153,144</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(13)</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2,313</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153,144</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(14)</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5,737</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379,847</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color w:val="auto"/>
              </w:rPr>
              <w:t>(15)</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vMerge w:val="restart"/>
          </w:tcPr>
          <w:p>
            <w:pPr>
              <w:jc w:val="right"/>
              <w:ind w:right="139"/>
              <w:spacing w:after="0"/>
              <w:rPr>
                <w:sz w:val="20"/>
                <w:szCs w:val="20"/>
                <w:color w:val="auto"/>
              </w:rPr>
            </w:pPr>
            <w:r>
              <w:rPr>
                <w:rFonts w:ascii="Arial" w:cs="Arial" w:eastAsia="Arial" w:hAnsi="Arial"/>
                <w:sz w:val="16"/>
                <w:szCs w:val="16"/>
                <w:color w:val="auto"/>
              </w:rPr>
              <w:t>5,737</w:t>
            </w:r>
          </w:p>
        </w:tc>
        <w:tc>
          <w:tcPr>
            <w:tcW w:w="58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379,847</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Marco Dolci</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3,631</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3,631</w:t>
            </w: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88.38</w:t>
            </w:r>
          </w:p>
        </w:tc>
        <w:tc>
          <w:tcPr>
            <w:tcW w:w="174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3/15/2028</w:t>
            </w:r>
          </w:p>
        </w:tc>
        <w:tc>
          <w:tcPr>
            <w:tcW w:w="5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1,595</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4,784</w:t>
            </w: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97.25</w:t>
            </w:r>
          </w:p>
        </w:tc>
        <w:tc>
          <w:tcPr>
            <w:tcW w:w="174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3/30/2029</w:t>
            </w: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15,703</w:t>
            </w: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43.57</w:t>
            </w:r>
          </w:p>
        </w:tc>
        <w:tc>
          <w:tcPr>
            <w:tcW w:w="174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3/30/2030</w:t>
            </w: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1,694</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112,160</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565</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37,409</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1,117</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73,957</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1,542</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102,096</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5,737</w:t>
            </w:r>
          </w:p>
        </w:tc>
        <w:tc>
          <w:tcPr>
            <w:tcW w:w="520" w:type="dxa"/>
            <w:vAlign w:val="bottom"/>
            <w:vMerge w:val="continue"/>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379,847</w:t>
            </w: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2,235</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147,979</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(11)</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2,235</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147,979</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2,056</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136,128</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2,056</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136,128</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(14)</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5,737</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379,847</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(15)</w:t>
            </w: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5,737</w:t>
            </w:r>
          </w:p>
        </w:tc>
        <w:tc>
          <w:tcPr>
            <w:tcW w:w="58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379,847</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580" w:top="132" w:right="10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23495</wp:posOffset>
            </wp:positionV>
            <wp:extent cx="2888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or</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Units of</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That</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Underlying</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Have</w:t>
            </w: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Unexercised</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Not</w:t>
            </w:r>
          </w:p>
        </w:tc>
      </w:tr>
      <w:tr>
        <w:trPr>
          <w:trHeight w:val="158"/>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Options (#)</w:t>
            </w: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Expiration</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Vested</w:t>
            </w:r>
          </w:p>
        </w:tc>
      </w:tr>
      <w:tr>
        <w:trPr>
          <w:trHeight w:val="216"/>
        </w:trPr>
        <w:tc>
          <w:tcPr>
            <w:tcW w:w="13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8"/>
                <w:szCs w:val="18"/>
                <w:color w:val="auto"/>
              </w:rPr>
            </w:pPr>
          </w:p>
        </w:tc>
        <w:tc>
          <w:tcPr>
            <w:tcW w:w="84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4"/>
              </w:rPr>
              <w:t xml:space="preserve">Exercisable </w:t>
            </w:r>
            <w:r>
              <w:rPr>
                <w:rFonts w:ascii="Arial" w:cs="Arial" w:eastAsia="Arial" w:hAnsi="Arial"/>
                <w:sz w:val="21"/>
                <w:szCs w:val="21"/>
                <w:b w:val="1"/>
                <w:bCs w:val="1"/>
                <w:color w:val="auto"/>
                <w:w w:val="84"/>
                <w:vertAlign w:val="superscript"/>
              </w:rPr>
              <w:t>(1)</w:t>
            </w:r>
          </w:p>
        </w:tc>
        <w:tc>
          <w:tcPr>
            <w:tcW w:w="200" w:type="dxa"/>
            <w:vAlign w:val="bottom"/>
          </w:tcPr>
          <w:p>
            <w:pPr>
              <w:spacing w:after="0"/>
              <w:rPr>
                <w:sz w:val="18"/>
                <w:szCs w:val="18"/>
                <w:color w:val="auto"/>
              </w:rPr>
            </w:pPr>
          </w:p>
        </w:tc>
        <w:tc>
          <w:tcPr>
            <w:tcW w:w="1180" w:type="dxa"/>
            <w:vAlign w:val="bottom"/>
            <w:gridSpan w:val="2"/>
          </w:tcPr>
          <w:p>
            <w:pPr>
              <w:jc w:val="center"/>
              <w:ind w:right="200"/>
              <w:spacing w:after="0" w:line="216" w:lineRule="exact"/>
              <w:rPr>
                <w:sz w:val="20"/>
                <w:szCs w:val="20"/>
                <w:color w:val="auto"/>
              </w:rPr>
            </w:pPr>
            <w:r>
              <w:rPr>
                <w:rFonts w:ascii="Arial" w:cs="Arial" w:eastAsia="Arial" w:hAnsi="Arial"/>
                <w:sz w:val="14"/>
                <w:szCs w:val="14"/>
                <w:b w:val="1"/>
                <w:bCs w:val="1"/>
                <w:color w:val="auto"/>
                <w:w w:val="83"/>
              </w:rPr>
              <w:t>Unexercisable</w:t>
            </w:r>
            <w:r>
              <w:rPr>
                <w:rFonts w:ascii="Arial" w:cs="Arial" w:eastAsia="Arial" w:hAnsi="Arial"/>
                <w:sz w:val="21"/>
                <w:szCs w:val="21"/>
                <w:b w:val="1"/>
                <w:bCs w:val="1"/>
                <w:color w:val="auto"/>
                <w:w w:val="83"/>
                <w:vertAlign w:val="superscript"/>
              </w:rPr>
              <w:t>(2)</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r>
      <w:tr>
        <w:trPr>
          <w:trHeight w:val="20"/>
        </w:trPr>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27"/>
        </w:trPr>
        <w:tc>
          <w:tcPr>
            <w:tcW w:w="1360" w:type="dxa"/>
            <w:vAlign w:val="bottom"/>
          </w:tcPr>
          <w:p>
            <w:pPr>
              <w:spacing w:after="0"/>
              <w:rPr>
                <w:sz w:val="20"/>
                <w:szCs w:val="20"/>
                <w:color w:val="auto"/>
              </w:rPr>
            </w:pPr>
            <w:r>
              <w:rPr>
                <w:rFonts w:ascii="Arial" w:cs="Arial" w:eastAsia="Arial" w:hAnsi="Arial"/>
                <w:sz w:val="16"/>
                <w:szCs w:val="16"/>
                <w:color w:val="auto"/>
              </w:rPr>
              <w:t>Roy Khoury</w:t>
            </w:r>
          </w:p>
        </w:tc>
        <w:tc>
          <w:tcPr>
            <w:tcW w:w="200" w:type="dxa"/>
            <w:vAlign w:val="bottom"/>
          </w:tcPr>
          <w:p>
            <w:pPr>
              <w:spacing w:after="0"/>
              <w:rPr>
                <w:sz w:val="19"/>
                <w:szCs w:val="19"/>
                <w:color w:val="auto"/>
              </w:rPr>
            </w:pPr>
          </w:p>
        </w:tc>
        <w:tc>
          <w:tcPr>
            <w:tcW w:w="840" w:type="dxa"/>
            <w:vAlign w:val="bottom"/>
          </w:tcPr>
          <w:p>
            <w:pPr>
              <w:jc w:val="right"/>
              <w:ind w:right="124"/>
              <w:spacing w:after="0"/>
              <w:rPr>
                <w:sz w:val="20"/>
                <w:szCs w:val="20"/>
                <w:color w:val="auto"/>
              </w:rPr>
            </w:pPr>
            <w:r>
              <w:rPr>
                <w:rFonts w:ascii="Arial" w:cs="Arial" w:eastAsia="Arial" w:hAnsi="Arial"/>
                <w:sz w:val="16"/>
                <w:szCs w:val="16"/>
                <w:color w:val="auto"/>
              </w:rPr>
              <w:t>7,653</w:t>
            </w:r>
          </w:p>
        </w:tc>
        <w:tc>
          <w:tcPr>
            <w:tcW w:w="200" w:type="dxa"/>
            <w:vAlign w:val="bottom"/>
          </w:tcPr>
          <w:p>
            <w:pPr>
              <w:spacing w:after="0"/>
              <w:rPr>
                <w:sz w:val="19"/>
                <w:szCs w:val="19"/>
                <w:color w:val="auto"/>
              </w:rPr>
            </w:pPr>
          </w:p>
        </w:tc>
        <w:tc>
          <w:tcPr>
            <w:tcW w:w="96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61.00</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8/5/2026</w:t>
            </w:r>
          </w:p>
        </w:tc>
        <w:tc>
          <w:tcPr>
            <w:tcW w:w="580" w:type="dxa"/>
            <w:vAlign w:val="bottom"/>
          </w:tcPr>
          <w:p>
            <w:pPr>
              <w:spacing w:after="0"/>
              <w:rPr>
                <w:sz w:val="19"/>
                <w:szCs w:val="19"/>
                <w:color w:val="auto"/>
              </w:rPr>
            </w:pPr>
          </w:p>
        </w:tc>
      </w:tr>
      <w:tr>
        <w:trPr>
          <w:trHeight w:val="20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Arial" w:cs="Arial" w:eastAsia="Arial" w:hAnsi="Arial"/>
                <w:sz w:val="16"/>
                <w:szCs w:val="16"/>
                <w:color w:val="auto"/>
              </w:rPr>
              <w:t>3,076</w:t>
            </w:r>
          </w:p>
        </w:tc>
        <w:tc>
          <w:tcPr>
            <w:tcW w:w="200" w:type="dxa"/>
            <w:vAlign w:val="bottom"/>
          </w:tcPr>
          <w:p>
            <w:pPr>
              <w:spacing w:after="0"/>
              <w:rPr>
                <w:sz w:val="17"/>
                <w:szCs w:val="17"/>
                <w:color w:val="auto"/>
              </w:rPr>
            </w:pPr>
          </w:p>
        </w:tc>
        <w:tc>
          <w:tcPr>
            <w:tcW w:w="960" w:type="dxa"/>
            <w:vAlign w:val="bottom"/>
          </w:tcPr>
          <w:p>
            <w:pPr>
              <w:jc w:val="right"/>
              <w:ind w:right="164"/>
              <w:spacing w:after="0"/>
              <w:rPr>
                <w:sz w:val="20"/>
                <w:szCs w:val="20"/>
                <w:color w:val="auto"/>
              </w:rPr>
            </w:pPr>
            <w:r>
              <w:rPr>
                <w:rFonts w:ascii="Arial" w:cs="Arial" w:eastAsia="Arial" w:hAnsi="Arial"/>
                <w:sz w:val="16"/>
                <w:szCs w:val="16"/>
                <w:color w:val="auto"/>
              </w:rPr>
              <w:t>1,025</w:t>
            </w:r>
          </w:p>
        </w:tc>
        <w:tc>
          <w:tcPr>
            <w:tcW w:w="2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80.26</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12/15/2027</w:t>
            </w:r>
          </w:p>
        </w:tc>
        <w:tc>
          <w:tcPr>
            <w:tcW w:w="58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24"/>
              <w:spacing w:after="0"/>
              <w:rPr>
                <w:sz w:val="20"/>
                <w:szCs w:val="20"/>
                <w:color w:val="auto"/>
              </w:rPr>
            </w:pPr>
            <w:r>
              <w:rPr>
                <w:rFonts w:ascii="Arial" w:cs="Arial" w:eastAsia="Arial" w:hAnsi="Arial"/>
                <w:sz w:val="16"/>
                <w:szCs w:val="16"/>
                <w:color w:val="auto"/>
              </w:rPr>
              <w:t>3,830</w:t>
            </w:r>
          </w:p>
        </w:tc>
        <w:tc>
          <w:tcPr>
            <w:tcW w:w="20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88.38</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3/15/2028</w:t>
            </w:r>
          </w:p>
        </w:tc>
        <w:tc>
          <w:tcPr>
            <w:tcW w:w="5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24"/>
              <w:spacing w:after="0"/>
              <w:rPr>
                <w:sz w:val="20"/>
                <w:szCs w:val="20"/>
                <w:color w:val="auto"/>
              </w:rPr>
            </w:pPr>
            <w:r>
              <w:rPr>
                <w:rFonts w:ascii="Arial" w:cs="Arial" w:eastAsia="Arial" w:hAnsi="Arial"/>
                <w:sz w:val="16"/>
                <w:szCs w:val="16"/>
                <w:color w:val="auto"/>
              </w:rPr>
              <w:t>1,675</w:t>
            </w:r>
          </w:p>
        </w:tc>
        <w:tc>
          <w:tcPr>
            <w:tcW w:w="20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6"/>
                <w:szCs w:val="16"/>
                <w:color w:val="auto"/>
              </w:rPr>
              <w:t>5,023</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97.25</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3/30/2029</w:t>
            </w:r>
          </w:p>
        </w:tc>
        <w:tc>
          <w:tcPr>
            <w:tcW w:w="5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4"/>
              <w:spacing w:after="0"/>
              <w:rPr>
                <w:sz w:val="20"/>
                <w:szCs w:val="20"/>
                <w:color w:val="auto"/>
              </w:rPr>
            </w:pPr>
            <w:r>
              <w:rPr>
                <w:rFonts w:ascii="Arial" w:cs="Arial" w:eastAsia="Arial" w:hAnsi="Arial"/>
                <w:sz w:val="16"/>
                <w:szCs w:val="16"/>
                <w:color w:val="auto"/>
              </w:rPr>
              <w:t>15,703</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43.57</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3/30/2030</w:t>
            </w:r>
          </w:p>
        </w:tc>
        <w:tc>
          <w:tcPr>
            <w:tcW w:w="5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1,359</w:t>
            </w: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453</w:t>
            </w: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514</w:t>
            </w: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1,178</w:t>
            </w: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1,619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-1384300</wp:posOffset>
            </wp:positionV>
            <wp:extent cx="6180455" cy="26657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80455" cy="266573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6"/>
          <w:szCs w:val="16"/>
          <w:color w:val="auto"/>
        </w:rPr>
        <w:t>5,737</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4,590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1158240</wp:posOffset>
            </wp:positionV>
            <wp:extent cx="12344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Stock Awards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Equity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Incentive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Plan Awards: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Unearned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Shares,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Shares or</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Units 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Other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Rights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That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Have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Not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8"/>
              </w:rPr>
              <w:t>(4)</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Not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700" w:type="dxa"/>
            <w:vAlign w:val="bottom"/>
            <w:tcBorders>
              <w:bottom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98"/>
              </w:rPr>
              <w:t>Vested ($)</w:t>
            </w:r>
          </w:p>
        </w:tc>
        <w:tc>
          <w:tcPr>
            <w:tcW w:w="22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Vested</w:t>
            </w:r>
          </w:p>
        </w:tc>
        <w:tc>
          <w:tcPr>
            <w:tcW w:w="620" w:type="dxa"/>
            <w:vAlign w:val="bottom"/>
          </w:tcPr>
          <w:p>
            <w:pPr>
              <w:spacing w:after="0"/>
              <w:rPr>
                <w:sz w:val="11"/>
                <w:szCs w:val="11"/>
                <w:color w:val="auto"/>
              </w:rPr>
            </w:pPr>
          </w:p>
        </w:tc>
        <w:tc>
          <w:tcPr>
            <w:tcW w:w="6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529"/>
        <w:spacing w:after="0"/>
        <w:tabs>
          <w:tab w:leader="none" w:pos="620" w:val="left"/>
        </w:tabs>
        <w:numPr>
          <w:ilvl w:val="0"/>
          <w:numId w:val="58"/>
        </w:numPr>
        <w:rPr>
          <w:rFonts w:ascii="Arial" w:cs="Arial" w:eastAsia="Arial" w:hAnsi="Arial"/>
          <w:sz w:val="25"/>
          <w:szCs w:val="25"/>
          <w:color w:val="auto"/>
          <w:vertAlign w:val="superscript"/>
        </w:rPr>
      </w:pPr>
      <w:r>
        <w:rPr>
          <w:rFonts w:ascii="Arial" w:cs="Arial" w:eastAsia="Arial" w:hAnsi="Arial"/>
          <w:sz w:val="16"/>
          <w:szCs w:val="16"/>
          <w:color w:val="auto"/>
        </w:rPr>
        <w:t>89,979</w:t>
      </w:r>
    </w:p>
    <w:p>
      <w:pPr>
        <w:ind w:left="620" w:hanging="529"/>
        <w:spacing w:after="0" w:line="180" w:lineRule="auto"/>
        <w:tabs>
          <w:tab w:leader="none" w:pos="620" w:val="left"/>
        </w:tabs>
        <w:numPr>
          <w:ilvl w:val="0"/>
          <w:numId w:val="58"/>
        </w:numPr>
        <w:rPr>
          <w:rFonts w:ascii="Arial" w:cs="Arial" w:eastAsia="Arial" w:hAnsi="Arial"/>
          <w:sz w:val="25"/>
          <w:szCs w:val="25"/>
          <w:color w:val="auto"/>
          <w:vertAlign w:val="superscript"/>
        </w:rPr>
      </w:pPr>
      <w:r>
        <w:rPr>
          <w:rFonts w:ascii="Arial" w:cs="Arial" w:eastAsia="Arial" w:hAnsi="Arial"/>
          <w:sz w:val="16"/>
          <w:szCs w:val="16"/>
          <w:color w:val="auto"/>
        </w:rPr>
        <w:t>29,993</w:t>
      </w:r>
    </w:p>
    <w:p>
      <w:pPr>
        <w:ind w:left="620" w:hanging="592"/>
        <w:spacing w:after="0" w:line="180" w:lineRule="auto"/>
        <w:tabs>
          <w:tab w:leader="none" w:pos="620" w:val="left"/>
        </w:tabs>
        <w:numPr>
          <w:ilvl w:val="0"/>
          <w:numId w:val="59"/>
        </w:numPr>
        <w:rPr>
          <w:rFonts w:ascii="Arial" w:cs="Arial" w:eastAsia="Arial" w:hAnsi="Arial"/>
          <w:sz w:val="25"/>
          <w:szCs w:val="25"/>
          <w:color w:val="auto"/>
          <w:vertAlign w:val="superscript"/>
        </w:rPr>
      </w:pPr>
      <w:r>
        <w:rPr>
          <w:rFonts w:ascii="Arial" w:cs="Arial" w:eastAsia="Arial" w:hAnsi="Arial"/>
          <w:sz w:val="16"/>
          <w:szCs w:val="16"/>
          <w:color w:val="auto"/>
        </w:rPr>
        <w:t>34,032</w:t>
      </w:r>
    </w:p>
    <w:p>
      <w:pPr>
        <w:ind w:left="620" w:hanging="529"/>
        <w:spacing w:after="0" w:line="202" w:lineRule="auto"/>
        <w:tabs>
          <w:tab w:leader="none" w:pos="62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77,995</w:t>
      </w:r>
    </w:p>
    <w:p>
      <w:pPr>
        <w:spacing w:after="0" w:line="23" w:lineRule="exact"/>
        <w:rPr>
          <w:rFonts w:ascii="Arial" w:cs="Arial" w:eastAsia="Arial" w:hAnsi="Arial"/>
          <w:sz w:val="25"/>
          <w:szCs w:val="25"/>
          <w:color w:val="auto"/>
          <w:vertAlign w:val="superscript"/>
        </w:rPr>
      </w:pPr>
    </w:p>
    <w:p>
      <w:pPr>
        <w:ind w:left="540" w:hanging="449"/>
        <w:spacing w:after="0" w:line="182" w:lineRule="auto"/>
        <w:tabs>
          <w:tab w:leader="none" w:pos="54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107,194</w:t>
      </w:r>
    </w:p>
    <w:p>
      <w:pPr>
        <w:spacing w:after="0" w:line="24" w:lineRule="exact"/>
        <w:rPr>
          <w:rFonts w:ascii="Arial" w:cs="Arial" w:eastAsia="Arial" w:hAnsi="Arial"/>
          <w:sz w:val="22"/>
          <w:szCs w:val="22"/>
          <w:color w:val="auto"/>
          <w:vertAlign w:val="superscript"/>
        </w:rPr>
      </w:pPr>
    </w:p>
    <w:p>
      <w:pPr>
        <w:ind w:left="540" w:hanging="449"/>
        <w:spacing w:after="0" w:line="183" w:lineRule="auto"/>
        <w:tabs>
          <w:tab w:leader="none" w:pos="54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379,847</w:t>
      </w:r>
    </w:p>
    <w:p>
      <w:pPr>
        <w:ind w:left="540" w:hanging="512"/>
        <w:spacing w:after="0" w:line="180" w:lineRule="auto"/>
        <w:tabs>
          <w:tab w:leader="none" w:pos="540" w:val="left"/>
        </w:tabs>
        <w:numPr>
          <w:ilvl w:val="0"/>
          <w:numId w:val="61"/>
        </w:numPr>
        <w:rPr>
          <w:rFonts w:ascii="Arial" w:cs="Arial" w:eastAsia="Arial" w:hAnsi="Arial"/>
          <w:sz w:val="25"/>
          <w:szCs w:val="25"/>
          <w:color w:val="auto"/>
          <w:vertAlign w:val="superscript"/>
        </w:rPr>
      </w:pPr>
      <w:r>
        <w:rPr>
          <w:rFonts w:ascii="Arial" w:cs="Arial" w:eastAsia="Arial" w:hAnsi="Arial"/>
          <w:sz w:val="16"/>
          <w:szCs w:val="16"/>
          <w:color w:val="auto"/>
        </w:rPr>
        <w:t>303,904</w:t>
      </w:r>
    </w:p>
    <w:p>
      <w:pPr>
        <w:jc w:val="both"/>
        <w:ind w:left="1580"/>
        <w:spacing w:after="0"/>
        <w:tabs>
          <w:tab w:leader="none" w:pos="2360" w:val="left"/>
          <w:tab w:leader="none" w:pos="2860" w:val="left"/>
        </w:tabs>
        <w:rPr>
          <w:sz w:val="20"/>
          <w:szCs w:val="20"/>
          <w:color w:val="auto"/>
        </w:rPr>
      </w:pPr>
      <w:r>
        <w:rPr>
          <w:rFonts w:ascii="Arial" w:cs="Arial" w:eastAsia="Arial" w:hAnsi="Arial"/>
          <w:sz w:val="16"/>
          <w:szCs w:val="16"/>
          <w:color w:val="auto"/>
        </w:rPr>
        <w:t>2,357</w:t>
      </w:r>
      <w:r>
        <w:rPr>
          <w:sz w:val="20"/>
          <w:szCs w:val="20"/>
          <w:color w:val="auto"/>
        </w:rPr>
        <w:tab/>
      </w:r>
      <w:r>
        <w:rPr>
          <w:rFonts w:ascii="Arial" w:cs="Arial" w:eastAsia="Arial" w:hAnsi="Arial"/>
          <w:sz w:val="25"/>
          <w:szCs w:val="25"/>
          <w:color w:val="auto"/>
          <w:vertAlign w:val="superscript"/>
        </w:rPr>
        <w:t>(10)</w:t>
      </w:r>
      <w:r>
        <w:rPr>
          <w:sz w:val="20"/>
          <w:szCs w:val="20"/>
          <w:color w:val="auto"/>
        </w:rPr>
        <w:tab/>
      </w:r>
      <w:r>
        <w:rPr>
          <w:rFonts w:ascii="Arial" w:cs="Arial" w:eastAsia="Arial" w:hAnsi="Arial"/>
          <w:sz w:val="14"/>
          <w:szCs w:val="14"/>
          <w:color w:val="auto"/>
        </w:rPr>
        <w:t>156,057</w:t>
      </w:r>
    </w:p>
    <w:p>
      <w:pPr>
        <w:jc w:val="both"/>
        <w:ind w:left="1580"/>
        <w:spacing w:after="0"/>
        <w:tabs>
          <w:tab w:leader="none" w:pos="2360" w:val="left"/>
          <w:tab w:leader="none" w:pos="2860" w:val="left"/>
        </w:tabs>
        <w:rPr>
          <w:sz w:val="20"/>
          <w:szCs w:val="20"/>
          <w:color w:val="auto"/>
        </w:rPr>
      </w:pPr>
      <w:r>
        <w:rPr>
          <w:rFonts w:ascii="Arial" w:cs="Arial" w:eastAsia="Arial" w:hAnsi="Arial"/>
          <w:sz w:val="16"/>
          <w:szCs w:val="16"/>
          <w:color w:val="auto"/>
        </w:rPr>
        <w:t>2,357</w:t>
      </w:r>
      <w:r>
        <w:rPr>
          <w:sz w:val="20"/>
          <w:szCs w:val="20"/>
          <w:color w:val="auto"/>
        </w:rPr>
        <w:tab/>
      </w:r>
      <w:r>
        <w:rPr>
          <w:rFonts w:ascii="Arial" w:cs="Arial" w:eastAsia="Arial" w:hAnsi="Arial"/>
          <w:sz w:val="25"/>
          <w:szCs w:val="25"/>
          <w:color w:val="auto"/>
          <w:vertAlign w:val="superscript"/>
        </w:rPr>
        <w:t>(11)</w:t>
      </w:r>
      <w:r>
        <w:rPr>
          <w:sz w:val="20"/>
          <w:szCs w:val="20"/>
          <w:color w:val="auto"/>
        </w:rPr>
        <w:tab/>
      </w:r>
      <w:r>
        <w:rPr>
          <w:rFonts w:ascii="Arial" w:cs="Arial" w:eastAsia="Arial" w:hAnsi="Arial"/>
          <w:sz w:val="14"/>
          <w:szCs w:val="14"/>
          <w:color w:val="auto"/>
        </w:rPr>
        <w:t>156,057</w:t>
      </w:r>
    </w:p>
    <w:p>
      <w:pPr>
        <w:jc w:val="both"/>
        <w:ind w:left="1580"/>
        <w:spacing w:after="0"/>
        <w:tabs>
          <w:tab w:leader="none" w:pos="2360" w:val="left"/>
          <w:tab w:leader="none" w:pos="2860" w:val="left"/>
        </w:tabs>
        <w:rPr>
          <w:sz w:val="20"/>
          <w:szCs w:val="20"/>
          <w:color w:val="auto"/>
        </w:rPr>
      </w:pPr>
      <w:r>
        <w:rPr>
          <w:rFonts w:ascii="Arial" w:cs="Arial" w:eastAsia="Arial" w:hAnsi="Arial"/>
          <w:sz w:val="16"/>
          <w:szCs w:val="16"/>
          <w:color w:val="auto"/>
        </w:rPr>
        <w:t>2,159</w:t>
      </w:r>
      <w:r>
        <w:rPr>
          <w:sz w:val="20"/>
          <w:szCs w:val="20"/>
          <w:color w:val="auto"/>
        </w:rPr>
        <w:tab/>
      </w:r>
      <w:r>
        <w:rPr>
          <w:rFonts w:ascii="Arial" w:cs="Arial" w:eastAsia="Arial" w:hAnsi="Arial"/>
          <w:sz w:val="25"/>
          <w:szCs w:val="25"/>
          <w:color w:val="auto"/>
          <w:vertAlign w:val="superscript"/>
        </w:rPr>
        <w:t>(12)</w:t>
      </w:r>
      <w:r>
        <w:rPr>
          <w:sz w:val="20"/>
          <w:szCs w:val="20"/>
          <w:color w:val="auto"/>
        </w:rPr>
        <w:tab/>
      </w:r>
      <w:r>
        <w:rPr>
          <w:rFonts w:ascii="Arial" w:cs="Arial" w:eastAsia="Arial" w:hAnsi="Arial"/>
          <w:sz w:val="14"/>
          <w:szCs w:val="14"/>
          <w:color w:val="auto"/>
        </w:rPr>
        <w:t>142,947</w:t>
      </w:r>
    </w:p>
    <w:p>
      <w:pPr>
        <w:jc w:val="both"/>
        <w:ind w:left="1580"/>
        <w:spacing w:after="0"/>
        <w:tabs>
          <w:tab w:leader="none" w:pos="2360" w:val="left"/>
          <w:tab w:leader="none" w:pos="2860" w:val="left"/>
        </w:tabs>
        <w:rPr>
          <w:sz w:val="20"/>
          <w:szCs w:val="20"/>
          <w:color w:val="auto"/>
        </w:rPr>
      </w:pPr>
      <w:r>
        <w:rPr>
          <w:rFonts w:ascii="Arial" w:cs="Arial" w:eastAsia="Arial" w:hAnsi="Arial"/>
          <w:sz w:val="16"/>
          <w:szCs w:val="16"/>
          <w:color w:val="auto"/>
        </w:rPr>
        <w:t>2,159</w:t>
      </w:r>
      <w:r>
        <w:rPr>
          <w:sz w:val="20"/>
          <w:szCs w:val="20"/>
          <w:color w:val="auto"/>
        </w:rPr>
        <w:tab/>
      </w:r>
      <w:r>
        <w:rPr>
          <w:rFonts w:ascii="Arial" w:cs="Arial" w:eastAsia="Arial" w:hAnsi="Arial"/>
          <w:sz w:val="25"/>
          <w:szCs w:val="25"/>
          <w:color w:val="auto"/>
          <w:vertAlign w:val="superscript"/>
        </w:rPr>
        <w:t>(13)</w:t>
      </w:r>
      <w:r>
        <w:rPr>
          <w:sz w:val="20"/>
          <w:szCs w:val="20"/>
          <w:color w:val="auto"/>
        </w:rPr>
        <w:tab/>
      </w:r>
      <w:r>
        <w:rPr>
          <w:rFonts w:ascii="Arial" w:cs="Arial" w:eastAsia="Arial" w:hAnsi="Arial"/>
          <w:sz w:val="14"/>
          <w:szCs w:val="14"/>
          <w:color w:val="auto"/>
        </w:rPr>
        <w:t>142,947</w:t>
      </w:r>
    </w:p>
    <w:p>
      <w:pPr>
        <w:jc w:val="both"/>
        <w:ind w:left="1580"/>
        <w:spacing w:after="0"/>
        <w:tabs>
          <w:tab w:leader="none" w:pos="2360" w:val="left"/>
          <w:tab w:leader="none" w:pos="2860" w:val="left"/>
        </w:tabs>
        <w:rPr>
          <w:sz w:val="20"/>
          <w:szCs w:val="20"/>
          <w:color w:val="auto"/>
        </w:rPr>
      </w:pPr>
      <w:r>
        <w:rPr>
          <w:rFonts w:ascii="Arial" w:cs="Arial" w:eastAsia="Arial" w:hAnsi="Arial"/>
          <w:sz w:val="15"/>
          <w:szCs w:val="15"/>
          <w:color w:val="auto"/>
        </w:rPr>
        <w:t>5,737</w:t>
      </w:r>
      <w:r>
        <w:rPr>
          <w:sz w:val="20"/>
          <w:szCs w:val="20"/>
          <w:color w:val="auto"/>
        </w:rPr>
        <w:tab/>
      </w:r>
      <w:r>
        <w:rPr>
          <w:rFonts w:ascii="Arial" w:cs="Arial" w:eastAsia="Arial" w:hAnsi="Arial"/>
          <w:sz w:val="23"/>
          <w:szCs w:val="23"/>
          <w:color w:val="auto"/>
          <w:vertAlign w:val="superscript"/>
        </w:rPr>
        <w:t>(14)</w:t>
      </w:r>
      <w:r>
        <w:rPr>
          <w:sz w:val="20"/>
          <w:szCs w:val="20"/>
          <w:color w:val="auto"/>
        </w:rPr>
        <w:tab/>
      </w:r>
      <w:r>
        <w:rPr>
          <w:rFonts w:ascii="Arial" w:cs="Arial" w:eastAsia="Arial" w:hAnsi="Arial"/>
          <w:sz w:val="14"/>
          <w:szCs w:val="14"/>
          <w:color w:val="auto"/>
        </w:rPr>
        <w:t>379,847</w:t>
      </w:r>
    </w:p>
    <w:p>
      <w:pPr>
        <w:spacing w:after="0" w:line="1" w:lineRule="exact"/>
        <w:rPr>
          <w:sz w:val="20"/>
          <w:szCs w:val="20"/>
          <w:color w:val="auto"/>
        </w:rPr>
      </w:pPr>
    </w:p>
    <w:p>
      <w:pPr>
        <w:jc w:val="both"/>
        <w:ind w:left="1580"/>
        <w:spacing w:after="0"/>
        <w:tabs>
          <w:tab w:leader="none" w:pos="2360" w:val="left"/>
          <w:tab w:leader="none" w:pos="2860" w:val="left"/>
        </w:tabs>
        <w:rPr>
          <w:sz w:val="20"/>
          <w:szCs w:val="20"/>
          <w:color w:val="auto"/>
        </w:rPr>
      </w:pPr>
      <w:r>
        <w:rPr>
          <w:rFonts w:ascii="Arial" w:cs="Arial" w:eastAsia="Arial" w:hAnsi="Arial"/>
          <w:sz w:val="16"/>
          <w:szCs w:val="16"/>
          <w:color w:val="auto"/>
        </w:rPr>
        <w:t>5,737</w:t>
      </w:r>
      <w:r>
        <w:rPr>
          <w:sz w:val="20"/>
          <w:szCs w:val="20"/>
          <w:color w:val="auto"/>
        </w:rPr>
        <w:tab/>
      </w:r>
      <w:r>
        <w:rPr>
          <w:rFonts w:ascii="Arial" w:cs="Arial" w:eastAsia="Arial" w:hAnsi="Arial"/>
          <w:sz w:val="25"/>
          <w:szCs w:val="25"/>
          <w:color w:val="auto"/>
          <w:vertAlign w:val="superscript"/>
        </w:rPr>
        <w:t>(15)</w:t>
      </w:r>
      <w:r>
        <w:rPr>
          <w:sz w:val="20"/>
          <w:szCs w:val="20"/>
          <w:color w:val="auto"/>
        </w:rPr>
        <w:tab/>
      </w:r>
      <w:r>
        <w:rPr>
          <w:rFonts w:ascii="Arial" w:cs="Arial" w:eastAsia="Arial" w:hAnsi="Arial"/>
          <w:sz w:val="14"/>
          <w:szCs w:val="14"/>
          <w:color w:val="auto"/>
        </w:rPr>
        <w:t>379,847</w:t>
      </w:r>
    </w:p>
    <w:p>
      <w:pPr>
        <w:spacing w:after="0" w:line="200" w:lineRule="exact"/>
        <w:rPr>
          <w:sz w:val="20"/>
          <w:szCs w:val="20"/>
          <w:color w:val="auto"/>
        </w:rPr>
      </w:pPr>
    </w:p>
    <w:p>
      <w:pPr>
        <w:sectPr>
          <w:pgSz w:w="11900" w:h="16838" w:orient="portrait"/>
          <w:cols w:equalWidth="0" w:num="2">
            <w:col w:w="6600" w:space="220"/>
            <w:col w:w="3400"/>
          </w:cols>
          <w:pgMar w:left="580" w:top="132" w:right="10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1620" w:right="1100" w:hanging="360"/>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column reflects SARs that are exercisable. The terms of the SARs stipulate that they may be exercised up to three months after a termination and in no event (even with continued employment) after the expiration date.</w:t>
      </w:r>
    </w:p>
    <w:p>
      <w:pPr>
        <w:spacing w:after="0" w:line="35" w:lineRule="exact"/>
        <w:rPr>
          <w:rFonts w:ascii="Arial" w:cs="Arial" w:eastAsia="Arial" w:hAnsi="Arial"/>
          <w:sz w:val="18"/>
          <w:szCs w:val="18"/>
          <w:color w:val="auto"/>
        </w:rPr>
      </w:pPr>
    </w:p>
    <w:p>
      <w:pPr>
        <w:ind w:left="1620" w:right="900" w:hanging="360"/>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column reflects SARs that are not yet exercisable as they have not yet vested. The SARs were granted with a vesting schedule over four years (25% per year) from the grant date and have a 10 year term.</w:t>
      </w:r>
    </w:p>
    <w:p>
      <w:pPr>
        <w:spacing w:after="0" w:line="48" w:lineRule="exact"/>
        <w:rPr>
          <w:rFonts w:ascii="Arial" w:cs="Arial" w:eastAsia="Arial" w:hAnsi="Arial"/>
          <w:sz w:val="18"/>
          <w:szCs w:val="18"/>
          <w:color w:val="auto"/>
        </w:rPr>
      </w:pPr>
    </w:p>
    <w:p>
      <w:pPr>
        <w:ind w:left="1620" w:right="960" w:hanging="360"/>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column reflects RSUs that have not vested. All RSUs vest 25% per year on each of the first four anniversaries of the grant date.</w:t>
      </w:r>
    </w:p>
    <w:p>
      <w:pPr>
        <w:spacing w:after="0" w:line="21" w:lineRule="exact"/>
        <w:rPr>
          <w:rFonts w:ascii="Arial" w:cs="Arial" w:eastAsia="Arial" w:hAnsi="Arial"/>
          <w:sz w:val="18"/>
          <w:szCs w:val="18"/>
          <w:color w:val="auto"/>
        </w:rPr>
      </w:pPr>
    </w:p>
    <w:p>
      <w:pPr>
        <w:ind w:left="1620" w:right="840" w:hanging="360"/>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the market value of the outstanding RSUs. Amounts calculated using the closing price of our ordinary shares on December 31, 2020, or $66.21, multiplied by the number of units that have not yet vested.</w:t>
      </w:r>
    </w:p>
    <w:p>
      <w:pPr>
        <w:spacing w:after="0" w:line="35" w:lineRule="exact"/>
        <w:rPr>
          <w:rFonts w:ascii="Arial" w:cs="Arial" w:eastAsia="Arial" w:hAnsi="Arial"/>
          <w:sz w:val="18"/>
          <w:szCs w:val="18"/>
          <w:color w:val="auto"/>
        </w:rPr>
      </w:pPr>
    </w:p>
    <w:p>
      <w:pPr>
        <w:ind w:left="1620" w:right="840" w:hanging="360"/>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PSUs granted on May 5, 2017. These PSUs were subject to a market factor that was met on March 1, 2018, therefore, the remaining shares are now service based. These PSUs vest 25% per year on each anniversary date of March 1, 2018.</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service based RSUs granted on May 5, 2017.</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service based RSUs granted on March 15, 2018.</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service based RSUs granted on March 30, 2019.</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service based RSUs granted on March 30, 2020.</w:t>
      </w:r>
    </w:p>
    <w:p>
      <w:pPr>
        <w:sectPr>
          <w:pgSz w:w="11900" w:h="16838" w:orient="portrait"/>
          <w:cols w:equalWidth="0" w:num="1">
            <w:col w:w="10220"/>
          </w:cols>
          <w:pgMar w:left="580" w:top="132" w:right="109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PSUs granted at target on March 15, 2018. These PSUs are subject to achievement of a three-year cumulative adjusted free cash flow target (the “FCF Target”). This award has a three-year cliff vesting schedule.</w:t>
      </w:r>
    </w:p>
    <w:p>
      <w:pPr>
        <w:spacing w:after="0" w:line="35" w:lineRule="exact"/>
        <w:rPr>
          <w:rFonts w:ascii="Arial" w:cs="Arial" w:eastAsia="Arial" w:hAnsi="Arial"/>
          <w:sz w:val="18"/>
          <w:szCs w:val="18"/>
          <w:color w:val="auto"/>
        </w:rPr>
      </w:pPr>
    </w:p>
    <w:p>
      <w:pPr>
        <w:jc w:val="both"/>
        <w:ind w:left="1620" w:right="77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PSUs granted at target on March 15, 2018. These PSUs are subject to a performance or market condition based on a relative total shareholder return (“rTSR”). This award has a three-year cliff vesting schedule.</w:t>
      </w:r>
    </w:p>
    <w:p>
      <w:pPr>
        <w:spacing w:after="0" w:line="48" w:lineRule="exact"/>
        <w:rPr>
          <w:rFonts w:ascii="Arial" w:cs="Arial" w:eastAsia="Arial" w:hAnsi="Arial"/>
          <w:sz w:val="18"/>
          <w:szCs w:val="18"/>
          <w:color w:val="auto"/>
        </w:rPr>
      </w:pPr>
    </w:p>
    <w:p>
      <w:pPr>
        <w:ind w:left="1620" w:right="819" w:hanging="360"/>
        <w:spacing w:after="0" w:line="306"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PSUs granted at target on March 30, 2019. These PSUs are subject to achievement of a three-year cumulative adjusted FCF Target. This award has a three-year cliff vesting schedule.</w:t>
      </w:r>
    </w:p>
    <w:p>
      <w:pPr>
        <w:spacing w:after="0" w:line="1" w:lineRule="exact"/>
        <w:rPr>
          <w:rFonts w:ascii="Arial" w:cs="Arial" w:eastAsia="Arial" w:hAnsi="Arial"/>
          <w:sz w:val="17"/>
          <w:szCs w:val="17"/>
          <w:color w:val="auto"/>
        </w:rPr>
      </w:pPr>
    </w:p>
    <w:p>
      <w:pPr>
        <w:ind w:left="1620" w:right="819" w:hanging="360"/>
        <w:spacing w:after="0" w:line="306"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PSUs granted at target on March 30, 2019. These PSUs are subject to a performance or market condition based on rTSR. This award has a three-year cliff vesting schedule.</w:t>
      </w:r>
    </w:p>
    <w:p>
      <w:pPr>
        <w:spacing w:after="0" w:line="1" w:lineRule="exact"/>
        <w:rPr>
          <w:rFonts w:ascii="Arial" w:cs="Arial" w:eastAsia="Arial" w:hAnsi="Arial"/>
          <w:sz w:val="17"/>
          <w:szCs w:val="17"/>
          <w:color w:val="auto"/>
        </w:rPr>
      </w:pPr>
    </w:p>
    <w:p>
      <w:pPr>
        <w:ind w:left="1620" w:right="819" w:hanging="360"/>
        <w:spacing w:after="0" w:line="308"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PSUs granted at target on March 30, 2020. These PSUs are subject to achievement of a three-year cumulative adjusted FCF Target. This award has a three-year cliff vesting schedule.</w:t>
      </w:r>
    </w:p>
    <w:p>
      <w:pPr>
        <w:spacing w:after="0" w:line="11" w:lineRule="exact"/>
        <w:rPr>
          <w:rFonts w:ascii="Arial" w:cs="Arial" w:eastAsia="Arial" w:hAnsi="Arial"/>
          <w:sz w:val="17"/>
          <w:szCs w:val="17"/>
          <w:color w:val="auto"/>
        </w:rPr>
      </w:pPr>
    </w:p>
    <w:p>
      <w:pPr>
        <w:ind w:left="1620" w:right="819" w:hanging="360"/>
        <w:spacing w:after="0" w:line="306"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PSUs granted at target on March 30, 2020. These PSUs are subject to a performance or market condition based on rTSR. This award has a three-year cliff vesting schedule.</w:t>
      </w:r>
    </w:p>
    <w:p>
      <w:pPr>
        <w:spacing w:after="0" w:line="1" w:lineRule="exact"/>
        <w:rPr>
          <w:rFonts w:ascii="Arial" w:cs="Arial" w:eastAsia="Arial" w:hAnsi="Arial"/>
          <w:sz w:val="17"/>
          <w:szCs w:val="17"/>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May 20, 2017.</w:t>
      </w:r>
    </w:p>
    <w:p>
      <w:pPr>
        <w:spacing w:after="0" w:line="90" w:lineRule="exact"/>
        <w:rPr>
          <w:rFonts w:ascii="Arial" w:cs="Arial" w:eastAsia="Arial" w:hAnsi="Arial"/>
          <w:sz w:val="18"/>
          <w:szCs w:val="18"/>
          <w:color w:val="auto"/>
        </w:rPr>
      </w:pPr>
    </w:p>
    <w:p>
      <w:pPr>
        <w:ind w:left="1620" w:right="539" w:hanging="360"/>
        <w:spacing w:after="0" w:line="306"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service based RSUs granted on May 20, 2017. These RSUs were subject to a market factor that was met on March 1, 2018, therefore, the remaining shares are now service based.</w:t>
      </w:r>
    </w:p>
    <w:p>
      <w:pPr>
        <w:spacing w:after="0" w:line="1" w:lineRule="exact"/>
        <w:rPr>
          <w:rFonts w:ascii="Arial" w:cs="Arial" w:eastAsia="Arial" w:hAnsi="Arial"/>
          <w:sz w:val="17"/>
          <w:szCs w:val="17"/>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May 23, 2017.</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December 15, 2017.</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June 15, 2020.</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December 15, 2020.</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June 12, 2017.</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service based RSUs granted on September 15, 2018.</w:t>
      </w:r>
    </w:p>
    <w:p>
      <w:pPr>
        <w:spacing w:after="0" w:line="90" w:lineRule="exact"/>
        <w:rPr>
          <w:rFonts w:ascii="Arial" w:cs="Arial" w:eastAsia="Arial" w:hAnsi="Arial"/>
          <w:sz w:val="18"/>
          <w:szCs w:val="18"/>
          <w:color w:val="auto"/>
        </w:rPr>
      </w:pPr>
    </w:p>
    <w:p>
      <w:pPr>
        <w:ind w:left="1620" w:right="479" w:hanging="360"/>
        <w:spacing w:after="0" w:line="277"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and additional service based RSU award granted to Mr. Khoury on March 30, 2020, subject to a 2 year vest schedule.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Option Exercises and Stock Vested</w:t>
      </w:r>
    </w:p>
    <w:p>
      <w:pPr>
        <w:spacing w:after="0" w:line="144"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following table presents information regarding the vesting of service-based RSUs in 2020 by our NEOs.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4"/>
          </w:tcPr>
          <w:p>
            <w:pPr>
              <w:ind w:left="460"/>
              <w:spacing w:after="0"/>
              <w:rPr>
                <w:sz w:val="20"/>
                <w:szCs w:val="20"/>
                <w:color w:val="auto"/>
              </w:rPr>
            </w:pPr>
            <w:r>
              <w:rPr>
                <w:rFonts w:ascii="Arial" w:cs="Arial" w:eastAsia="Arial" w:hAnsi="Arial"/>
                <w:sz w:val="14"/>
                <w:szCs w:val="14"/>
                <w:b w:val="1"/>
                <w:bCs w:val="1"/>
                <w:color w:val="auto"/>
              </w:rPr>
              <w:t>Stock Options</w:t>
            </w:r>
          </w:p>
        </w:tc>
        <w:tc>
          <w:tcPr>
            <w:tcW w:w="172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rPr>
              <w:t>Stock Shares</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LivaNova</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LivaNova</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Acquired 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Realized on</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Acquired 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2"/>
              </w:rPr>
              <w:t>Vesting</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0" w:type="dxa"/>
            <w:vAlign w:val="bottom"/>
          </w:tcPr>
          <w:p>
            <w:pPr>
              <w:spacing w:after="0"/>
              <w:rPr>
                <w:sz w:val="1"/>
                <w:szCs w:val="1"/>
                <w:color w:val="auto"/>
              </w:rPr>
            </w:pPr>
          </w:p>
        </w:tc>
      </w:tr>
      <w:tr>
        <w:trPr>
          <w:trHeight w:val="25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40,943</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2,275,259</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Thad Huston</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18,633</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1,040,878</w:t>
            </w:r>
          </w:p>
        </w:tc>
        <w:tc>
          <w:tcPr>
            <w:tcW w:w="0" w:type="dxa"/>
            <w:vAlign w:val="bottom"/>
          </w:tcPr>
          <w:p>
            <w:pPr>
              <w:spacing w:after="0"/>
              <w:rPr>
                <w:sz w:val="1"/>
                <w:szCs w:val="1"/>
                <w:color w:val="auto"/>
              </w:rPr>
            </w:pPr>
          </w:p>
        </w:tc>
      </w:tr>
      <w:tr>
        <w:trPr>
          <w:trHeight w:val="25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Shvartsburg</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1,447</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82,670</w:t>
            </w:r>
          </w:p>
        </w:tc>
        <w:tc>
          <w:tcPr>
            <w:tcW w:w="0" w:type="dxa"/>
            <w:vAlign w:val="bottom"/>
          </w:tcPr>
          <w:p>
            <w:pPr>
              <w:spacing w:after="0"/>
              <w:rPr>
                <w:sz w:val="1"/>
                <w:szCs w:val="1"/>
                <w:color w:val="auto"/>
              </w:rPr>
            </w:pP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Keyna Skeffington</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2,484</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120,745</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Dolci</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328,982</w:t>
            </w:r>
          </w:p>
        </w:tc>
        <w:tc>
          <w:tcPr>
            <w:tcW w:w="0" w:type="dxa"/>
            <w:vAlign w:val="bottom"/>
          </w:tcPr>
          <w:p>
            <w:pPr>
              <w:spacing w:after="0"/>
              <w:rPr>
                <w:sz w:val="1"/>
                <w:szCs w:val="1"/>
                <w:color w:val="auto"/>
              </w:rPr>
            </w:pP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Roy Khoury</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4,029</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235,724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-1010920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-1010920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-1010920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-1010920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 Value determined based on fair market value of shares on date of vesting before withholding for taxes.</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Pension Benefits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defined benefit plan applicable to our NEOs.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Non-Qualified Deferred Compensation</w:t>
      </w:r>
    </w:p>
    <w:p>
      <w:pPr>
        <w:spacing w:after="0" w:line="144"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Each of our NEOs is or was eligible to participate in a supplemental pension plan that is a tax-qualified defined contribution plan, operated in accordance with local country rules and regulations, with the exception of Ms. Skeffington and Mr. Shvartsburg, who opted out of the defined contribution plan, choosing a cash allowance in lieu thereof, equal to 15% of compensation (consisting of base and bonus), net of a 13.8% deduction to compensate for the UK employer national insurance burden.</w:t>
      </w:r>
    </w:p>
    <w:p>
      <w:pPr>
        <w:spacing w:after="0" w:line="1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For Messrs. McDonald, Huston and Khoury, we accrue an amount equal to 15% of compensation (consisting of base and bonus) for purpose of supplemental pension plan contribution. For Mr. McDonald, a portion (£10,000 ($ 12,829)), is paid to a qualified pension plan under UK tax legislation, the difference is paid as cash in lieu thereof, net of a 13.8% deduction to compensate for the UK employer national insurance burden. For Messrs. Huston and Khoury the accrued amount is contributed to defined contribution plan.</w:t>
      </w:r>
    </w:p>
    <w:p>
      <w:pPr>
        <w:spacing w:after="0" w:line="106"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For Mr. Dolci, the plan is a defined contribution plan in which the employee may defer an unlimited amount of base salary and bonus to the plan. We match up to four percent of employee deferrals, and we make contributions mandated under the Italian legislation and applicable collective agreement.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 During 2020, we made contributions on behalf of each of our named executive officers in the amounts set forth in the “Non -Qualified Deferred Compensation and Defined Contribution Plan Registrant Contributions” column in the “All Other Compensation” table above.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44"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The following table presents information as of December 31, 2020 regarding equity compensation plans applicable to our employees.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2"/>
              </w:rPr>
              <w:t>securities</w:t>
            </w:r>
          </w:p>
        </w:tc>
        <w:tc>
          <w:tcPr>
            <w:tcW w:w="1280" w:type="dxa"/>
            <w:vAlign w:val="bottom"/>
          </w:tcPr>
          <w:p>
            <w:pPr>
              <w:spacing w:after="0"/>
              <w:rPr>
                <w:sz w:val="14"/>
                <w:szCs w:val="14"/>
                <w:color w:val="auto"/>
              </w:rPr>
            </w:pPr>
          </w:p>
        </w:tc>
        <w:tc>
          <w:tcPr>
            <w:tcW w:w="1340" w:type="dxa"/>
            <w:vAlign w:val="bottom"/>
          </w:tcPr>
          <w:p>
            <w:pPr>
              <w:jc w:val="center"/>
              <w:ind w:left="48"/>
              <w:spacing w:after="0"/>
              <w:rPr>
                <w:sz w:val="20"/>
                <w:szCs w:val="20"/>
                <w:color w:val="auto"/>
              </w:rPr>
            </w:pPr>
            <w:r>
              <w:rPr>
                <w:rFonts w:ascii="Arial" w:cs="Arial" w:eastAsia="Arial" w:hAnsi="Arial"/>
                <w:sz w:val="14"/>
                <w:szCs w:val="14"/>
                <w:b w:val="1"/>
                <w:bCs w:val="1"/>
                <w:color w:val="auto"/>
                <w:w w:val="87"/>
              </w:rPr>
              <w:t>Number of securities</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5"/>
              </w:rPr>
              <w:t>to be issued upon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remaining</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4"/>
              </w:rPr>
              <w:t>exercise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 of</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available</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7"/>
              </w:rPr>
              <w:t>outstanding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340" w:type="dxa"/>
            <w:vAlign w:val="bottom"/>
          </w:tcPr>
          <w:p>
            <w:pPr>
              <w:jc w:val="center"/>
              <w:ind w:left="48"/>
              <w:spacing w:after="0"/>
              <w:rPr>
                <w:sz w:val="20"/>
                <w:szCs w:val="20"/>
                <w:color w:val="auto"/>
              </w:rPr>
            </w:pPr>
            <w:r>
              <w:rPr>
                <w:rFonts w:ascii="Arial" w:cs="Arial" w:eastAsia="Arial" w:hAnsi="Arial"/>
                <w:sz w:val="14"/>
                <w:szCs w:val="14"/>
                <w:b w:val="1"/>
                <w:bCs w:val="1"/>
                <w:color w:val="auto"/>
                <w:w w:val="87"/>
              </w:rPr>
              <w:t>for future issuance</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4"/>
              </w:rPr>
              <w:t>options,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under equity</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28"/>
              <w:spacing w:after="0"/>
              <w:rPr>
                <w:sz w:val="20"/>
                <w:szCs w:val="20"/>
                <w:color w:val="auto"/>
              </w:rPr>
            </w:pPr>
            <w:r>
              <w:rPr>
                <w:rFonts w:ascii="Arial" w:cs="Arial" w:eastAsia="Arial" w:hAnsi="Arial"/>
                <w:sz w:val="14"/>
                <w:szCs w:val="14"/>
                <w:b w:val="1"/>
                <w:bCs w:val="1"/>
                <w:color w:val="auto"/>
                <w:w w:val="91"/>
              </w:rPr>
              <w:t>warrants and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warrants and</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84"/>
              </w:rPr>
              <w:t>compensation</w:t>
            </w:r>
          </w:p>
        </w:tc>
      </w:tr>
      <w:tr>
        <w:trPr>
          <w:trHeight w:val="162"/>
        </w:trPr>
        <w:tc>
          <w:tcPr>
            <w:tcW w:w="2600" w:type="dxa"/>
            <w:vAlign w:val="bottom"/>
          </w:tcPr>
          <w:p>
            <w:pPr>
              <w:spacing w:after="0"/>
              <w:rPr>
                <w:sz w:val="14"/>
                <w:szCs w:val="14"/>
                <w:color w:val="auto"/>
              </w:rPr>
            </w:pPr>
          </w:p>
        </w:tc>
        <w:tc>
          <w:tcPr>
            <w:tcW w:w="2940" w:type="dxa"/>
            <w:vAlign w:val="bottom"/>
          </w:tcPr>
          <w:p>
            <w:pPr>
              <w:jc w:val="center"/>
              <w:ind w:left="1608"/>
              <w:spacing w:after="0"/>
              <w:rPr>
                <w:sz w:val="20"/>
                <w:szCs w:val="20"/>
                <w:color w:val="auto"/>
              </w:rPr>
            </w:pPr>
            <w:r>
              <w:rPr>
                <w:rFonts w:ascii="Arial" w:cs="Arial" w:eastAsia="Arial" w:hAnsi="Arial"/>
                <w:sz w:val="14"/>
                <w:szCs w:val="14"/>
                <w:b w:val="1"/>
                <w:bCs w:val="1"/>
                <w:color w:val="auto"/>
                <w:w w:val="87"/>
              </w:rPr>
              <w:t>rights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plans</w:t>
            </w:r>
          </w:p>
        </w:tc>
      </w:tr>
      <w:tr>
        <w:trPr>
          <w:trHeight w:val="186"/>
        </w:trPr>
        <w:tc>
          <w:tcPr>
            <w:tcW w:w="26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61"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Equity compensation plans approved by security holders</w:t>
      </w:r>
    </w:p>
    <w:p>
      <w:pPr>
        <w:spacing w:after="0" w:line="75" w:lineRule="exact"/>
        <w:rPr>
          <w:sz w:val="20"/>
          <w:szCs w:val="20"/>
          <w:color w:val="auto"/>
        </w:rPr>
      </w:pPr>
    </w:p>
    <w:p>
      <w:pPr>
        <w:ind w:left="1440" w:right="200" w:hanging="179"/>
        <w:spacing w:after="0" w:line="225" w:lineRule="auto"/>
        <w:rPr>
          <w:sz w:val="20"/>
          <w:szCs w:val="20"/>
          <w:color w:val="auto"/>
        </w:rPr>
      </w:pPr>
      <w:r>
        <w:rPr>
          <w:rFonts w:ascii="Arial" w:cs="Arial" w:eastAsia="Arial" w:hAnsi="Arial"/>
          <w:sz w:val="18"/>
          <w:szCs w:val="18"/>
          <w:color w:val="auto"/>
        </w:rPr>
        <w:t>LivaNova PLC 2015 Incentive Award Plan and Sub-Plan</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38" w:lineRule="auto"/>
        <w:rPr>
          <w:sz w:val="20"/>
          <w:szCs w:val="20"/>
          <w:color w:val="auto"/>
        </w:rPr>
      </w:pPr>
      <w:r>
        <w:rPr>
          <w:rFonts w:ascii="Arial" w:cs="Arial" w:eastAsia="Arial" w:hAnsi="Arial"/>
          <w:sz w:val="18"/>
          <w:szCs w:val="18"/>
          <w:color w:val="auto"/>
        </w:rPr>
        <w:t>Cyberonics Legacy Plans</w:t>
      </w:r>
      <w:r>
        <w:rPr>
          <w:rFonts w:ascii="Arial" w:cs="Arial" w:eastAsia="Arial" w:hAnsi="Arial"/>
          <w:sz w:val="26"/>
          <w:szCs w:val="26"/>
          <w:color w:val="auto"/>
          <w:vertAlign w:val="superscript"/>
        </w:rPr>
        <w:t>(2)</w:t>
      </w:r>
    </w:p>
    <w:p>
      <w:pPr>
        <w:spacing w:after="0" w:line="1" w:lineRule="exact"/>
        <w:rPr>
          <w:sz w:val="20"/>
          <w:szCs w:val="20"/>
          <w:color w:val="auto"/>
        </w:rPr>
      </w:pPr>
    </w:p>
    <w:p>
      <w:pPr>
        <w:ind w:left="1440" w:right="300" w:hanging="179"/>
        <w:spacing w:after="0" w:line="258" w:lineRule="auto"/>
        <w:rPr>
          <w:sz w:val="20"/>
          <w:szCs w:val="20"/>
          <w:color w:val="auto"/>
        </w:rPr>
      </w:pPr>
      <w:r>
        <w:rPr>
          <w:rFonts w:ascii="Arial" w:cs="Arial" w:eastAsia="Arial" w:hAnsi="Arial"/>
          <w:sz w:val="18"/>
          <w:szCs w:val="18"/>
          <w:b w:val="1"/>
          <w:bCs w:val="1"/>
          <w:color w:val="auto"/>
        </w:rPr>
        <w:t>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308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240" w:hanging="179"/>
        <w:spacing w:after="0" w:line="244" w:lineRule="auto"/>
        <w:rPr>
          <w:sz w:val="20"/>
          <w:szCs w:val="20"/>
          <w:color w:val="auto"/>
        </w:rPr>
      </w:pPr>
      <w:r>
        <w:rPr>
          <w:rFonts w:ascii="Arial" w:cs="Arial" w:eastAsia="Arial" w:hAnsi="Arial"/>
          <w:sz w:val="18"/>
          <w:szCs w:val="18"/>
          <w:color w:val="auto"/>
        </w:rPr>
        <w:t>Cyberonics, Inc. New Employee Equity Inducement Plan</w:t>
      </w:r>
      <w:r>
        <w:rPr>
          <w:rFonts w:ascii="Arial" w:cs="Arial" w:eastAsia="Arial" w:hAnsi="Arial"/>
          <w:sz w:val="26"/>
          <w:szCs w:val="26"/>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133350</wp:posOffset>
            </wp:positionV>
            <wp:extent cx="12344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tabs>
          <w:tab w:leader="none" w:pos="1400" w:val="left"/>
          <w:tab w:leader="none" w:pos="2620" w:val="left"/>
        </w:tabs>
        <w:rPr>
          <w:sz w:val="20"/>
          <w:szCs w:val="20"/>
          <w:color w:val="auto"/>
        </w:rPr>
      </w:pPr>
      <w:r>
        <w:rPr>
          <w:rFonts w:ascii="Arial" w:cs="Arial" w:eastAsia="Arial" w:hAnsi="Arial"/>
          <w:sz w:val="18"/>
          <w:szCs w:val="18"/>
          <w:color w:val="auto"/>
        </w:rPr>
        <w:t>3,872,420</w:t>
      </w:r>
      <w:r>
        <w:rPr>
          <w:sz w:val="20"/>
          <w:szCs w:val="20"/>
          <w:color w:val="auto"/>
        </w:rPr>
        <w:tab/>
      </w:r>
      <w:r>
        <w:rPr>
          <w:rFonts w:ascii="Arial" w:cs="Arial" w:eastAsia="Arial" w:hAnsi="Arial"/>
          <w:sz w:val="18"/>
          <w:szCs w:val="18"/>
          <w:color w:val="auto"/>
        </w:rPr>
        <w:t>63.98</w:t>
      </w:r>
      <w:r>
        <w:rPr>
          <w:sz w:val="20"/>
          <w:szCs w:val="20"/>
          <w:color w:val="auto"/>
        </w:rPr>
        <w:tab/>
      </w:r>
      <w:r>
        <w:rPr>
          <w:rFonts w:ascii="Arial" w:cs="Arial" w:eastAsia="Arial" w:hAnsi="Arial"/>
          <w:sz w:val="16"/>
          <w:szCs w:val="16"/>
          <w:color w:val="auto"/>
        </w:rPr>
        <w:t>3,575,752</w:t>
      </w:r>
    </w:p>
    <w:p>
      <w:pPr>
        <w:spacing w:after="0" w:line="77" w:lineRule="exact"/>
        <w:rPr>
          <w:sz w:val="20"/>
          <w:szCs w:val="20"/>
          <w:color w:val="auto"/>
        </w:rPr>
      </w:pPr>
    </w:p>
    <w:p>
      <w:pPr>
        <w:ind w:left="120"/>
        <w:spacing w:after="0"/>
        <w:tabs>
          <w:tab w:leader="none" w:pos="1400" w:val="left"/>
          <w:tab w:leader="none" w:pos="2620" w:val="left"/>
        </w:tabs>
        <w:rPr>
          <w:sz w:val="20"/>
          <w:szCs w:val="20"/>
          <w:color w:val="auto"/>
        </w:rPr>
      </w:pPr>
      <w:r>
        <w:rPr>
          <w:rFonts w:ascii="Arial" w:cs="Arial" w:eastAsia="Arial" w:hAnsi="Arial"/>
          <w:sz w:val="18"/>
          <w:szCs w:val="18"/>
          <w:color w:val="auto"/>
        </w:rPr>
        <w:t>219,807</w:t>
      </w:r>
      <w:r>
        <w:rPr>
          <w:sz w:val="20"/>
          <w:szCs w:val="20"/>
          <w:color w:val="auto"/>
        </w:rPr>
        <w:tab/>
      </w:r>
      <w:r>
        <w:rPr>
          <w:rFonts w:ascii="Arial" w:cs="Arial" w:eastAsia="Arial" w:hAnsi="Arial"/>
          <w:sz w:val="18"/>
          <w:szCs w:val="18"/>
          <w:color w:val="auto"/>
        </w:rPr>
        <w:t>53.33</w:t>
      </w:r>
      <w:r>
        <w:rPr>
          <w:sz w:val="20"/>
          <w:szCs w:val="20"/>
          <w:color w:val="auto"/>
        </w:rPr>
        <w:tab/>
      </w:r>
      <w:r>
        <w:rPr>
          <w:rFonts w:ascii="Arial" w:cs="Arial" w:eastAsia="Arial" w:hAnsi="Arial"/>
          <w:sz w:val="16"/>
          <w:szCs w:val="16"/>
          <w:color w:val="auto"/>
        </w:rPr>
        <w:t>1,858,706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290,185</w:t>
      </w:r>
    </w:p>
    <w:p>
      <w:pPr>
        <w:spacing w:after="0" w:line="86" w:lineRule="exact"/>
        <w:rPr>
          <w:sz w:val="20"/>
          <w:szCs w:val="20"/>
          <w:color w:val="auto"/>
        </w:rPr>
      </w:pPr>
    </w:p>
    <w:p>
      <w:pPr>
        <w:spacing w:after="0"/>
        <w:tabs>
          <w:tab w:leader="none" w:pos="1400" w:val="left"/>
          <w:tab w:leader="none" w:pos="2620" w:val="left"/>
        </w:tabs>
        <w:rPr>
          <w:sz w:val="20"/>
          <w:szCs w:val="20"/>
          <w:color w:val="auto"/>
        </w:rPr>
      </w:pPr>
      <w:r>
        <w:rPr>
          <w:rFonts w:ascii="Arial" w:cs="Arial" w:eastAsia="Arial" w:hAnsi="Arial"/>
          <w:sz w:val="18"/>
          <w:szCs w:val="18"/>
          <w:color w:val="auto"/>
        </w:rPr>
        <w:t>4,092,227</w:t>
      </w:r>
      <w:r>
        <w:rPr>
          <w:sz w:val="20"/>
          <w:szCs w:val="20"/>
          <w:color w:val="auto"/>
        </w:rPr>
        <w:tab/>
      </w:r>
      <w:r>
        <w:rPr>
          <w:rFonts w:ascii="Arial" w:cs="Arial" w:eastAsia="Arial" w:hAnsi="Arial"/>
          <w:sz w:val="18"/>
          <w:szCs w:val="18"/>
          <w:color w:val="auto"/>
        </w:rPr>
        <w:t>58.65</w:t>
      </w:r>
      <w:r>
        <w:rPr>
          <w:sz w:val="20"/>
          <w:szCs w:val="20"/>
          <w:color w:val="auto"/>
        </w:rPr>
        <w:tab/>
      </w:r>
      <w:r>
        <w:rPr>
          <w:rFonts w:ascii="Arial" w:cs="Arial" w:eastAsia="Arial" w:hAnsi="Arial"/>
          <w:sz w:val="16"/>
          <w:szCs w:val="16"/>
          <w:color w:val="auto"/>
        </w:rPr>
        <w:t>5,724,643</w:t>
      </w:r>
    </w:p>
    <w:p>
      <w:pPr>
        <w:spacing w:after="0" w:line="215" w:lineRule="exact"/>
        <w:rPr>
          <w:sz w:val="20"/>
          <w:szCs w:val="20"/>
          <w:color w:val="auto"/>
        </w:rPr>
      </w:pPr>
    </w:p>
    <w:p>
      <w:pPr>
        <w:sectPr>
          <w:pgSz w:w="11900" w:h="16838" w:orient="portrait"/>
          <w:cols w:equalWidth="0" w:num="2">
            <w:col w:w="5420" w:space="420"/>
            <w:col w:w="4039"/>
          </w:cols>
          <w:pgMar w:left="580" w:top="132" w:right="1440" w:bottom="1440" w:gutter="0" w:footer="0" w:header="0"/>
          <w:type w:val="continuous"/>
        </w:sectPr>
      </w:pPr>
    </w:p>
    <w:p>
      <w:pPr>
        <w:spacing w:after="0" w:line="158" w:lineRule="exact"/>
        <w:rPr>
          <w:sz w:val="20"/>
          <w:szCs w:val="20"/>
          <w:color w:val="auto"/>
        </w:rPr>
      </w:pPr>
    </w:p>
    <w:p>
      <w:pPr>
        <w:ind w:left="1620" w:right="579" w:hanging="360"/>
        <w:spacing w:after="0" w:line="279" w:lineRule="auto"/>
        <w:tabs>
          <w:tab w:leader="none" w:pos="1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LivaNova 2015 Incentive Award Plan and the Sub-Plan were approved by our Board and our sole shareholder, effective on October 16, 2015. Amounts represent the number of LivaNova Shares issuable upon the exercise or settlement of outstanding SARs (2,648,905) and RSUs (1,223,515), as granted under the LivaNova 2015 Incentive Award Plan as of December 31, 2020.</w:t>
      </w:r>
    </w:p>
    <w:p>
      <w:pPr>
        <w:spacing w:after="0" w:line="22" w:lineRule="exact"/>
        <w:rPr>
          <w:rFonts w:ascii="Arial" w:cs="Arial" w:eastAsia="Arial" w:hAnsi="Arial"/>
          <w:sz w:val="17"/>
          <w:szCs w:val="17"/>
          <w:color w:val="auto"/>
        </w:rPr>
      </w:pPr>
    </w:p>
    <w:p>
      <w:pPr>
        <w:ind w:left="1620" w:right="699" w:hanging="360"/>
        <w:spacing w:after="0" w:line="25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69" w:lineRule="auto"/>
        <w:rPr>
          <w:sz w:val="20"/>
          <w:szCs w:val="20"/>
          <w:color w:val="auto"/>
        </w:rPr>
      </w:pPr>
      <w:r>
        <w:rPr>
          <w:rFonts w:ascii="Arial" w:cs="Arial" w:eastAsia="Arial" w:hAnsi="Arial"/>
          <w:sz w:val="17"/>
          <w:szCs w:val="17"/>
          <w:color w:val="auto"/>
        </w:rPr>
        <w:t>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2020. Based on the unused share reserve of the assumed Cyberonics, Inc. 2009 Stock Plan, there remain 1,858,706 LivaNova Shares available for issuance thereunder, as converted in connection with the above-described merger Transaction.</w:t>
      </w:r>
    </w:p>
    <w:p>
      <w:pPr>
        <w:spacing w:after="0" w:line="33" w:lineRule="exact"/>
        <w:rPr>
          <w:sz w:val="20"/>
          <w:szCs w:val="20"/>
          <w:color w:val="auto"/>
        </w:rPr>
      </w:pPr>
    </w:p>
    <w:p>
      <w:pPr>
        <w:ind w:left="1620" w:right="559" w:hanging="360"/>
        <w:spacing w:after="0" w:line="254"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Cyberonics, Inc. New Employee Equity Inducement Plan (“New Employee Plan”) was not approved by the shareholders of Cyberonics. The New Employee Plan provides for the award of unrestricted shares, restricted stock and stock options to newly 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107"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Upon death or disability, all outstanding SARs immediately vest. All vested SARs expire three months following termination based upon the terms of the plan from which they were awarded. The service-based SARs, RSUs and PSUs granted in 2019 and 2020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RSUs and PSUs shall continue to vest on the date(s) set out in the applicable grant notice; provided all other terms that apply to the RSUs and PSUs are met, including the terms regarding restricted activities set forth in the award agreements.</w:t>
      </w:r>
    </w:p>
    <w:p>
      <w:pPr>
        <w:spacing w:after="0" w:line="111"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In the event of a change in control that occurs following the grant date, the SARs shall become fully vested and exercisable immediately prior to, but subject to the consummation of, such change in control, subject to NEO’s continuous employment with the company or a subsidiary through such change in control.</w:t>
      </w:r>
    </w:p>
    <w:p>
      <w:pPr>
        <w:spacing w:after="0" w:line="9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In the event of a change in control that occurs following the grant date, the RSUs, to the extent not forfeited or otherwise vested immediately prior to such change in control, shall become fully vested immediately prior to, but subject to the consummation of, such change in control, subject to the NEO’s continuous employment with the company or a subsidiary through such change in control.</w:t>
      </w:r>
    </w:p>
    <w:p>
      <w:pPr>
        <w:spacing w:after="0" w:line="90"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At times, as circumstances dictate, we also enter into additional separation arrangements with departing executive officers. Employment agreements and any additional separation arrangements for departing NEOs are set out below.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Damien McDonald</w:t>
      </w:r>
    </w:p>
    <w:p>
      <w:pPr>
        <w:spacing w:after="0" w:line="15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presents the potential payments that would have been made to Mr. McDonald if a termination or change-in-control event had occurred on December 31, 2020.</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Termination</w:t>
            </w: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Separation due to</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Separation due</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Separation due</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Separation due to</w:t>
            </w:r>
          </w:p>
        </w:tc>
      </w:tr>
      <w:tr>
        <w:trPr>
          <w:trHeight w:val="229"/>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Type of Payment or Benefit</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4"/>
          </w:tcPr>
          <w:p>
            <w:pPr>
              <w:jc w:val="center"/>
              <w:spacing w:after="0" w:line="230" w:lineRule="exact"/>
              <w:rPr>
                <w:sz w:val="20"/>
                <w:szCs w:val="20"/>
                <w:color w:val="auto"/>
              </w:rPr>
            </w:pPr>
            <w:r>
              <w:rPr>
                <w:rFonts w:ascii="Arial" w:cs="Arial" w:eastAsia="Arial" w:hAnsi="Arial"/>
                <w:sz w:val="14"/>
                <w:szCs w:val="14"/>
                <w:b w:val="1"/>
                <w:bCs w:val="1"/>
                <w:color w:val="auto"/>
                <w:w w:val="86"/>
              </w:rPr>
              <w:t>without Cause</w:t>
            </w:r>
            <w:r>
              <w:rPr>
                <w:rFonts w:ascii="Arial" w:cs="Arial" w:eastAsia="Arial" w:hAnsi="Arial"/>
                <w:sz w:val="21"/>
                <w:szCs w:val="21"/>
                <w:b w:val="1"/>
                <w:bCs w:val="1"/>
                <w:color w:val="auto"/>
                <w:w w:val="86"/>
                <w:vertAlign w:val="superscript"/>
              </w:rPr>
              <w:t>(1)</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spacing w:after="0" w:line="230" w:lineRule="exact"/>
              <w:rPr>
                <w:sz w:val="20"/>
                <w:szCs w:val="20"/>
                <w:color w:val="auto"/>
              </w:rPr>
            </w:pPr>
            <w:r>
              <w:rPr>
                <w:rFonts w:ascii="Arial" w:cs="Arial" w:eastAsia="Arial" w:hAnsi="Arial"/>
                <w:sz w:val="14"/>
                <w:szCs w:val="14"/>
                <w:b w:val="1"/>
                <w:bCs w:val="1"/>
                <w:color w:val="auto"/>
                <w:w w:val="88"/>
              </w:rPr>
              <w:t>Change in Control</w:t>
            </w:r>
            <w:r>
              <w:rPr>
                <w:rFonts w:ascii="Arial" w:cs="Arial" w:eastAsia="Arial" w:hAnsi="Arial"/>
                <w:sz w:val="21"/>
                <w:szCs w:val="21"/>
                <w:b w:val="1"/>
                <w:bCs w:val="1"/>
                <w:color w:val="auto"/>
                <w:w w:val="88"/>
                <w:vertAlign w:val="superscript"/>
              </w:rPr>
              <w:t>(2)</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4"/>
                <w:szCs w:val="14"/>
                <w:b w:val="1"/>
                <w:bCs w:val="1"/>
                <w:color w:val="auto"/>
                <w:w w:val="84"/>
              </w:rPr>
              <w:t>to Disability</w:t>
            </w:r>
            <w:r>
              <w:rPr>
                <w:rFonts w:ascii="Arial" w:cs="Arial" w:eastAsia="Arial" w:hAnsi="Arial"/>
                <w:sz w:val="21"/>
                <w:szCs w:val="21"/>
                <w:b w:val="1"/>
                <w:bCs w:val="1"/>
                <w:color w:val="auto"/>
                <w:w w:val="84"/>
                <w:vertAlign w:val="superscript"/>
              </w:rPr>
              <w:t>(3)</w:t>
            </w: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to Death</w:t>
            </w:r>
            <w:r>
              <w:rPr>
                <w:rFonts w:ascii="Arial" w:cs="Arial" w:eastAsia="Arial" w:hAnsi="Arial"/>
                <w:sz w:val="16"/>
                <w:szCs w:val="16"/>
                <w:b w:val="1"/>
                <w:bCs w:val="1"/>
                <w:color w:val="auto"/>
                <w:vertAlign w:val="superscript"/>
              </w:rPr>
              <w:t>(4)</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Retirement</w:t>
            </w:r>
          </w:p>
        </w:tc>
      </w:tr>
      <w:tr>
        <w:trPr>
          <w:trHeight w:val="250"/>
        </w:trPr>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973,663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$ 3,894,651</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7"/>
        </w:trPr>
        <w:tc>
          <w:tcPr>
            <w:tcW w:w="2220" w:type="dxa"/>
            <w:vAlign w:val="bottom"/>
            <w:gridSpan w:val="3"/>
          </w:tcPr>
          <w:p>
            <w:pPr>
              <w:spacing w:after="0"/>
              <w:rPr>
                <w:sz w:val="20"/>
                <w:szCs w:val="20"/>
                <w:color w:val="auto"/>
              </w:rPr>
            </w:pPr>
            <w:r>
              <w:rPr>
                <w:rFonts w:ascii="Arial" w:cs="Arial" w:eastAsia="Arial" w:hAnsi="Arial"/>
                <w:sz w:val="18"/>
                <w:szCs w:val="18"/>
                <w:color w:val="auto"/>
              </w:rPr>
              <w:t>STIP</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7"/>
        </w:trPr>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LTIP</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$6,295,266</w:t>
            </w:r>
          </w:p>
        </w:tc>
        <w:tc>
          <w:tcPr>
            <w:tcW w:w="260" w:type="dxa"/>
            <w:vAlign w:val="bottom"/>
            <w:tcBorders>
              <w:right w:val="single" w:sz="8" w:color="CCEEFF"/>
            </w:tcBorders>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$ 1,777,625</w:t>
            </w:r>
          </w:p>
        </w:tc>
        <w:tc>
          <w:tcPr>
            <w:tcW w:w="26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$ 1,777,625</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63"/>
        </w:trPr>
        <w:tc>
          <w:tcPr>
            <w:tcW w:w="2220" w:type="dxa"/>
            <w:vAlign w:val="bottom"/>
            <w:gridSpan w:val="3"/>
          </w:tcPr>
          <w:p>
            <w:pPr>
              <w:spacing w:after="0"/>
              <w:rPr>
                <w:sz w:val="20"/>
                <w:szCs w:val="20"/>
                <w:color w:val="auto"/>
              </w:rPr>
            </w:pPr>
            <w:r>
              <w:rPr>
                <w:rFonts w:ascii="Arial" w:cs="Arial" w:eastAsia="Arial" w:hAnsi="Arial"/>
                <w:sz w:val="18"/>
                <w:szCs w:val="18"/>
                <w:color w:val="auto"/>
              </w:rPr>
              <w:t>Benefits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246,039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0"/>
        </w:trPr>
        <w:tc>
          <w:tcPr>
            <w:tcW w:w="1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70"/>
        </w:trPr>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1,219,702</w:t>
            </w:r>
          </w:p>
        </w:tc>
        <w:tc>
          <w:tcPr>
            <w:tcW w:w="18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$6,295,266</w:t>
            </w:r>
          </w:p>
        </w:tc>
        <w:tc>
          <w:tcPr>
            <w:tcW w:w="260" w:type="dxa"/>
            <w:vAlign w:val="bottom"/>
            <w:tcBorders>
              <w:right w:val="single" w:sz="8" w:color="CCEEFF"/>
            </w:tcBorders>
            <w:shd w:val="clear" w:color="auto" w:fill="CCEEFF"/>
          </w:tcPr>
          <w:p>
            <w:pPr>
              <w:spacing w:after="0"/>
              <w:rPr>
                <w:sz w:val="23"/>
                <w:szCs w:val="23"/>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$ 1,777,625</w:t>
            </w:r>
          </w:p>
        </w:tc>
        <w:tc>
          <w:tcPr>
            <w:tcW w:w="260" w:type="dxa"/>
            <w:vAlign w:val="bottom"/>
            <w:tcBorders>
              <w:right w:val="single" w:sz="8" w:color="CCEEFF"/>
            </w:tcBorders>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$ 5,672,276</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16"/>
        </w:trPr>
        <w:tc>
          <w:tcPr>
            <w:tcW w:w="1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-325120</wp:posOffset>
            </wp:positionV>
            <wp:extent cx="8572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-325120</wp:posOffset>
            </wp:positionV>
            <wp:extent cx="1968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-325120</wp:posOffset>
            </wp:positionV>
            <wp:extent cx="2914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22802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-993775</wp:posOffset>
            </wp:positionV>
            <wp:extent cx="137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-993775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-993775</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-993775</wp:posOffset>
            </wp:positionV>
            <wp:extent cx="120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-993775</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represents 12 months of base salary</w:t>
      </w:r>
    </w:p>
    <w:p>
      <w:pPr>
        <w:spacing w:after="0" w:line="23" w:lineRule="exact"/>
        <w:rPr>
          <w:rFonts w:ascii="Arial" w:cs="Arial" w:eastAsia="Arial" w:hAnsi="Arial"/>
          <w:sz w:val="18"/>
          <w:szCs w:val="18"/>
          <w:color w:val="auto"/>
        </w:rPr>
      </w:pPr>
    </w:p>
    <w:p>
      <w:pPr>
        <w:ind w:left="1620" w:right="499"/>
        <w:spacing w:after="0" w:line="265" w:lineRule="auto"/>
        <w:rPr>
          <w:rFonts w:ascii="Arial" w:cs="Arial" w:eastAsia="Arial" w:hAnsi="Arial"/>
          <w:sz w:val="18"/>
          <w:szCs w:val="18"/>
          <w:color w:val="auto"/>
        </w:rPr>
      </w:pPr>
      <w:r>
        <w:rPr>
          <w:rFonts w:ascii="Arial" w:cs="Arial" w:eastAsia="Arial" w:hAnsi="Arial"/>
          <w:sz w:val="17"/>
          <w:szCs w:val="17"/>
          <w:color w:val="auto"/>
        </w:rPr>
        <w:t>($973,663) and includes a cash amount representing the value of the following benefits for a period of 12 months: pension ($129,894), accommodation ($76,976), school allowance ($16,396), and car allowance ($22,772).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 As to pension, this amount reflects 15% of</w:t>
      </w:r>
    </w:p>
    <w:p>
      <w:pPr>
        <w:ind w:left="1620"/>
        <w:spacing w:after="0"/>
        <w:rPr>
          <w:rFonts w:ascii="Arial" w:cs="Arial" w:eastAsia="Arial" w:hAnsi="Arial"/>
          <w:sz w:val="18"/>
          <w:szCs w:val="18"/>
          <w:color w:val="auto"/>
        </w:rPr>
      </w:pPr>
      <w:r>
        <w:rPr>
          <w:rFonts w:ascii="Arial" w:cs="Arial" w:eastAsia="Arial" w:hAnsi="Arial"/>
          <w:sz w:val="18"/>
          <w:szCs w:val="18"/>
          <w:color w:val="auto"/>
        </w:rPr>
        <w:t>Mr. McDonald’s compensation (consisting of base).</w:t>
      </w:r>
    </w:p>
    <w:p>
      <w:pPr>
        <w:spacing w:after="0" w:line="62" w:lineRule="exact"/>
        <w:rPr>
          <w:rFonts w:ascii="Arial" w:cs="Arial" w:eastAsia="Arial" w:hAnsi="Arial"/>
          <w:sz w:val="18"/>
          <w:szCs w:val="18"/>
          <w:color w:val="auto"/>
        </w:rPr>
      </w:pPr>
    </w:p>
    <w:p>
      <w:pPr>
        <w:ind w:left="1620" w:right="579" w:hanging="360"/>
        <w:spacing w:after="0" w:line="254"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payment in case of separation following a change in control is calculated adding (i) the amount resulting from multiplying the 68,232 RSUs subject to accelerated vesting by the closing market price at December 31, 2020 ($66.21) and (ii) the amount resulting from multiplying each SAR award subject to accelerated vesting by the difference between the closing market price at December 31, 2020 ($66.21) and the exercise price for each SAR, as follows (78,517 SARs with an exercise price of $43.57). This does not include SARs where the exercise price exceeds the market price.</w:t>
      </w:r>
    </w:p>
    <w:p>
      <w:pPr>
        <w:spacing w:after="0" w:line="32" w:lineRule="exact"/>
        <w:rPr>
          <w:rFonts w:ascii="Arial" w:cs="Arial" w:eastAsia="Arial" w:hAnsi="Arial"/>
          <w:sz w:val="18"/>
          <w:szCs w:val="18"/>
          <w:color w:val="auto"/>
        </w:rPr>
      </w:pPr>
    </w:p>
    <w:p>
      <w:pPr>
        <w:ind w:left="1620" w:right="579" w:hanging="360"/>
        <w:spacing w:after="0" w:line="25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payment amount in case of separation due to disability represents LTIP payments calculated by multiplying each SAR award subject to accelerated vesting in case of a disability by the difference between the closing market price at December 31, 2020 ($66.21) and the exercise price for each SAR, as follows (78,517 SARs with an exercise price of $43.57). This does not include SARs where the exercise price exceeds the market price.</w:t>
      </w:r>
    </w:p>
    <w:p>
      <w:pPr>
        <w:spacing w:after="0" w:line="25" w:lineRule="exact"/>
        <w:rPr>
          <w:rFonts w:ascii="Arial" w:cs="Arial" w:eastAsia="Arial" w:hAnsi="Arial"/>
          <w:sz w:val="18"/>
          <w:szCs w:val="18"/>
          <w:color w:val="auto"/>
        </w:rPr>
      </w:pPr>
    </w:p>
    <w:p>
      <w:pPr>
        <w:ind w:left="1620" w:right="539" w:hanging="360"/>
        <w:spacing w:after="0" w:line="254"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2020 ($66.21) and the exercise price for each SAR, as follows (78,517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779" w:hanging="360"/>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$1.282939471 per British Pound, which reflects the applicable period average published rate from our BOPC Accounting System between January 1, 2020 and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Thad Huston</w:t>
      </w:r>
    </w:p>
    <w:p>
      <w:pPr>
        <w:spacing w:after="0" w:line="144"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Mr. Huston resigned from the office of Chief Financial Officer on October 27, 2020. Mr. Huston’s employment with LivaNova will terminate on the first anniversary of the effective date (October 27, 2020), unless terminated earlier in accordance with the agreement. In connection with Mr. Huston’s termination of employment with the Company, the Company and Mr. Huston entered into an agreement, the material terms of which are as follows;</w:t>
      </w:r>
    </w:p>
    <w:p>
      <w:pPr>
        <w:spacing w:after="0" w:line="81"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LivaNova will pay his normal remuneration and benefits required;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will be reimbursed in connection with Mr. Huston’s employment;</w:t>
      </w:r>
    </w:p>
    <w:p>
      <w:pPr>
        <w:spacing w:after="0" w:line="103" w:lineRule="exact"/>
        <w:rPr>
          <w:rFonts w:ascii="Arial" w:cs="Arial" w:eastAsia="Arial" w:hAnsi="Arial"/>
          <w:sz w:val="18"/>
          <w:szCs w:val="18"/>
          <w:color w:val="auto"/>
        </w:rPr>
      </w:pPr>
    </w:p>
    <w:p>
      <w:pPr>
        <w:ind w:left="1800" w:right="859" w:hanging="180"/>
        <w:spacing w:after="0" w:line="286"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Severance payment in the amount of £250,000 ($320,735), as compensation for the loss of employment, including loss of office, and damages for breach of contract, less such sums as the Company is obliged by law to deduct by way of tax and employee’s National Insurance;</w:t>
      </w:r>
    </w:p>
    <w:p>
      <w:pPr>
        <w:spacing w:after="0" w:line="57"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STIP: Mr. Huston will receive his annual non-equity incentive in accordance with the agreement and approvals of the STIP, payout of 15% which equates to £55,905 ($71,723);</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59"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Equity Awards: Mr. Huston is not eligible to receive any further equity awards. Any outstanding equity awards previously granted will continue to vest, in accordance with their terms during the period through to the termination date. All unvested equity awards will immediately lapse on the termination date pursuant their terms.</w:t>
      </w:r>
    </w:p>
    <w:p>
      <w:pPr>
        <w:spacing w:after="0" w:line="7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Relocation Assistance: relocation services provided via a vendor for a total maximum cost of £100,000 ($128,294);</w:t>
      </w:r>
    </w:p>
    <w:p>
      <w:pPr>
        <w:spacing w:after="0" w:line="62" w:lineRule="exact"/>
        <w:rPr>
          <w:rFonts w:ascii="Arial" w:cs="Arial" w:eastAsia="Arial" w:hAnsi="Arial"/>
          <w:sz w:val="18"/>
          <w:szCs w:val="18"/>
          <w:color w:val="auto"/>
        </w:rPr>
      </w:pPr>
    </w:p>
    <w:p>
      <w:pPr>
        <w:ind w:left="1800" w:right="499" w:hanging="180"/>
        <w:spacing w:after="0" w:line="25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 Assistance: Mr. Huston will receive tax assistance through a professional tax service firm for the preparation and filing of the 2021 US tax year and 2020/2021 and 2021/2022 UK tax years. In addition, the tax consultant will provide a consultation to explain tax implications resulting from the end of the employment relationship, the relocation to the US and to review Mr. Huston’s expected tax responsibilities associated with it; and</w:t>
      </w:r>
    </w:p>
    <w:p>
      <w:pPr>
        <w:spacing w:after="0" w:line="79"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Attorney fees: reimbursement not exceeding £5,000 ($6,415) plus VAT to the Adviser in respect of legal fees incurred in taking independent legal advice in relation to Mr. Huston’s separation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Alex Shvarstburg</w:t>
      </w:r>
    </w:p>
    <w:p>
      <w:pPr>
        <w:spacing w:after="0" w:line="144"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Shvartsburg if a termination or change-in-control event had occurred on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Separation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Termination</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due to</w:t>
            </w:r>
          </w:p>
        </w:tc>
        <w:tc>
          <w:tcPr>
            <w:tcW w:w="12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8"/>
              </w:rPr>
              <w:t>Separation due</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Separation due</w:t>
            </w: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Separation</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40"/>
              <w:spacing w:after="0" w:line="144" w:lineRule="exact"/>
              <w:rPr>
                <w:sz w:val="20"/>
                <w:szCs w:val="20"/>
                <w:color w:val="auto"/>
              </w:rPr>
            </w:pPr>
            <w:r>
              <w:rPr>
                <w:rFonts w:ascii="Arial" w:cs="Arial" w:eastAsia="Arial" w:hAnsi="Arial"/>
                <w:sz w:val="14"/>
                <w:szCs w:val="14"/>
                <w:b w:val="1"/>
                <w:bCs w:val="1"/>
                <w:color w:val="auto"/>
                <w:w w:val="92"/>
              </w:rPr>
              <w:t>without</w:t>
            </w: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Change in</w:t>
            </w:r>
          </w:p>
        </w:tc>
        <w:tc>
          <w:tcPr>
            <w:tcW w:w="120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80" w:type="dxa"/>
            <w:vAlign w:val="bottom"/>
            <w:gridSpan w:val="3"/>
          </w:tcPr>
          <w:p>
            <w:pPr>
              <w:jc w:val="center"/>
              <w:ind w:right="20"/>
              <w:spacing w:after="0" w:line="144" w:lineRule="exact"/>
              <w:rPr>
                <w:sz w:val="20"/>
                <w:szCs w:val="20"/>
                <w:color w:val="auto"/>
              </w:rPr>
            </w:pPr>
            <w:r>
              <w:rPr>
                <w:rFonts w:ascii="Arial" w:cs="Arial" w:eastAsia="Arial" w:hAnsi="Arial"/>
                <w:sz w:val="14"/>
                <w:szCs w:val="14"/>
                <w:b w:val="1"/>
                <w:bCs w:val="1"/>
                <w:color w:val="auto"/>
                <w:w w:val="90"/>
              </w:rPr>
              <w:t>due to</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Payment or Benefit</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1"/>
              </w:rPr>
              <w:t>Cause</w:t>
            </w:r>
            <w:r>
              <w:rPr>
                <w:rFonts w:ascii="Arial" w:cs="Arial" w:eastAsia="Arial" w:hAnsi="Arial"/>
                <w:sz w:val="21"/>
                <w:szCs w:val="21"/>
                <w:b w:val="1"/>
                <w:bCs w:val="1"/>
                <w:color w:val="auto"/>
                <w:w w:val="81"/>
                <w:vertAlign w:val="superscript"/>
              </w:rPr>
              <w:t>(1)</w:t>
            </w:r>
          </w:p>
        </w:tc>
        <w:tc>
          <w:tcPr>
            <w:tcW w:w="2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Control</w:t>
            </w:r>
            <w:r>
              <w:rPr>
                <w:rFonts w:ascii="Arial" w:cs="Arial" w:eastAsia="Arial" w:hAnsi="Arial"/>
                <w:sz w:val="21"/>
                <w:szCs w:val="21"/>
                <w:b w:val="1"/>
                <w:bCs w:val="1"/>
                <w:color w:val="auto"/>
                <w:w w:val="86"/>
                <w:vertAlign w:val="superscript"/>
              </w:rPr>
              <w:t>(2)</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to Disability</w:t>
            </w:r>
            <w:r>
              <w:rPr>
                <w:rFonts w:ascii="Arial" w:cs="Arial" w:eastAsia="Arial" w:hAnsi="Arial"/>
                <w:sz w:val="21"/>
                <w:szCs w:val="21"/>
                <w:b w:val="1"/>
                <w:bCs w:val="1"/>
                <w:color w:val="auto"/>
                <w:w w:val="84"/>
                <w:vertAlign w:val="superscript"/>
              </w:rPr>
              <w:t>(3)</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4"/>
              </w:rPr>
              <w:t>to Death</w:t>
            </w:r>
            <w:r>
              <w:rPr>
                <w:rFonts w:ascii="Arial" w:cs="Arial" w:eastAsia="Arial" w:hAnsi="Arial"/>
                <w:sz w:val="21"/>
                <w:szCs w:val="21"/>
                <w:b w:val="1"/>
                <w:bCs w:val="1"/>
                <w:color w:val="auto"/>
                <w:w w:val="84"/>
                <w:vertAlign w:val="superscript"/>
              </w:rPr>
              <w:t>(4)</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Retirement</w:t>
            </w: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$80,276</w:t>
            </w:r>
          </w:p>
        </w:tc>
        <w:tc>
          <w:tcPr>
            <w:tcW w:w="240" w:type="dxa"/>
            <w:vAlign w:val="bottom"/>
            <w:tcBorders>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1,284,412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STIP</w:t>
            </w:r>
          </w:p>
        </w:tc>
        <w:tc>
          <w:tcPr>
            <w:tcW w:w="80" w:type="dxa"/>
            <w:vAlign w:val="bottom"/>
          </w:tcPr>
          <w:p>
            <w:pPr>
              <w:spacing w:after="0"/>
              <w:rPr>
                <w:sz w:val="22"/>
                <w:szCs w:val="22"/>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w:t>
            </w: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$1,117,767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$ 177,452</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0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$80,276</w:t>
            </w:r>
          </w:p>
        </w:tc>
        <w:tc>
          <w:tcPr>
            <w:tcW w:w="8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$1,117,767</w:t>
            </w:r>
          </w:p>
        </w:tc>
        <w:tc>
          <w:tcPr>
            <w:tcW w:w="12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1,461,864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-179070</wp:posOffset>
            </wp:positionV>
            <wp:extent cx="6083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-179070</wp:posOffset>
            </wp:positionV>
            <wp:extent cx="2400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-179070</wp:posOffset>
            </wp:positionV>
            <wp:extent cx="2057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2665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-847725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-847725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-847725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-847725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-847725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1139" w:hanging="36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represents 3 months of base salary ($80,276).</w:t>
      </w:r>
    </w:p>
    <w:p>
      <w:pPr>
        <w:spacing w:after="0" w:line="35" w:lineRule="exact"/>
        <w:rPr>
          <w:rFonts w:ascii="Arial" w:cs="Arial" w:eastAsia="Arial" w:hAnsi="Arial"/>
          <w:sz w:val="18"/>
          <w:szCs w:val="18"/>
          <w:color w:val="auto"/>
        </w:rPr>
      </w:pPr>
    </w:p>
    <w:p>
      <w:pPr>
        <w:ind w:left="1620" w:right="579" w:hanging="360"/>
        <w:spacing w:after="0" w:line="25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14,202 RSUs subject to accelerated vesting by the closing market price at December 31, 2020 ($66.21) and (ii) the amount resulting from multiplying each SAR award subject to accelerated vesting by the difference between the closing market price at December 31, 2020 ($66.21) and the exercise price for each SAR, as follows (7,838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579" w:hanging="360"/>
        <w:spacing w:after="0" w:line="25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disability represents LTIP payments calculated by multiplying each SAR award subject to accelerated vesting by the difference between the closing market price at December 31, 2020 ($66.21) and the exercise price for each SAR, as follows (7,838 SARs with an exercise price of $43.57). This does not include SARs where the exercise price exceeds the market price.</w:t>
      </w:r>
    </w:p>
    <w:p>
      <w:pPr>
        <w:spacing w:after="0" w:line="39" w:lineRule="exact"/>
        <w:rPr>
          <w:rFonts w:ascii="Arial" w:cs="Arial" w:eastAsia="Arial" w:hAnsi="Arial"/>
          <w:sz w:val="18"/>
          <w:szCs w:val="18"/>
          <w:color w:val="auto"/>
        </w:rPr>
      </w:pPr>
    </w:p>
    <w:p>
      <w:pPr>
        <w:ind w:left="1620" w:right="499" w:hanging="360"/>
        <w:spacing w:after="0" w:line="25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2020 ($66.21) and the exercise price for each SAR, as follows (7,838 SARs with an exercise price of $43.57). This does not include SARs where the exercise price exceeds the market price.</w:t>
      </w: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$1.282939471 per British Pound, which reflects the applicable period average published rate from our BOPC Accounting System between January 1, 2020 and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Keyna Skeffington</w:t>
      </w:r>
    </w:p>
    <w:p>
      <w:pPr>
        <w:spacing w:after="0" w:line="144"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Ms. Skeffington if a termination or change-in-control event had occurred on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Separation due to</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8"/>
        </w:trPr>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3"/>
                <w:szCs w:val="13"/>
                <w:color w:val="auto"/>
              </w:rPr>
            </w:pPr>
          </w:p>
        </w:tc>
        <w:tc>
          <w:tcPr>
            <w:tcW w:w="108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Change in</w:t>
            </w:r>
          </w:p>
        </w:tc>
        <w:tc>
          <w:tcPr>
            <w:tcW w:w="1300" w:type="dxa"/>
            <w:vAlign w:val="bottom"/>
            <w:gridSpan w:val="4"/>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Separation due to</w:t>
            </w:r>
          </w:p>
        </w:tc>
        <w:tc>
          <w:tcPr>
            <w:tcW w:w="1280" w:type="dxa"/>
            <w:vAlign w:val="bottom"/>
            <w:gridSpan w:val="5"/>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Separation due to</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7"/>
              </w:rPr>
              <w:t>Separation due to</w:t>
            </w:r>
          </w:p>
        </w:tc>
      </w:tr>
      <w:tr>
        <w:trPr>
          <w:trHeight w:val="22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Payment or Benefit</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spacing w:after="0" w:line="230" w:lineRule="exact"/>
              <w:rPr>
                <w:sz w:val="20"/>
                <w:szCs w:val="20"/>
                <w:color w:val="auto"/>
              </w:rPr>
            </w:pPr>
            <w:r>
              <w:rPr>
                <w:rFonts w:ascii="Arial" w:cs="Arial" w:eastAsia="Arial" w:hAnsi="Arial"/>
                <w:sz w:val="14"/>
                <w:szCs w:val="14"/>
                <w:b w:val="1"/>
                <w:bCs w:val="1"/>
                <w:color w:val="auto"/>
                <w:w w:val="85"/>
              </w:rPr>
              <w:t>without Cause</w:t>
            </w:r>
            <w:r>
              <w:rPr>
                <w:rFonts w:ascii="Arial" w:cs="Arial" w:eastAsia="Arial" w:hAnsi="Arial"/>
                <w:sz w:val="21"/>
                <w:szCs w:val="21"/>
                <w:b w:val="1"/>
                <w:bCs w:val="1"/>
                <w:color w:val="auto"/>
                <w:w w:val="85"/>
                <w:vertAlign w:val="superscript"/>
              </w:rPr>
              <w:t>(1)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180"/>
              <w:spacing w:after="0" w:line="230" w:lineRule="exact"/>
              <w:rPr>
                <w:sz w:val="20"/>
                <w:szCs w:val="20"/>
                <w:color w:val="auto"/>
              </w:rPr>
            </w:pPr>
            <w:r>
              <w:rPr>
                <w:rFonts w:ascii="Arial" w:cs="Arial" w:eastAsia="Arial" w:hAnsi="Arial"/>
                <w:sz w:val="14"/>
                <w:szCs w:val="14"/>
                <w:b w:val="1"/>
                <w:bCs w:val="1"/>
                <w:color w:val="auto"/>
                <w:w w:val="86"/>
              </w:rPr>
              <w:t>Control</w:t>
            </w:r>
            <w:r>
              <w:rPr>
                <w:rFonts w:ascii="Arial" w:cs="Arial" w:eastAsia="Arial" w:hAnsi="Arial"/>
                <w:sz w:val="21"/>
                <w:szCs w:val="21"/>
                <w:b w:val="1"/>
                <w:bCs w:val="1"/>
                <w:color w:val="auto"/>
                <w:w w:val="86"/>
                <w:vertAlign w:val="superscript"/>
              </w:rPr>
              <w:t>(2)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80"/>
              <w:spacing w:after="0" w:line="230" w:lineRule="exact"/>
              <w:rPr>
                <w:sz w:val="20"/>
                <w:szCs w:val="20"/>
                <w:color w:val="auto"/>
              </w:rPr>
            </w:pPr>
            <w:r>
              <w:rPr>
                <w:rFonts w:ascii="Arial" w:cs="Arial" w:eastAsia="Arial" w:hAnsi="Arial"/>
                <w:sz w:val="14"/>
                <w:szCs w:val="14"/>
                <w:b w:val="1"/>
                <w:bCs w:val="1"/>
                <w:color w:val="auto"/>
                <w:w w:val="85"/>
              </w:rPr>
              <w:t>Disability</w:t>
            </w:r>
            <w:r>
              <w:rPr>
                <w:rFonts w:ascii="Arial" w:cs="Arial" w:eastAsia="Arial" w:hAnsi="Arial"/>
                <w:sz w:val="21"/>
                <w:szCs w:val="21"/>
                <w:b w:val="1"/>
                <w:bCs w:val="1"/>
                <w:color w:val="auto"/>
                <w:w w:val="85"/>
                <w:vertAlign w:val="superscript"/>
              </w:rPr>
              <w:t>(3)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220"/>
              <w:spacing w:after="0" w:line="230" w:lineRule="exact"/>
              <w:rPr>
                <w:sz w:val="20"/>
                <w:szCs w:val="20"/>
                <w:color w:val="auto"/>
              </w:rPr>
            </w:pPr>
            <w:r>
              <w:rPr>
                <w:rFonts w:ascii="Arial" w:cs="Arial" w:eastAsia="Arial" w:hAnsi="Arial"/>
                <w:sz w:val="14"/>
                <w:szCs w:val="14"/>
                <w:b w:val="1"/>
                <w:bCs w:val="1"/>
                <w:color w:val="auto"/>
                <w:w w:val="85"/>
              </w:rPr>
              <w:t>Death</w:t>
            </w:r>
            <w:r>
              <w:rPr>
                <w:rFonts w:ascii="Arial" w:cs="Arial" w:eastAsia="Arial" w:hAnsi="Arial"/>
                <w:sz w:val="21"/>
                <w:szCs w:val="21"/>
                <w:b w:val="1"/>
                <w:bCs w:val="1"/>
                <w:color w:val="auto"/>
                <w:w w:val="85"/>
                <w:vertAlign w:val="superscript"/>
              </w:rPr>
              <w:t>(4)</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Retirement</w:t>
            </w:r>
          </w:p>
        </w:tc>
      </w:tr>
      <w:tr>
        <w:trPr>
          <w:trHeight w:val="25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$436,199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1,744,798</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7"/>
        </w:trPr>
        <w:tc>
          <w:tcPr>
            <w:tcW w:w="2100" w:type="dxa"/>
            <w:vAlign w:val="bottom"/>
            <w:gridSpan w:val="2"/>
          </w:tcPr>
          <w:p>
            <w:pPr>
              <w:spacing w:after="0"/>
              <w:rPr>
                <w:sz w:val="20"/>
                <w:szCs w:val="20"/>
                <w:color w:val="auto"/>
              </w:rPr>
            </w:pPr>
            <w:r>
              <w:rPr>
                <w:rFonts w:ascii="Arial" w:cs="Arial" w:eastAsia="Arial" w:hAnsi="Arial"/>
                <w:sz w:val="18"/>
                <w:szCs w:val="18"/>
                <w:color w:val="auto"/>
              </w:rPr>
              <w:t>STIP</w:t>
            </w:r>
          </w:p>
        </w:tc>
        <w:tc>
          <w:tcPr>
            <w:tcW w:w="140" w:type="dxa"/>
            <w:vAlign w:val="bottom"/>
          </w:tcPr>
          <w:p>
            <w:pPr>
              <w:spacing w:after="0"/>
              <w:rPr>
                <w:sz w:val="22"/>
                <w:szCs w:val="22"/>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w:t>
            </w: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$694,883</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$379,228</w:t>
            </w:r>
          </w:p>
        </w:tc>
        <w:tc>
          <w:tcPr>
            <w:tcW w:w="2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379,228</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63"/>
        </w:trPr>
        <w:tc>
          <w:tcPr>
            <w:tcW w:w="210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40" w:type="dxa"/>
            <w:vAlign w:val="bottom"/>
          </w:tcPr>
          <w:p>
            <w:pPr>
              <w:spacing w:after="0"/>
              <w:rPr>
                <w:sz w:val="22"/>
                <w:szCs w:val="22"/>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0"/>
        </w:trPr>
        <w:tc>
          <w:tcPr>
            <w:tcW w:w="1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7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$436,199</w:t>
            </w:r>
          </w:p>
        </w:tc>
        <w:tc>
          <w:tcPr>
            <w:tcW w:w="18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$694,883</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2,124,026</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-179705</wp:posOffset>
            </wp:positionV>
            <wp:extent cx="9086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-179705</wp:posOffset>
            </wp:positionV>
            <wp:extent cx="3429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-179705</wp:posOffset>
            </wp:positionV>
            <wp:extent cx="3683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21945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-848360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-848360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-848360</wp:posOffset>
            </wp:positionV>
            <wp:extent cx="120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-848360</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-848360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679" w:hanging="360"/>
        <w:spacing w:after="0" w:line="25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represents 12 months of base salary ($436,199). LivaNova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w:t>
      </w:r>
    </w:p>
    <w:p>
      <w:pPr>
        <w:spacing w:after="0" w:line="52" w:lineRule="exact"/>
        <w:rPr>
          <w:rFonts w:ascii="Arial" w:cs="Arial" w:eastAsia="Arial" w:hAnsi="Arial"/>
          <w:sz w:val="18"/>
          <w:szCs w:val="18"/>
          <w:color w:val="auto"/>
        </w:rPr>
      </w:pPr>
    </w:p>
    <w:p>
      <w:pPr>
        <w:ind w:left="1620" w:right="579" w:hanging="360"/>
        <w:spacing w:after="0" w:line="254"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10,137 RSUs subject to accelerated vesting by the closing market price at December 31, 2020 ($66.21) and (ii) the amount resulting from multiplying each SAR award subject to accelerated vesting by the difference between the closing market price at December 31, 2020 ($66.21) and the exercise price for each SAR, as follows (3,800 SARs with an exercise price of $59.97) and (15,4703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479" w:hanging="360"/>
        <w:spacing w:after="0" w:line="275"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potential payment amount in case of separation due to disability represents LTIP payments calculated by multiplying each SAR award subject to accelerated vesting by the difference between the closing market price at December 31, 2020 ($66.21) and the exercise price for each SAR, as follows (3,800 SARs with an exercise price of $59.97) and (15,4703 SARs with an exercise price of $43.57). This does not include SARs where the exercise price exceeds the market price.</w:t>
      </w:r>
    </w:p>
    <w:p>
      <w:pPr>
        <w:spacing w:after="0" w:line="27" w:lineRule="exact"/>
        <w:rPr>
          <w:rFonts w:ascii="Arial" w:cs="Arial" w:eastAsia="Arial" w:hAnsi="Arial"/>
          <w:sz w:val="17"/>
          <w:szCs w:val="17"/>
          <w:color w:val="auto"/>
        </w:rPr>
      </w:pPr>
    </w:p>
    <w:p>
      <w:pPr>
        <w:ind w:left="1620" w:right="619" w:hanging="360"/>
        <w:spacing w:after="0" w:line="272"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2020 ($66.21) and the exercise price for each SAR, as follows (3,800 SARs with an exercise price of $59.97) and (15,4703 SARs with an exercise price of $43.57). This does not include SARs where the exercise price exceeds the market price.</w:t>
      </w:r>
    </w:p>
    <w:p>
      <w:pPr>
        <w:spacing w:after="0" w:line="42" w:lineRule="exact"/>
        <w:rPr>
          <w:rFonts w:ascii="Arial" w:cs="Arial" w:eastAsia="Arial" w:hAnsi="Arial"/>
          <w:sz w:val="17"/>
          <w:szCs w:val="17"/>
          <w:color w:val="auto"/>
        </w:rPr>
      </w:pPr>
    </w:p>
    <w:p>
      <w:pPr>
        <w:ind w:left="1620" w:right="819" w:hanging="360"/>
        <w:spacing w:after="0" w:line="263"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amounts in this table, we used an exchange rate of $1.282939471 per British Pound, which reflects the applicable period average published rate from our BOPC Accounting System between January 1, 2020 and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Marco Dolci</w:t>
      </w:r>
    </w:p>
    <w:p>
      <w:pPr>
        <w:spacing w:after="0" w:line="14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Dolci if a termination or change-in-control event had occurred on December 31, 2020.</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Separation due to</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8"/>
        </w:trPr>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3"/>
                <w:szCs w:val="13"/>
                <w:color w:val="auto"/>
              </w:rPr>
            </w:pPr>
          </w:p>
        </w:tc>
        <w:tc>
          <w:tcPr>
            <w:tcW w:w="116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Change in</w:t>
            </w:r>
          </w:p>
        </w:tc>
        <w:tc>
          <w:tcPr>
            <w:tcW w:w="1300" w:type="dxa"/>
            <w:vAlign w:val="bottom"/>
            <w:gridSpan w:val="4"/>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Separation due to</w:t>
            </w:r>
          </w:p>
        </w:tc>
        <w:tc>
          <w:tcPr>
            <w:tcW w:w="12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Separation due to</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7"/>
              </w:rPr>
              <w:t>Separation due to</w:t>
            </w:r>
          </w:p>
        </w:tc>
      </w:tr>
      <w:tr>
        <w:trPr>
          <w:trHeight w:val="22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Payment or Benefit</w:t>
            </w:r>
          </w:p>
        </w:tc>
        <w:tc>
          <w:tcPr>
            <w:tcW w:w="200" w:type="dxa"/>
            <w:vAlign w:val="bottom"/>
            <w:tcBorders>
              <w:bottom w:val="single" w:sz="8" w:color="CCEEFF"/>
            </w:tcBorders>
            <w:gridSpan w:val="2"/>
          </w:tcPr>
          <w:p>
            <w:pPr>
              <w:spacing w:after="0"/>
              <w:rPr>
                <w:sz w:val="19"/>
                <w:szCs w:val="19"/>
                <w:color w:val="auto"/>
              </w:rPr>
            </w:pPr>
          </w:p>
        </w:tc>
        <w:tc>
          <w:tcPr>
            <w:tcW w:w="980" w:type="dxa"/>
            <w:vAlign w:val="bottom"/>
            <w:tcBorders>
              <w:bottom w:val="single" w:sz="8" w:color="auto"/>
            </w:tcBorders>
            <w:gridSpan w:val="3"/>
          </w:tcPr>
          <w:p>
            <w:pPr>
              <w:jc w:val="right"/>
              <w:spacing w:after="0" w:line="230" w:lineRule="exact"/>
              <w:rPr>
                <w:sz w:val="20"/>
                <w:szCs w:val="20"/>
                <w:color w:val="auto"/>
              </w:rPr>
            </w:pPr>
            <w:r>
              <w:rPr>
                <w:rFonts w:ascii="Arial" w:cs="Arial" w:eastAsia="Arial" w:hAnsi="Arial"/>
                <w:sz w:val="14"/>
                <w:szCs w:val="14"/>
                <w:b w:val="1"/>
                <w:bCs w:val="1"/>
                <w:color w:val="auto"/>
                <w:w w:val="85"/>
              </w:rPr>
              <w:t>without Cause</w:t>
            </w:r>
            <w:r>
              <w:rPr>
                <w:rFonts w:ascii="Arial" w:cs="Arial" w:eastAsia="Arial" w:hAnsi="Arial"/>
                <w:sz w:val="21"/>
                <w:szCs w:val="21"/>
                <w:b w:val="1"/>
                <w:bCs w:val="1"/>
                <w:color w:val="auto"/>
                <w:w w:val="85"/>
                <w:vertAlign w:val="superscript"/>
              </w:rPr>
              <w:t>(1)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00"/>
              <w:spacing w:after="0" w:line="230" w:lineRule="exact"/>
              <w:rPr>
                <w:sz w:val="20"/>
                <w:szCs w:val="20"/>
                <w:color w:val="auto"/>
              </w:rPr>
            </w:pPr>
            <w:r>
              <w:rPr>
                <w:rFonts w:ascii="Arial" w:cs="Arial" w:eastAsia="Arial" w:hAnsi="Arial"/>
                <w:sz w:val="14"/>
                <w:szCs w:val="14"/>
                <w:b w:val="1"/>
                <w:bCs w:val="1"/>
                <w:color w:val="auto"/>
                <w:w w:val="86"/>
              </w:rPr>
              <w:t>Control</w:t>
            </w:r>
            <w:r>
              <w:rPr>
                <w:rFonts w:ascii="Arial" w:cs="Arial" w:eastAsia="Arial" w:hAnsi="Arial"/>
                <w:sz w:val="21"/>
                <w:szCs w:val="21"/>
                <w:b w:val="1"/>
                <w:bCs w:val="1"/>
                <w:color w:val="auto"/>
                <w:w w:val="86"/>
                <w:vertAlign w:val="superscript"/>
              </w:rPr>
              <w:t>(2)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80"/>
              <w:spacing w:after="0" w:line="230" w:lineRule="exact"/>
              <w:rPr>
                <w:sz w:val="20"/>
                <w:szCs w:val="20"/>
                <w:color w:val="auto"/>
              </w:rPr>
            </w:pPr>
            <w:r>
              <w:rPr>
                <w:rFonts w:ascii="Arial" w:cs="Arial" w:eastAsia="Arial" w:hAnsi="Arial"/>
                <w:sz w:val="14"/>
                <w:szCs w:val="14"/>
                <w:b w:val="1"/>
                <w:bCs w:val="1"/>
                <w:color w:val="auto"/>
                <w:w w:val="85"/>
              </w:rPr>
              <w:t>Disability</w:t>
            </w:r>
            <w:r>
              <w:rPr>
                <w:rFonts w:ascii="Arial" w:cs="Arial" w:eastAsia="Arial" w:hAnsi="Arial"/>
                <w:sz w:val="21"/>
                <w:szCs w:val="21"/>
                <w:b w:val="1"/>
                <w:bCs w:val="1"/>
                <w:color w:val="auto"/>
                <w:w w:val="85"/>
                <w:vertAlign w:val="superscript"/>
              </w:rPr>
              <w:t>(3)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00"/>
              <w:spacing w:after="0" w:line="230" w:lineRule="exact"/>
              <w:rPr>
                <w:sz w:val="20"/>
                <w:szCs w:val="20"/>
                <w:color w:val="auto"/>
              </w:rPr>
            </w:pPr>
            <w:r>
              <w:rPr>
                <w:rFonts w:ascii="Arial" w:cs="Arial" w:eastAsia="Arial" w:hAnsi="Arial"/>
                <w:sz w:val="14"/>
                <w:szCs w:val="14"/>
                <w:b w:val="1"/>
                <w:bCs w:val="1"/>
                <w:color w:val="auto"/>
              </w:rPr>
              <w:t>Death</w:t>
            </w:r>
            <w:r>
              <w:rPr>
                <w:rFonts w:ascii="Arial" w:cs="Arial" w:eastAsia="Arial" w:hAnsi="Arial"/>
                <w:sz w:val="21"/>
                <w:szCs w:val="21"/>
                <w:b w:val="1"/>
                <w:bCs w:val="1"/>
                <w:color w:val="auto"/>
                <w:vertAlign w:val="superscript"/>
              </w:rPr>
              <w:t>(4)</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Retirement</w:t>
            </w:r>
          </w:p>
        </w:tc>
      </w:tr>
      <w:tr>
        <w:trPr>
          <w:trHeight w:val="250"/>
        </w:trPr>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$720,294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$570,190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7"/>
        </w:trPr>
        <w:tc>
          <w:tcPr>
            <w:tcW w:w="2100" w:type="dxa"/>
            <w:vAlign w:val="bottom"/>
            <w:gridSpan w:val="3"/>
          </w:tcPr>
          <w:p>
            <w:pPr>
              <w:spacing w:after="0"/>
              <w:rPr>
                <w:sz w:val="20"/>
                <w:szCs w:val="20"/>
                <w:color w:val="auto"/>
              </w:rPr>
            </w:pPr>
            <w:r>
              <w:rPr>
                <w:rFonts w:ascii="Arial" w:cs="Arial" w:eastAsia="Arial" w:hAnsi="Arial"/>
                <w:sz w:val="18"/>
                <w:szCs w:val="18"/>
                <w:color w:val="auto"/>
              </w:rPr>
              <w:t>STIP</w:t>
            </w:r>
          </w:p>
        </w:tc>
        <w:tc>
          <w:tcPr>
            <w:tcW w:w="140" w:type="dxa"/>
            <w:vAlign w:val="bottom"/>
          </w:tcPr>
          <w:p>
            <w:pPr>
              <w:spacing w:after="0"/>
              <w:rPr>
                <w:sz w:val="22"/>
                <w:szCs w:val="22"/>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56"/>
        </w:trPr>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LTIP</w:t>
            </w: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$1,060,983</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$355,516</w:t>
            </w:r>
          </w:p>
        </w:tc>
        <w:tc>
          <w:tcPr>
            <w:tcW w:w="2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$355,516</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63"/>
        </w:trPr>
        <w:tc>
          <w:tcPr>
            <w:tcW w:w="2100" w:type="dxa"/>
            <w:vAlign w:val="bottom"/>
            <w:gridSpan w:val="3"/>
          </w:tcPr>
          <w:p>
            <w:pPr>
              <w:spacing w:after="0"/>
              <w:rPr>
                <w:sz w:val="20"/>
                <w:szCs w:val="20"/>
                <w:color w:val="auto"/>
              </w:rPr>
            </w:pPr>
            <w:r>
              <w:rPr>
                <w:rFonts w:ascii="Arial" w:cs="Arial" w:eastAsia="Arial" w:hAnsi="Arial"/>
                <w:sz w:val="18"/>
                <w:szCs w:val="18"/>
                <w:color w:val="auto"/>
              </w:rPr>
              <w:t>Benefits</w:t>
            </w:r>
          </w:p>
        </w:tc>
        <w:tc>
          <w:tcPr>
            <w:tcW w:w="140" w:type="dxa"/>
            <w:vAlign w:val="bottom"/>
          </w:tcPr>
          <w:p>
            <w:pPr>
              <w:spacing w:after="0"/>
              <w:rPr>
                <w:sz w:val="22"/>
                <w:szCs w:val="22"/>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0"/>
        </w:trPr>
        <w:tc>
          <w:tcPr>
            <w:tcW w:w="1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70"/>
        </w:trPr>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$720,294</w:t>
            </w:r>
          </w:p>
        </w:tc>
        <w:tc>
          <w:tcPr>
            <w:tcW w:w="18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$1,060,983</w:t>
            </w:r>
          </w:p>
        </w:tc>
        <w:tc>
          <w:tcPr>
            <w:tcW w:w="20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$355,516</w:t>
            </w:r>
          </w:p>
        </w:tc>
        <w:tc>
          <w:tcPr>
            <w:tcW w:w="22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$925,706</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16"/>
        </w:trPr>
        <w:tc>
          <w:tcPr>
            <w:tcW w:w="1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-993775</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-993775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-993775</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-993775</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-993775</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4" w:lineRule="exact"/>
        <w:rPr>
          <w:sz w:val="20"/>
          <w:szCs w:val="20"/>
          <w:color w:val="auto"/>
        </w:rPr>
      </w:pPr>
    </w:p>
    <w:p>
      <w:pPr>
        <w:ind w:left="1620" w:right="479" w:hanging="360"/>
        <w:spacing w:after="0" w:line="255"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per the applicable Italian Collective agreement represents 6 months of base salary, plus average bonus paid in the last 3 years divided by 36 (For a total of $360,147). In addition, according in the event of unjustified dismissal, the employee is entitled to an additional indemnity calculated according to seniority within the company that ranges from 4 to 8 months for executives with two to six year of seniority. For purpose of the table we have included the midpoint of this range (i.e. additional 6 months).</w:t>
      </w:r>
    </w:p>
    <w:p>
      <w:pPr>
        <w:spacing w:after="0" w:line="30" w:lineRule="exact"/>
        <w:rPr>
          <w:rFonts w:ascii="Arial" w:cs="Arial" w:eastAsia="Arial" w:hAnsi="Arial"/>
          <w:sz w:val="18"/>
          <w:szCs w:val="18"/>
          <w:color w:val="auto"/>
        </w:rPr>
      </w:pPr>
    </w:p>
    <w:p>
      <w:pPr>
        <w:ind w:left="1620" w:right="579" w:hanging="360"/>
        <w:spacing w:after="0" w:line="254"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10,655 RSUs subject to accelerated vesting by the closing market price at December 31, 2020 ($66.21) and (ii) the amount resulting from multiplying each SAR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potential payment amount in case of separation due to disability represents LTIP payments calculated by multiplying each SAR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39" w:lineRule="exact"/>
        <w:rPr>
          <w:rFonts w:ascii="Arial" w:cs="Arial" w:eastAsia="Arial" w:hAnsi="Arial"/>
          <w:sz w:val="18"/>
          <w:szCs w:val="18"/>
          <w:color w:val="auto"/>
        </w:rPr>
      </w:pPr>
    </w:p>
    <w:p>
      <w:pPr>
        <w:ind w:left="1620" w:right="539" w:hanging="360"/>
        <w:spacing w:after="0" w:line="255"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 in case of separation due to death represents two times the base salary up to a maximum of €500,000 ($570,190), plus LTIP potential payments calculated by adding the amount resulting from multiplying each SARs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43" w:lineRule="exact"/>
        <w:rPr>
          <w:rFonts w:ascii="Arial" w:cs="Arial" w:eastAsia="Arial" w:hAnsi="Arial"/>
          <w:sz w:val="18"/>
          <w:szCs w:val="18"/>
          <w:color w:val="auto"/>
        </w:rPr>
      </w:pPr>
    </w:p>
    <w:p>
      <w:pPr>
        <w:jc w:val="both"/>
        <w:ind w:left="1620" w:right="519" w:hanging="360"/>
        <w:spacing w:after="0" w:line="263"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$1.140380887 per Euro, which reflects the applicable period average published rate from our BOPC Accounting System between January 1, 2020 and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Roy Khoury</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On February 26, 2021, we entered into a separation agreement with Mr. Khoury, in connection with his resignation from the company effective March 1, 2021. Mr. Khoury’s employment shall terminate on the earlier of March 31, 2022 and such other day as is agreed in accordance with the separation agreement any time after May 6, 2021.</w:t>
      </w:r>
    </w:p>
    <w:p>
      <w:pPr>
        <w:spacing w:after="0" w:line="120"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The following table quantifies the potential payments that would be made to Mr. Khoury assuming a termination or change-in-control event had occurred on December 31, 2020.</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Termination</w:t>
            </w: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Separation due to</w:t>
            </w: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Separation due to</w:t>
            </w: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Separation due to</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Separation due to</w:t>
            </w:r>
          </w:p>
        </w:tc>
      </w:tr>
      <w:tr>
        <w:trPr>
          <w:trHeight w:val="230"/>
        </w:trPr>
        <w:tc>
          <w:tcPr>
            <w:tcW w:w="1760" w:type="dxa"/>
            <w:vAlign w:val="bottom"/>
          </w:tcPr>
          <w:p>
            <w:pPr>
              <w:spacing w:after="0"/>
              <w:rPr>
                <w:sz w:val="20"/>
                <w:szCs w:val="20"/>
                <w:color w:val="auto"/>
              </w:rPr>
            </w:pPr>
            <w:r>
              <w:rPr>
                <w:rFonts w:ascii="Arial" w:cs="Arial" w:eastAsia="Arial" w:hAnsi="Arial"/>
                <w:sz w:val="14"/>
                <w:szCs w:val="14"/>
                <w:b w:val="1"/>
                <w:bCs w:val="1"/>
                <w:color w:val="auto"/>
                <w:w w:val="95"/>
              </w:rPr>
              <w:t>Type of Payment or Benefit</w:t>
            </w:r>
          </w:p>
        </w:tc>
        <w:tc>
          <w:tcPr>
            <w:tcW w:w="180" w:type="dxa"/>
            <w:vAlign w:val="bottom"/>
          </w:tcPr>
          <w:p>
            <w:pPr>
              <w:spacing w:after="0"/>
              <w:rPr>
                <w:sz w:val="19"/>
                <w:szCs w:val="19"/>
                <w:color w:val="auto"/>
              </w:rPr>
            </w:pPr>
          </w:p>
        </w:tc>
        <w:tc>
          <w:tcPr>
            <w:tcW w:w="1180" w:type="dxa"/>
            <w:vAlign w:val="bottom"/>
            <w:gridSpan w:val="4"/>
          </w:tcPr>
          <w:p>
            <w:pPr>
              <w:jc w:val="center"/>
              <w:ind w:right="180"/>
              <w:spacing w:after="0" w:line="230" w:lineRule="exact"/>
              <w:rPr>
                <w:sz w:val="20"/>
                <w:szCs w:val="20"/>
                <w:color w:val="auto"/>
              </w:rPr>
            </w:pPr>
            <w:r>
              <w:rPr>
                <w:rFonts w:ascii="Arial" w:cs="Arial" w:eastAsia="Arial" w:hAnsi="Arial"/>
                <w:sz w:val="14"/>
                <w:szCs w:val="14"/>
                <w:b w:val="1"/>
                <w:bCs w:val="1"/>
                <w:color w:val="auto"/>
                <w:w w:val="85"/>
              </w:rPr>
              <w:t>without Cause</w:t>
            </w:r>
            <w:r>
              <w:rPr>
                <w:rFonts w:ascii="Arial" w:cs="Arial" w:eastAsia="Arial" w:hAnsi="Arial"/>
                <w:sz w:val="21"/>
                <w:szCs w:val="21"/>
                <w:b w:val="1"/>
                <w:bCs w:val="1"/>
                <w:color w:val="auto"/>
                <w:w w:val="85"/>
                <w:vertAlign w:val="superscript"/>
              </w:rPr>
              <w:t>(1)</w:t>
            </w:r>
          </w:p>
        </w:tc>
        <w:tc>
          <w:tcPr>
            <w:tcW w:w="1420" w:type="dxa"/>
            <w:vAlign w:val="bottom"/>
            <w:gridSpan w:val="4"/>
          </w:tcPr>
          <w:p>
            <w:pPr>
              <w:jc w:val="center"/>
              <w:ind w:right="200"/>
              <w:spacing w:after="0" w:line="230" w:lineRule="exact"/>
              <w:rPr>
                <w:sz w:val="20"/>
                <w:szCs w:val="20"/>
                <w:color w:val="auto"/>
              </w:rPr>
            </w:pPr>
            <w:r>
              <w:rPr>
                <w:rFonts w:ascii="Arial" w:cs="Arial" w:eastAsia="Arial" w:hAnsi="Arial"/>
                <w:sz w:val="14"/>
                <w:szCs w:val="14"/>
                <w:b w:val="1"/>
                <w:bCs w:val="1"/>
                <w:color w:val="auto"/>
                <w:w w:val="88"/>
              </w:rPr>
              <w:t>Change in Control</w:t>
            </w:r>
            <w:r>
              <w:rPr>
                <w:rFonts w:ascii="Arial" w:cs="Arial" w:eastAsia="Arial" w:hAnsi="Arial"/>
                <w:sz w:val="21"/>
                <w:szCs w:val="21"/>
                <w:b w:val="1"/>
                <w:bCs w:val="1"/>
                <w:color w:val="auto"/>
                <w:w w:val="88"/>
                <w:vertAlign w:val="superscript"/>
              </w:rPr>
              <w:t>(2)</w:t>
            </w:r>
          </w:p>
        </w:tc>
        <w:tc>
          <w:tcPr>
            <w:tcW w:w="180" w:type="dxa"/>
            <w:vAlign w:val="bottom"/>
          </w:tcPr>
          <w:p>
            <w:pPr>
              <w:spacing w:after="0"/>
              <w:rPr>
                <w:sz w:val="19"/>
                <w:szCs w:val="19"/>
                <w:color w:val="auto"/>
              </w:rPr>
            </w:pPr>
          </w:p>
        </w:tc>
        <w:tc>
          <w:tcPr>
            <w:tcW w:w="1120" w:type="dxa"/>
            <w:vAlign w:val="bottom"/>
            <w:gridSpan w:val="3"/>
          </w:tcPr>
          <w:p>
            <w:pPr>
              <w:jc w:val="center"/>
              <w:ind w:right="400"/>
              <w:spacing w:after="0" w:line="230" w:lineRule="exact"/>
              <w:rPr>
                <w:sz w:val="20"/>
                <w:szCs w:val="20"/>
                <w:color w:val="auto"/>
              </w:rPr>
            </w:pPr>
            <w:r>
              <w:rPr>
                <w:rFonts w:ascii="Arial" w:cs="Arial" w:eastAsia="Arial" w:hAnsi="Arial"/>
                <w:sz w:val="14"/>
                <w:szCs w:val="14"/>
                <w:b w:val="1"/>
                <w:bCs w:val="1"/>
                <w:color w:val="auto"/>
                <w:w w:val="85"/>
              </w:rPr>
              <w:t>Disability</w:t>
            </w:r>
            <w:r>
              <w:rPr>
                <w:rFonts w:ascii="Arial" w:cs="Arial" w:eastAsia="Arial" w:hAnsi="Arial"/>
                <w:sz w:val="21"/>
                <w:szCs w:val="21"/>
                <w:b w:val="1"/>
                <w:bCs w:val="1"/>
                <w:color w:val="auto"/>
                <w:w w:val="85"/>
                <w:vertAlign w:val="superscript"/>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420"/>
              <w:spacing w:after="0" w:line="230" w:lineRule="exact"/>
              <w:rPr>
                <w:sz w:val="20"/>
                <w:szCs w:val="20"/>
                <w:color w:val="auto"/>
              </w:rPr>
            </w:pPr>
            <w:r>
              <w:rPr>
                <w:rFonts w:ascii="Arial" w:cs="Arial" w:eastAsia="Arial" w:hAnsi="Arial"/>
                <w:sz w:val="14"/>
                <w:szCs w:val="14"/>
                <w:b w:val="1"/>
                <w:bCs w:val="1"/>
                <w:color w:val="auto"/>
                <w:w w:val="85"/>
              </w:rPr>
              <w:t>Death</w:t>
            </w:r>
            <w:r>
              <w:rPr>
                <w:rFonts w:ascii="Arial" w:cs="Arial" w:eastAsia="Arial" w:hAnsi="Arial"/>
                <w:sz w:val="21"/>
                <w:szCs w:val="21"/>
                <w:b w:val="1"/>
                <w:bCs w:val="1"/>
                <w:color w:val="auto"/>
                <w:w w:val="85"/>
                <w:vertAlign w:val="superscript"/>
              </w:rPr>
              <w:t>(4)</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Retirement</w:t>
            </w:r>
          </w:p>
        </w:tc>
      </w:tr>
      <w:tr>
        <w:trPr>
          <w:trHeight w:val="223"/>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Severance</w:t>
            </w:r>
          </w:p>
        </w:tc>
        <w:tc>
          <w:tcPr>
            <w:tcW w:w="1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$391,297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1,565,186</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STIP</w:t>
            </w:r>
          </w:p>
        </w:tc>
        <w:tc>
          <w:tcPr>
            <w:tcW w:w="16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43"/>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 (1)</w:t>
            </w:r>
          </w:p>
        </w:tc>
        <w:tc>
          <w:tcPr>
            <w:tcW w:w="1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$1,378,460</w:t>
            </w: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$355,516</w:t>
            </w: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355,516</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77"/>
        </w:trPr>
        <w:tc>
          <w:tcPr>
            <w:tcW w:w="194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60" w:type="dxa"/>
            <w:vAlign w:val="bottom"/>
          </w:tcPr>
          <w:p>
            <w:pPr>
              <w:spacing w:after="0"/>
              <w:rPr>
                <w:sz w:val="24"/>
                <w:szCs w:val="2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r>
      <w:tr>
        <w:trPr>
          <w:trHeight w:val="20"/>
        </w:trPr>
        <w:tc>
          <w:tcPr>
            <w:tcW w:w="1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84"/>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$391,297</w:t>
            </w:r>
          </w:p>
        </w:tc>
        <w:tc>
          <w:tcPr>
            <w:tcW w:w="20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$1,378,460</w:t>
            </w:r>
          </w:p>
        </w:tc>
        <w:tc>
          <w:tcPr>
            <w:tcW w:w="2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$355,516</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1,920,702</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-187960</wp:posOffset>
            </wp:positionV>
            <wp:extent cx="9086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-187960</wp:posOffset>
            </wp:positionV>
            <wp:extent cx="3429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-187960</wp:posOffset>
            </wp:positionV>
            <wp:extent cx="3683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2108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-830580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-830580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-830580</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-830580</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-830580</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hanging="360"/>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represents 12 months of base salary</w:t>
      </w:r>
    </w:p>
    <w:p>
      <w:pPr>
        <w:spacing w:after="0" w:line="23" w:lineRule="exact"/>
        <w:rPr>
          <w:rFonts w:ascii="Arial" w:cs="Arial" w:eastAsia="Arial" w:hAnsi="Arial"/>
          <w:sz w:val="18"/>
          <w:szCs w:val="18"/>
          <w:color w:val="auto"/>
        </w:rPr>
      </w:pPr>
    </w:p>
    <w:p>
      <w:pPr>
        <w:ind w:left="1620" w:right="719"/>
        <w:spacing w:after="0" w:line="260" w:lineRule="auto"/>
        <w:rPr>
          <w:rFonts w:ascii="Arial" w:cs="Arial" w:eastAsia="Arial" w:hAnsi="Arial"/>
          <w:sz w:val="18"/>
          <w:szCs w:val="18"/>
          <w:color w:val="auto"/>
        </w:rPr>
      </w:pPr>
      <w:r>
        <w:rPr>
          <w:rFonts w:ascii="Arial" w:cs="Arial" w:eastAsia="Arial" w:hAnsi="Arial"/>
          <w:sz w:val="18"/>
          <w:szCs w:val="18"/>
          <w:color w:val="auto"/>
        </w:rPr>
        <w:t>($391,297). LivaNova may elect to pay this severance amount in equal installments over a period of 12 months.</w:t>
      </w:r>
    </w:p>
    <w:p>
      <w:pPr>
        <w:spacing w:after="0" w:line="50" w:lineRule="exact"/>
        <w:rPr>
          <w:rFonts w:ascii="Arial" w:cs="Arial" w:eastAsia="Arial" w:hAnsi="Arial"/>
          <w:sz w:val="18"/>
          <w:szCs w:val="18"/>
          <w:color w:val="auto"/>
        </w:rPr>
      </w:pPr>
    </w:p>
    <w:p>
      <w:pPr>
        <w:ind w:left="1620" w:right="579" w:hanging="360"/>
        <w:spacing w:after="0" w:line="254"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15,450 RSUs subject to accelerated vesting by the closing market price at December 31, 2020 ($66.21) and (ii) the amount resulting from multiplying each SAR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679" w:hanging="360"/>
        <w:spacing w:after="0" w:line="25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potential payment amount in case of separation due to disability represents LTIP payments calculated by multiplying each SARs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39" w:lineRule="exact"/>
        <w:rPr>
          <w:rFonts w:ascii="Arial" w:cs="Arial" w:eastAsia="Arial" w:hAnsi="Arial"/>
          <w:sz w:val="18"/>
          <w:szCs w:val="18"/>
          <w:color w:val="auto"/>
        </w:rPr>
      </w:pPr>
    </w:p>
    <w:p>
      <w:pPr>
        <w:ind w:left="1620" w:right="619" w:hanging="360"/>
        <w:spacing w:after="0" w:line="254"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2020 ($66.21) and the exercise price for each SAR, as follows (15,4703 SARs with an exercise price of $43.57). This does not include SARs where the exercise price exceeds the market price.</w:t>
      </w:r>
    </w:p>
    <w:p>
      <w:pPr>
        <w:spacing w:after="0" w:line="46" w:lineRule="exact"/>
        <w:rPr>
          <w:rFonts w:ascii="Arial" w:cs="Arial" w:eastAsia="Arial" w:hAnsi="Arial"/>
          <w:sz w:val="18"/>
          <w:szCs w:val="18"/>
          <w:color w:val="auto"/>
        </w:rPr>
      </w:pPr>
    </w:p>
    <w:p>
      <w:pPr>
        <w:ind w:left="1620" w:right="779" w:hanging="360"/>
        <w:spacing w:after="0" w:line="26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$1.282939471 per British Pound, which reflects the applicable period average published rate from our BOPC Accounting System between January 1, 2020 and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CEO Pay Ratio</w:t>
      </w:r>
    </w:p>
    <w:p>
      <w:pPr>
        <w:spacing w:after="0" w:line="158" w:lineRule="exact"/>
        <w:rPr>
          <w:sz w:val="20"/>
          <w:szCs w:val="20"/>
          <w:color w:val="auto"/>
        </w:rPr>
      </w:pPr>
    </w:p>
    <w:p>
      <w:pPr>
        <w:ind w:left="1260" w:right="1339" w:firstLine="360"/>
        <w:spacing w:after="0" w:line="261" w:lineRule="auto"/>
        <w:rPr>
          <w:sz w:val="20"/>
          <w:szCs w:val="20"/>
          <w:color w:val="auto"/>
        </w:rPr>
      </w:pPr>
      <w:r>
        <w:rPr>
          <w:rFonts w:ascii="Arial" w:cs="Arial" w:eastAsia="Arial" w:hAnsi="Arial"/>
          <w:sz w:val="18"/>
          <w:szCs w:val="18"/>
          <w:color w:val="auto"/>
        </w:rPr>
        <w:t>SEC regulations require us to report the ratio of the CEO’s total annual compensation to the compensation of the median employee of our company.</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year ended December 31, 2020:</w:t>
      </w:r>
    </w:p>
    <w:p>
      <w:pPr>
        <w:spacing w:after="0" w:line="117" w:lineRule="exact"/>
        <w:rPr>
          <w:sz w:val="20"/>
          <w:szCs w:val="20"/>
          <w:color w:val="auto"/>
        </w:rPr>
      </w:pPr>
    </w:p>
    <w:p>
      <w:pPr>
        <w:ind w:left="1800" w:right="6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median annual total compensation of all employees of our company (other than the CEO), was $61,161;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of Mr. McDonald, our CEO, was $6,902,353.</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Based on this information, the ratio of our annual total compensation of our CEO to the median of the annual total compensation of all employees is 113 to 1.</w:t>
      </w:r>
    </w:p>
    <w:p>
      <w:pPr>
        <w:spacing w:after="0" w:line="90"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74" w:lineRule="exact"/>
        <w:rPr>
          <w:sz w:val="20"/>
          <w:szCs w:val="20"/>
          <w:color w:val="auto"/>
        </w:rPr>
      </w:pPr>
    </w:p>
    <w:p>
      <w:pPr>
        <w:ind w:left="1800" w:right="439" w:hanging="180"/>
        <w:spacing w:after="0" w:line="25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October 1, 2020, our employee population consisted of 4,001 individuals working at our parent company and consolidated subsidiaries, with approximately 32% of these individuals located in the United States, 6% located in Canada, 56% located in Europe, and 6% located in various countries in Southeast Asia and South America. We selected October 1, 2020 to allow sufficient time to identify the median employee given the global scope of our operations.</w:t>
      </w:r>
    </w:p>
    <w:p>
      <w:pPr>
        <w:spacing w:after="0" w:line="79"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employee population, after taking into consideration the adjustments permitted by SEC rules (as described below) consisted of 3,768 individuals.</w:t>
      </w:r>
    </w:p>
    <w:p>
      <w:pPr>
        <w:spacing w:after="0" w:line="62" w:lineRule="exact"/>
        <w:rPr>
          <w:rFonts w:ascii="Arial" w:cs="Arial" w:eastAsia="Arial" w:hAnsi="Arial"/>
          <w:sz w:val="18"/>
          <w:szCs w:val="18"/>
          <w:color w:val="auto"/>
        </w:rPr>
      </w:pPr>
    </w:p>
    <w:p>
      <w:pPr>
        <w:ind w:left="2160" w:right="499" w:hanging="180"/>
        <w:spacing w:after="0" w:line="259" w:lineRule="auto"/>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Using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we limited our employee population to individuals residing in Europe, North America, Japan and Australia. The countries excluded were Brazil, Chile, China, Colombia, Hong Kong, India, Malaysia, Russian Federation, Singapore, Taiwan, Thailand and United Arab Emirates, totaling 233 employees.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479" w:hanging="180"/>
        <w:spacing w:after="0" w:line="273" w:lineRule="auto"/>
        <w:tabs>
          <w:tab w:leader="none" w:pos="21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Given the global distribution of our employee population, we have a variety of pay elements in the compensation arrangements of our employees. For example, while most of our employees participate in our STIP, the incentive compensation element for some of our employees residing in the US, Japan and Europe is based on commissions. They do not participate in our STIP. Consequently, we selected base salary or wages plus overtime pay as the most appropriate consistently applied compensation measure to identify the median employee.</w:t>
      </w:r>
    </w:p>
    <w:p>
      <w:pPr>
        <w:spacing w:after="0" w:line="83" w:lineRule="exact"/>
        <w:rPr>
          <w:rFonts w:ascii="Arial" w:cs="Arial" w:eastAsia="Arial" w:hAnsi="Arial"/>
          <w:sz w:val="17"/>
          <w:szCs w:val="17"/>
          <w:color w:val="auto"/>
        </w:rPr>
      </w:pPr>
    </w:p>
    <w:p>
      <w:pPr>
        <w:ind w:left="2160" w:right="519" w:hanging="180"/>
        <w:spacing w:after="0" w:line="277" w:lineRule="auto"/>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annualized the compensation of all permanent employees who were hired in fiscal 2020 but did not work for us or our consolidated subsidiaries for the entire fiscal year.</w:t>
      </w:r>
    </w:p>
    <w:p>
      <w:pPr>
        <w:spacing w:after="0" w:line="89" w:lineRule="exact"/>
        <w:rPr>
          <w:rFonts w:ascii="Arial" w:cs="Arial" w:eastAsia="Arial" w:hAnsi="Arial"/>
          <w:sz w:val="18"/>
          <w:szCs w:val="18"/>
          <w:color w:val="auto"/>
        </w:rPr>
      </w:pPr>
    </w:p>
    <w:p>
      <w:pPr>
        <w:ind w:left="2160" w:hanging="180"/>
        <w:spacing w:after="0"/>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did not make any cost-of-living adjustments in identifying the median employee.</w:t>
      </w:r>
    </w:p>
    <w:p>
      <w:pPr>
        <w:spacing w:after="0" w:line="130" w:lineRule="exact"/>
        <w:rPr>
          <w:rFonts w:ascii="Arial" w:cs="Arial" w:eastAsia="Arial" w:hAnsi="Arial"/>
          <w:sz w:val="18"/>
          <w:szCs w:val="18"/>
          <w:color w:val="auto"/>
        </w:rPr>
      </w:pPr>
    </w:p>
    <w:p>
      <w:pPr>
        <w:ind w:left="2160" w:right="459" w:hanging="180"/>
        <w:spacing w:after="0" w:line="259" w:lineRule="auto"/>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2020 Summary Compensation Table included in this proxy statement. We applied the same approach to determine the annual total compensation of the identified median employee.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Compensation Committee reviews the total compensation paid to our non-employee directors and non-executive chair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and the non-employee director compensation policy which governs payments to all directors, including non-executive directors. Some of the factors considered include: the time and effort involved in preparing for Board and committee meetings and the additional duties assumed by committee chairs and the chair of our Board;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w:t>
      </w:r>
    </w:p>
    <w:p>
      <w:pPr>
        <w:spacing w:after="0" w:line="119"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Fees for non-employee directors are consistent with prior year. In 2020, non-employee directors who served on the Company’s Board received the following fees paid in cash for their service on the Board:</w:t>
      </w:r>
    </w:p>
    <w:p>
      <w:pPr>
        <w:spacing w:after="0" w:line="52" w:lineRule="exact"/>
        <w:rPr>
          <w:sz w:val="20"/>
          <w:szCs w:val="20"/>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 board retainer fee of $110,000 ($185,000 for the Board chair)</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committee chair fees:</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$15,000 (Nominating and Corporate Governance Committee)</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$20,000 (Compensation Committee)</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$30,000 (Audit and Compliance Committee)</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committee member fees (for members other than the committee chairs):</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$6,000 (Nominating and Corporate Governance Committee)</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$8,000 (Compensation Committee)</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$15,000 (Audit and Compliance Committee)</w:t>
      </w:r>
    </w:p>
    <w:p>
      <w:pPr>
        <w:spacing w:after="0" w:line="15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The non-executive directors, in 2020, were also granted RSUs with a grant date fair market value of $110,000 for each non-executive director ($185,000 for the Board chair.) These are service-based awards that vest after one year. In the event of a termination prior to the end of a director’s term, these RSUs are prorated.</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71"/>
        <w:spacing w:after="0" w:line="277" w:lineRule="auto"/>
        <w:rPr>
          <w:sz w:val="20"/>
          <w:szCs w:val="20"/>
          <w:color w:val="auto"/>
        </w:rPr>
      </w:pPr>
      <w:r>
        <w:rPr>
          <w:rFonts w:ascii="Arial" w:cs="Arial" w:eastAsia="Arial" w:hAnsi="Arial"/>
          <w:sz w:val="18"/>
          <w:szCs w:val="18"/>
          <w:color w:val="auto"/>
        </w:rPr>
        <w:t>The following table sets forth a summary of the compensation we paid to our non-employee directors in the year ended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Fees Earned or Paid in</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Stock Awards ($)</w:t>
            </w:r>
            <w:r>
              <w:rPr>
                <w:rFonts w:ascii="Arial" w:cs="Arial" w:eastAsia="Arial" w:hAnsi="Arial"/>
                <w:sz w:val="21"/>
                <w:szCs w:val="21"/>
                <w:b w:val="1"/>
                <w:bCs w:val="1"/>
                <w:color w:val="auto"/>
                <w:w w:val="85"/>
                <w:vertAlign w:val="superscript"/>
              </w:rPr>
              <w:t>(1)</w:t>
            </w:r>
          </w:p>
        </w:tc>
        <w:tc>
          <w:tcPr>
            <w:tcW w:w="22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Cash ($)</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5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Moore</w:t>
            </w:r>
          </w:p>
        </w:tc>
        <w:tc>
          <w:tcPr>
            <w:tcW w:w="13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184,993</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369,993</w:t>
            </w: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rPr>
                <w:sz w:val="20"/>
                <w:szCs w:val="20"/>
                <w:color w:val="auto"/>
              </w:rPr>
            </w:pPr>
            <w:r>
              <w:rPr>
                <w:rFonts w:ascii="Arial" w:cs="Arial" w:eastAsia="Arial" w:hAnsi="Arial"/>
                <w:sz w:val="18"/>
                <w:szCs w:val="18"/>
                <w:color w:val="auto"/>
              </w:rPr>
              <w:t>Hugh Morrison</w:t>
            </w:r>
          </w:p>
        </w:tc>
        <w:tc>
          <w:tcPr>
            <w:tcW w:w="1360" w:type="dxa"/>
            <w:vAlign w:val="bottom"/>
          </w:tcPr>
          <w:p>
            <w:pPr>
              <w:jc w:val="right"/>
              <w:ind w:right="293"/>
              <w:spacing w:after="0"/>
              <w:rPr>
                <w:sz w:val="20"/>
                <w:szCs w:val="20"/>
                <w:color w:val="auto"/>
              </w:rPr>
            </w:pPr>
            <w:r>
              <w:rPr>
                <w:rFonts w:ascii="Arial" w:cs="Arial" w:eastAsia="Arial" w:hAnsi="Arial"/>
                <w:sz w:val="18"/>
                <w:szCs w:val="18"/>
                <w:color w:val="auto"/>
              </w:rPr>
              <w:t>146,000</w:t>
            </w:r>
          </w:p>
        </w:tc>
        <w:tc>
          <w:tcPr>
            <w:tcW w:w="220" w:type="dxa"/>
            <w:vAlign w:val="bottom"/>
          </w:tcPr>
          <w:p>
            <w:pPr>
              <w:spacing w:after="0"/>
              <w:rPr>
                <w:sz w:val="22"/>
                <w:szCs w:val="22"/>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255,979</w:t>
            </w:r>
          </w:p>
        </w:tc>
        <w:tc>
          <w:tcPr>
            <w:tcW w:w="0" w:type="dxa"/>
            <w:vAlign w:val="bottom"/>
          </w:tcPr>
          <w:p>
            <w:pPr>
              <w:spacing w:after="0"/>
              <w:rPr>
                <w:sz w:val="1"/>
                <w:szCs w:val="1"/>
                <w:color w:val="auto"/>
              </w:rPr>
            </w:pPr>
          </w:p>
        </w:tc>
      </w:tr>
      <w:tr>
        <w:trPr>
          <w:trHeight w:val="257"/>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13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133,000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242,979</w:t>
            </w: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rPr>
                <w:sz w:val="20"/>
                <w:szCs w:val="20"/>
                <w:color w:val="auto"/>
              </w:rPr>
            </w:pPr>
            <w:r>
              <w:rPr>
                <w:rFonts w:ascii="Arial" w:cs="Arial" w:eastAsia="Arial" w:hAnsi="Arial"/>
                <w:sz w:val="18"/>
                <w:szCs w:val="18"/>
                <w:color w:val="auto"/>
              </w:rPr>
              <w:t>Alfred Novak</w:t>
            </w:r>
          </w:p>
        </w:tc>
        <w:tc>
          <w:tcPr>
            <w:tcW w:w="1360" w:type="dxa"/>
            <w:vAlign w:val="bottom"/>
          </w:tcPr>
          <w:p>
            <w:pPr>
              <w:jc w:val="right"/>
              <w:ind w:right="293"/>
              <w:spacing w:after="0"/>
              <w:rPr>
                <w:sz w:val="20"/>
                <w:szCs w:val="20"/>
                <w:color w:val="auto"/>
              </w:rPr>
            </w:pPr>
            <w:r>
              <w:rPr>
                <w:rFonts w:ascii="Arial" w:cs="Arial" w:eastAsia="Arial" w:hAnsi="Arial"/>
                <w:sz w:val="18"/>
                <w:szCs w:val="18"/>
                <w:color w:val="auto"/>
              </w:rPr>
              <w:t>133,000</w:t>
            </w:r>
          </w:p>
        </w:tc>
        <w:tc>
          <w:tcPr>
            <w:tcW w:w="220" w:type="dxa"/>
            <w:vAlign w:val="bottom"/>
          </w:tcPr>
          <w:p>
            <w:pPr>
              <w:spacing w:after="0"/>
              <w:rPr>
                <w:sz w:val="22"/>
                <w:szCs w:val="22"/>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242,979</w:t>
            </w:r>
          </w:p>
        </w:tc>
        <w:tc>
          <w:tcPr>
            <w:tcW w:w="0" w:type="dxa"/>
            <w:vAlign w:val="bottom"/>
          </w:tcPr>
          <w:p>
            <w:pPr>
              <w:spacing w:after="0"/>
              <w:rPr>
                <w:sz w:val="1"/>
                <w:szCs w:val="1"/>
                <w:color w:val="auto"/>
              </w:rPr>
            </w:pPr>
          </w:p>
        </w:tc>
      </w:tr>
      <w:tr>
        <w:trPr>
          <w:trHeight w:val="25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13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239,979</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1360" w:type="dxa"/>
            <w:vAlign w:val="bottom"/>
          </w:tcPr>
          <w:p>
            <w:pPr>
              <w:jc w:val="right"/>
              <w:ind w:right="293"/>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234,979</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Saia</w:t>
            </w:r>
          </w:p>
        </w:tc>
        <w:tc>
          <w:tcPr>
            <w:tcW w:w="13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234,979</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Stacy Enxing Seng</w:t>
            </w:r>
          </w:p>
        </w:tc>
        <w:tc>
          <w:tcPr>
            <w:tcW w:w="1360" w:type="dxa"/>
            <w:vAlign w:val="bottom"/>
          </w:tcPr>
          <w:p>
            <w:pPr>
              <w:jc w:val="right"/>
              <w:ind w:right="293"/>
              <w:spacing w:after="0"/>
              <w:rPr>
                <w:sz w:val="20"/>
                <w:szCs w:val="20"/>
                <w:color w:val="auto"/>
              </w:rPr>
            </w:pPr>
            <w:r>
              <w:rPr>
                <w:rFonts w:ascii="Arial" w:cs="Arial" w:eastAsia="Arial" w:hAnsi="Arial"/>
                <w:sz w:val="18"/>
                <w:szCs w:val="18"/>
                <w:color w:val="auto"/>
              </w:rPr>
              <w:t>118,000</w:t>
            </w:r>
          </w:p>
        </w:tc>
        <w:tc>
          <w:tcPr>
            <w:tcW w:w="22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227,979</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Kozy</w:t>
            </w:r>
          </w:p>
        </w:tc>
        <w:tc>
          <w:tcPr>
            <w:tcW w:w="13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116,000</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109,979</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225,979</w:t>
            </w:r>
          </w:p>
        </w:tc>
        <w:tc>
          <w:tcPr>
            <w:tcW w:w="0" w:type="dxa"/>
            <w:vAlign w:val="bottom"/>
          </w:tcPr>
          <w:p>
            <w:pPr>
              <w:spacing w:after="0"/>
              <w:rPr>
                <w:sz w:val="1"/>
                <w:szCs w:val="1"/>
                <w:color w:val="auto"/>
              </w:rPr>
            </w:pPr>
          </w:p>
        </w:tc>
      </w:tr>
      <w:tr>
        <w:trPr>
          <w:trHeight w:val="355"/>
        </w:trPr>
        <w:tc>
          <w:tcPr>
            <w:tcW w:w="4640" w:type="dxa"/>
            <w:vAlign w:val="bottom"/>
            <w:gridSpan w:val="2"/>
          </w:tcPr>
          <w:p>
            <w:pPr>
              <w:spacing w:after="0"/>
              <w:rPr>
                <w:sz w:val="20"/>
                <w:szCs w:val="20"/>
                <w:color w:val="auto"/>
              </w:rPr>
            </w:pPr>
            <w:r>
              <w:rPr>
                <w:rFonts w:ascii="Arial" w:cs="Arial" w:eastAsia="Arial" w:hAnsi="Arial"/>
                <w:sz w:val="18"/>
                <w:szCs w:val="18"/>
                <w:color w:val="auto"/>
              </w:rPr>
              <w:t>Todd Schermerhorn</w:t>
            </w:r>
            <w:r>
              <w:rPr>
                <w:rFonts w:ascii="Arial" w:cs="Arial" w:eastAsia="Arial" w:hAnsi="Arial"/>
                <w:sz w:val="26"/>
                <w:szCs w:val="26"/>
                <w:color w:val="auto"/>
                <w:vertAlign w:val="superscript"/>
              </w:rPr>
              <w:t>(2)</w:t>
            </w:r>
          </w:p>
        </w:tc>
        <w:tc>
          <w:tcPr>
            <w:tcW w:w="1360" w:type="dxa"/>
            <w:vAlign w:val="bottom"/>
          </w:tcPr>
          <w:p>
            <w:pPr>
              <w:jc w:val="right"/>
              <w:ind w:right="293"/>
              <w:spacing w:after="0"/>
              <w:rPr>
                <w:sz w:val="20"/>
                <w:szCs w:val="20"/>
                <w:color w:val="auto"/>
              </w:rPr>
            </w:pPr>
            <w:r>
              <w:rPr>
                <w:rFonts w:ascii="Arial" w:cs="Arial" w:eastAsia="Arial" w:hAnsi="Arial"/>
                <w:sz w:val="18"/>
                <w:szCs w:val="18"/>
                <w:color w:val="auto"/>
              </w:rPr>
              <w:t>9,851</w:t>
            </w:r>
          </w:p>
        </w:tc>
        <w:tc>
          <w:tcPr>
            <w:tcW w:w="22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62,638</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-1733550</wp:posOffset>
            </wp:positionV>
            <wp:extent cx="137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-1733550</wp:posOffset>
            </wp:positionV>
            <wp:extent cx="137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-1733550</wp:posOffset>
            </wp:positionV>
            <wp:extent cx="137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right="459" w:hanging="360"/>
        <w:spacing w:after="0" w:line="268"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Amounts reflect the full grant-date fair value of RSUs granted in 2020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2020. The RSUs shown in the table will vest on the earlier of (i) June 29, 2021 and</w:t>
      </w:r>
    </w:p>
    <w:p>
      <w:pPr>
        <w:ind w:left="1620" w:right="699"/>
        <w:spacing w:after="0" w:line="253" w:lineRule="auto"/>
        <w:rPr>
          <w:rFonts w:ascii="Arial" w:cs="Arial" w:eastAsia="Arial" w:hAnsi="Arial"/>
          <w:sz w:val="17"/>
          <w:szCs w:val="17"/>
          <w:color w:val="auto"/>
        </w:rPr>
      </w:pPr>
      <w:r>
        <w:rPr>
          <w:rFonts w:ascii="Arial" w:cs="Arial" w:eastAsia="Arial" w:hAnsi="Arial"/>
          <w:sz w:val="18"/>
          <w:szCs w:val="18"/>
          <w:color w:val="auto"/>
        </w:rPr>
        <w:t>(ii) the date of a Change in Control. As of December 31, 2020, all RSU awards were unvested. The stock award values shown above correspond to the following number of RSUs: for Mr. Moore 3,931 RSUs; and for all other directors listed above, 2,337 RSUs, with the exception to Mr. Todd Schermerhorn, see note 2 below.</w:t>
      </w:r>
    </w:p>
    <w:p>
      <w:pPr>
        <w:spacing w:after="0" w:line="44" w:lineRule="exact"/>
        <w:rPr>
          <w:rFonts w:ascii="Arial" w:cs="Arial" w:eastAsia="Arial" w:hAnsi="Arial"/>
          <w:sz w:val="17"/>
          <w:szCs w:val="17"/>
          <w:color w:val="auto"/>
        </w:rPr>
      </w:pPr>
    </w:p>
    <w:p>
      <w:pPr>
        <w:ind w:left="1620" w:right="459" w:hanging="360"/>
        <w:spacing w:after="0" w:line="263"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Todd Schermerhorn was appointed to the Board effective December 3, 2020 and was granted 1,024 RSUs on December 15, 2020. Although Mr. Schermerhorn did not receive payment in 2020, $9,851 was prorated and paid in 2021 for fees related to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Proposal No. 2 Advisory (Non-Binding) Vote to Approve Executive Compensation (Say on Pay)</w:t>
      </w:r>
    </w:p>
    <w:p>
      <w:pPr>
        <w:spacing w:after="0" w:line="171"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Our shareholders are entitled to cast an advisory vote at the AGM to approve the compensation of our NEOs, as disclosed in this proxy statement. The shareholder vote is an advisory vote only and is not binding on us, the Board, or the Compensation Committee but is required by Section 14A of the Exchange Act.</w:t>
      </w:r>
    </w:p>
    <w:p>
      <w:pPr>
        <w:spacing w:after="0" w:line="9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“Executive Compensation” sections of the proxy statement, our NEOs are compensated in a manner consistent with our business strategy, competitive practice, sound compensation governance principles and shareholder interests and concerns. Our compensation policies and decisions are focused on pay-for-performance.</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We are requesting your non-binding vote to approve the compensation of our NEOs as disclosed pursuant to Item 402 of Regulation S-K, and as described in the “Compensation Discussion and Analysis” and “Executive Compensation” sections of the proxy statement.</w:t>
      </w:r>
    </w:p>
    <w:p>
      <w:pPr>
        <w:spacing w:after="0" w:line="103"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advisory vote regarding approval of the compensation of our NEOs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 majority of shares present at the annual meeting, in person or by proxy, and entitled to vote on the proposal.</w:t>
      </w:r>
    </w:p>
    <w:p>
      <w:pPr>
        <w:spacing w:after="0" w:line="116"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approval of the compensation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as disclosed in this proxy statement, including the Compensation Discussion and Analysis, compensation tables, and narrative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AUDIT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14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Audit and Compliance Committee is comprised of five non-employee directors, all of whom are “independent” under the applicable Nasdaq rules and the applicable rules of the SEC. The Audit and Compliance Committee is governed by a written charter which has been adopted by the Board.</w:t>
      </w:r>
    </w:p>
    <w:p>
      <w:pPr>
        <w:spacing w:after="0" w:line="9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14 times in 2020 and acted via written resolutions on two occasions.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117" w:lineRule="exact"/>
        <w:rPr>
          <w:sz w:val="20"/>
          <w:szCs w:val="20"/>
          <w:color w:val="auto"/>
        </w:rPr>
      </w:pPr>
    </w:p>
    <w:p>
      <w:pPr>
        <w:ind w:left="1980" w:right="619" w:hanging="360"/>
        <w:spacing w:after="0" w:line="263"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our consolidated financial statements for the year ended December 31, 2020 and the quarters ended March 31, 2020, June 30, 2020 and September 30, 2020;</w:t>
      </w:r>
    </w:p>
    <w:p>
      <w:pPr>
        <w:spacing w:after="0" w:line="116" w:lineRule="exact"/>
        <w:rPr>
          <w:rFonts w:ascii="Arial" w:cs="Arial" w:eastAsia="Arial" w:hAnsi="Arial"/>
          <w:sz w:val="18"/>
          <w:szCs w:val="18"/>
          <w:color w:val="auto"/>
        </w:rPr>
      </w:pPr>
    </w:p>
    <w:p>
      <w:pPr>
        <w:ind w:left="1980" w:right="1159" w:hanging="360"/>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oversaw and discussed with management the review of internal control over our financial reporting;</w:t>
      </w:r>
    </w:p>
    <w:p>
      <w:pPr>
        <w:spacing w:after="0" w:line="102" w:lineRule="exact"/>
        <w:rPr>
          <w:rFonts w:ascii="Arial" w:cs="Arial" w:eastAsia="Arial" w:hAnsi="Arial"/>
          <w:sz w:val="18"/>
          <w:szCs w:val="18"/>
          <w:color w:val="auto"/>
        </w:rPr>
      </w:pPr>
    </w:p>
    <w:p>
      <w:pPr>
        <w:ind w:left="1980" w:right="579" w:hanging="360"/>
        <w:spacing w:after="0" w:line="342" w:lineRule="auto"/>
        <w:tabs>
          <w:tab w:leader="none" w:pos="1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reviewed management’s representations that our consolidated financial statements were prepared in accordance with GAAP and present fairly our results of operations and financial position;</w:t>
      </w:r>
    </w:p>
    <w:p>
      <w:pPr>
        <w:spacing w:after="0" w:line="56" w:lineRule="exact"/>
        <w:rPr>
          <w:rFonts w:ascii="Arial" w:cs="Arial" w:eastAsia="Arial" w:hAnsi="Arial"/>
          <w:sz w:val="16"/>
          <w:szCs w:val="16"/>
          <w:color w:val="auto"/>
        </w:rPr>
      </w:pPr>
    </w:p>
    <w:p>
      <w:pPr>
        <w:ind w:left="1980" w:right="1019" w:hanging="360"/>
        <w:spacing w:after="0" w:line="308"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discussed with the independent registered public accounting firm the matters required to be discussed by Auditing Standard No. 1301, Communications with Audit Committee;</w:t>
      </w:r>
    </w:p>
    <w:p>
      <w:pPr>
        <w:spacing w:after="0" w:line="78" w:lineRule="exact"/>
        <w:rPr>
          <w:rFonts w:ascii="Arial" w:cs="Arial" w:eastAsia="Arial" w:hAnsi="Arial"/>
          <w:sz w:val="17"/>
          <w:szCs w:val="17"/>
          <w:color w:val="auto"/>
        </w:rPr>
      </w:pPr>
    </w:p>
    <w:p>
      <w:pPr>
        <w:ind w:left="1980" w:right="539" w:hanging="360"/>
        <w:spacing w:after="0" w:line="25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106" w:lineRule="exact"/>
        <w:rPr>
          <w:rFonts w:ascii="Arial" w:cs="Arial" w:eastAsia="Arial" w:hAnsi="Arial"/>
          <w:sz w:val="18"/>
          <w:szCs w:val="18"/>
          <w:color w:val="auto"/>
        </w:rPr>
      </w:pPr>
    </w:p>
    <w:p>
      <w:pPr>
        <w:ind w:left="1980" w:right="579" w:hanging="360"/>
        <w:spacing w:after="0" w:line="25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120" w:lineRule="exact"/>
        <w:rPr>
          <w:rFonts w:ascii="Arial" w:cs="Arial" w:eastAsia="Arial" w:hAnsi="Arial"/>
          <w:sz w:val="18"/>
          <w:szCs w:val="18"/>
          <w:color w:val="auto"/>
        </w:rPr>
      </w:pPr>
    </w:p>
    <w:p>
      <w:pPr>
        <w:ind w:left="1980" w:right="499" w:hanging="360"/>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considered whether the provision of non-audit services by our registered public accounting firm is compatible with maintaining the registered public accounting firm’s independence;</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the scope of and overall plans for the annual audit and the internal audit program;</w:t>
      </w:r>
    </w:p>
    <w:p>
      <w:pPr>
        <w:spacing w:after="0" w:line="157" w:lineRule="exact"/>
        <w:rPr>
          <w:rFonts w:ascii="Arial" w:cs="Arial" w:eastAsia="Arial" w:hAnsi="Arial"/>
          <w:sz w:val="18"/>
          <w:szCs w:val="18"/>
          <w:color w:val="auto"/>
        </w:rPr>
      </w:pPr>
    </w:p>
    <w:p>
      <w:pPr>
        <w:ind w:left="1980" w:right="699" w:hanging="360"/>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new accounting standards applicable with our CFO, internal audit department and our external auditors;</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consulted with management with respect to our processes for risk assessment and risk mitigation;</w:t>
      </w:r>
    </w:p>
    <w:p>
      <w:pPr>
        <w:spacing w:after="0" w:line="169" w:lineRule="exact"/>
        <w:rPr>
          <w:rFonts w:ascii="Arial" w:cs="Arial" w:eastAsia="Arial" w:hAnsi="Arial"/>
          <w:sz w:val="17"/>
          <w:szCs w:val="17"/>
          <w:color w:val="auto"/>
        </w:rPr>
      </w:pPr>
    </w:p>
    <w:p>
      <w:pPr>
        <w:ind w:left="1980" w:right="599" w:hanging="360"/>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our processes for monitoring compliance with the law and Company policies and Code of Business Conduct and Ethics; and</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759" w:hanging="360"/>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and discussed with management its assessment and report on the effectiveness of our internal control over financial reporting as of December 31, 2020.</w:t>
      </w:r>
    </w:p>
    <w:p>
      <w:pPr>
        <w:spacing w:after="0" w:line="89"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Based on its review and report on the Company’s internal control over financial reporting as of December 31, 2020, the Audit and Compliance Committee recommended to the Board that the audited consolidated financial statements be included in the Company’s US Annual Report on Form 10-K for the year ended December 31,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Francesco Bianchi</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Hugh Morrison (chair)</w:t>
      </w:r>
    </w:p>
    <w:p>
      <w:pPr>
        <w:ind w:left="1260"/>
        <w:spacing w:after="0" w:line="234" w:lineRule="auto"/>
        <w:rPr>
          <w:sz w:val="20"/>
          <w:szCs w:val="20"/>
          <w:color w:val="auto"/>
        </w:rPr>
      </w:pPr>
      <w:r>
        <w:rPr>
          <w:rFonts w:ascii="Arial" w:cs="Arial" w:eastAsia="Arial" w:hAnsi="Arial"/>
          <w:sz w:val="18"/>
          <w:szCs w:val="18"/>
          <w:b w:val="1"/>
          <w:bCs w:val="1"/>
          <w:color w:val="auto"/>
        </w:rPr>
        <w:t>Alfred Novak</w:t>
      </w:r>
    </w:p>
    <w:p>
      <w:pPr>
        <w:ind w:left="1260"/>
        <w:spacing w:after="0" w:line="235" w:lineRule="auto"/>
        <w:rPr>
          <w:sz w:val="20"/>
          <w:szCs w:val="20"/>
          <w:color w:val="auto"/>
        </w:rPr>
      </w:pPr>
      <w:r>
        <w:rPr>
          <w:rFonts w:ascii="Arial" w:cs="Arial" w:eastAsia="Arial" w:hAnsi="Arial"/>
          <w:sz w:val="18"/>
          <w:szCs w:val="18"/>
          <w:b w:val="1"/>
          <w:bCs w:val="1"/>
          <w:color w:val="auto"/>
        </w:rPr>
        <w:t>Andrea Saia</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Todd Schermerhorn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Paid to PricewaterhouseCoopers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following table summarizes the aggregate fees billed to us by PwC USA and its respective network member firms including PwC S.p.A. and the PricewaterhouseCoopers entity in the UK that acts as our UK statutory auditor (together, “PwC”) for services performed in connection with the financial year ended December 31, 2020 and the financial year ended December 31, 2019:</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0"/>
              </w:rPr>
              <w:t>Year Ended</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8"/>
              </w:rPr>
              <w:t>December 31, 2020</w:t>
            </w:r>
          </w:p>
        </w:tc>
        <w:tc>
          <w:tcPr>
            <w:tcW w:w="1260" w:type="dxa"/>
            <w:vAlign w:val="bottom"/>
            <w:gridSpan w:val="4"/>
          </w:tcPr>
          <w:p>
            <w:pPr>
              <w:jc w:val="center"/>
              <w:ind w:left="35"/>
              <w:spacing w:after="0"/>
              <w:rPr>
                <w:sz w:val="20"/>
                <w:szCs w:val="20"/>
                <w:color w:val="auto"/>
              </w:rPr>
            </w:pPr>
            <w:r>
              <w:rPr>
                <w:rFonts w:ascii="Arial" w:cs="Arial" w:eastAsia="Arial" w:hAnsi="Arial"/>
                <w:sz w:val="14"/>
                <w:szCs w:val="14"/>
                <w:b w:val="1"/>
                <w:bCs w:val="1"/>
                <w:color w:val="auto"/>
                <w:w w:val="87"/>
              </w:rPr>
              <w:t>December 31, 2019</w:t>
            </w: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
        </w:trPr>
        <w:tc>
          <w:tcPr>
            <w:tcW w:w="1940" w:type="dxa"/>
            <w:vAlign w:val="bottom"/>
            <w:gridSpan w:val="2"/>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360" w:type="dxa"/>
            <w:vAlign w:val="bottom"/>
          </w:tcPr>
          <w:p>
            <w:pPr>
              <w:spacing w:after="0"/>
              <w:rPr>
                <w:sz w:val="23"/>
                <w:szCs w:val="23"/>
                <w:color w:val="auto"/>
              </w:rPr>
            </w:pPr>
          </w:p>
        </w:tc>
        <w:tc>
          <w:tcPr>
            <w:tcW w:w="49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6,250</w:t>
            </w:r>
          </w:p>
        </w:tc>
        <w:tc>
          <w:tcPr>
            <w:tcW w:w="4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7,664</w:t>
            </w:r>
          </w:p>
        </w:tc>
        <w:tc>
          <w:tcPr>
            <w:tcW w:w="320" w:type="dxa"/>
            <w:vAlign w:val="bottom"/>
            <w:shd w:val="clear" w:color="auto" w:fill="CCEEFF"/>
          </w:tcPr>
          <w:p>
            <w:pPr>
              <w:spacing w:after="0"/>
              <w:rPr>
                <w:sz w:val="23"/>
                <w:szCs w:val="23"/>
                <w:color w:val="auto"/>
              </w:rPr>
            </w:pPr>
          </w:p>
        </w:tc>
      </w:tr>
      <w:tr>
        <w:trPr>
          <w:trHeight w:val="270"/>
        </w:trPr>
        <w:tc>
          <w:tcPr>
            <w:tcW w:w="534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Audit-Related Services</w:t>
            </w:r>
            <w:r>
              <w:rPr>
                <w:rFonts w:ascii="Arial" w:cs="Arial" w:eastAsia="Arial" w:hAnsi="Arial"/>
                <w:sz w:val="26"/>
                <w:szCs w:val="26"/>
                <w:color w:val="auto"/>
                <w:vertAlign w:val="superscript"/>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r>
      <w:tr>
        <w:trPr>
          <w:trHeight w:val="270"/>
        </w:trPr>
        <w:tc>
          <w:tcPr>
            <w:tcW w:w="360" w:type="dxa"/>
            <w:vAlign w:val="bottom"/>
          </w:tcPr>
          <w:p>
            <w:pPr>
              <w:spacing w:after="0"/>
              <w:rPr>
                <w:sz w:val="23"/>
                <w:szCs w:val="23"/>
                <w:color w:val="auto"/>
              </w:rPr>
            </w:pPr>
          </w:p>
        </w:tc>
        <w:tc>
          <w:tcPr>
            <w:tcW w:w="49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Taxation advisory services</w:t>
            </w:r>
            <w:r>
              <w:rPr>
                <w:rFonts w:ascii="Arial" w:cs="Arial" w:eastAsia="Arial" w:hAnsi="Arial"/>
                <w:sz w:val="26"/>
                <w:szCs w:val="26"/>
                <w:color w:val="auto"/>
                <w:vertAlign w:val="superscript"/>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23"/>
                <w:szCs w:val="23"/>
                <w:color w:val="auto"/>
              </w:rPr>
            </w:pPr>
          </w:p>
        </w:tc>
      </w:tr>
      <w:tr>
        <w:trPr>
          <w:trHeight w:val="283"/>
        </w:trPr>
        <w:tc>
          <w:tcPr>
            <w:tcW w:w="360" w:type="dxa"/>
            <w:vAlign w:val="bottom"/>
          </w:tcPr>
          <w:p>
            <w:pPr>
              <w:spacing w:after="0"/>
              <w:rPr>
                <w:sz w:val="24"/>
                <w:szCs w:val="24"/>
                <w:color w:val="auto"/>
              </w:rPr>
            </w:pPr>
          </w:p>
        </w:tc>
        <w:tc>
          <w:tcPr>
            <w:tcW w:w="4980" w:type="dxa"/>
            <w:vAlign w:val="bottom"/>
            <w:gridSpan w:val="2"/>
          </w:tcPr>
          <w:p>
            <w:pPr>
              <w:spacing w:after="0" w:line="283" w:lineRule="exact"/>
              <w:rPr>
                <w:sz w:val="20"/>
                <w:szCs w:val="20"/>
                <w:color w:val="auto"/>
              </w:rPr>
            </w:pPr>
            <w:r>
              <w:rPr>
                <w:rFonts w:ascii="Arial" w:cs="Arial" w:eastAsia="Arial" w:hAnsi="Arial"/>
                <w:sz w:val="18"/>
                <w:szCs w:val="18"/>
                <w:color w:val="auto"/>
              </w:rPr>
              <w:t>All Other Fees</w:t>
            </w:r>
            <w:r>
              <w:rPr>
                <w:rFonts w:ascii="Arial" w:cs="Arial" w:eastAsia="Arial" w:hAnsi="Arial"/>
                <w:sz w:val="26"/>
                <w:szCs w:val="26"/>
                <w:color w:val="auto"/>
                <w:vertAlign w:val="superscript"/>
              </w:rPr>
              <w:t>(4)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84"/>
        </w:trPr>
        <w:tc>
          <w:tcPr>
            <w:tcW w:w="360" w:type="dxa"/>
            <w:vAlign w:val="bottom"/>
          </w:tcPr>
          <w:p>
            <w:pPr>
              <w:spacing w:after="0"/>
              <w:rPr>
                <w:sz w:val="24"/>
                <w:szCs w:val="24"/>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6,959</w:t>
            </w:r>
          </w:p>
        </w:tc>
        <w:tc>
          <w:tcPr>
            <w:tcW w:w="4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8,108</w:t>
            </w:r>
          </w:p>
        </w:tc>
        <w:tc>
          <w:tcPr>
            <w:tcW w:w="320" w:type="dxa"/>
            <w:vAlign w:val="bottom"/>
            <w:shd w:val="clear" w:color="auto" w:fill="CCEEFF"/>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7491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-1139190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1620" w:right="439" w:hanging="360"/>
        <w:spacing w:after="0" w:line="259"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38" w:lineRule="exact"/>
        <w:rPr>
          <w:rFonts w:ascii="Arial" w:cs="Arial" w:eastAsia="Arial" w:hAnsi="Arial"/>
          <w:sz w:val="18"/>
          <w:szCs w:val="18"/>
          <w:color w:val="auto"/>
        </w:rPr>
      </w:pPr>
    </w:p>
    <w:p>
      <w:pPr>
        <w:ind w:left="1620" w:right="579"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Audit-Related Fees consist of aggregate fees to PwC for assurance services, other than those included in Audit Fees, related to the comfort letter issued in relation to the Offering Memorandum for $287.5 million Cash Exchangeable Senior Notes due 2025.</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Tax Fees include applicable fees paid to PwC for tax services, including tax compliance and tax advice.</w:t>
      </w:r>
    </w:p>
    <w:p>
      <w:pPr>
        <w:spacing w:after="0" w:line="74" w:lineRule="exact"/>
        <w:rPr>
          <w:rFonts w:ascii="Arial" w:cs="Arial" w:eastAsia="Arial" w:hAnsi="Arial"/>
          <w:sz w:val="17"/>
          <w:szCs w:val="17"/>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Fees in 2020 and 2019 are for fees for disclosure checklist access.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Audit and Compliance Committee has established an auditor independence policy that addresses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hiring of former employees of the Company’s auditors as well as the provision by the auditors of audit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non-audit services. The policy sets out certain non-audit services that are prohibited at all times as well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a separate list of services that may be permitted if approved by the Audit and Compliance Committee,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subject to certain caps (expressed as a percentage of the average of all fees paid to the auditor in each of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prior three years). The committee may approve non-audit services in excess of this cap only if it concludes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auditor is, or a reasonable investor with knowledge of all relevant facts and circumstances would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conclude that the auditor is, capable of exercising objective and impartial judgment on all issues</w:t>
      </w:r>
    </w:p>
    <w:p>
      <w:pPr>
        <w:ind w:left="1260"/>
        <w:spacing w:after="0"/>
        <w:rPr>
          <w:sz w:val="20"/>
          <w:szCs w:val="20"/>
          <w:color w:val="auto"/>
        </w:rPr>
      </w:pPr>
      <w:r>
        <w:rPr>
          <w:rFonts w:ascii="Arial" w:cs="Arial" w:eastAsia="Arial" w:hAnsi="Arial"/>
          <w:sz w:val="17"/>
          <w:szCs w:val="17"/>
          <w:color w:val="auto"/>
        </w:rPr>
        <w:t>encompassed within the auditor’s engagement. In this same policy, the committee also delegated approval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authority to the committee’s chair (or by resolution to any other member of the committee) to approve any</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one or more individual audit or permitted non-audit services for which estimated fees do not exceed</w:t>
      </w:r>
    </w:p>
    <w:p>
      <w:pPr>
        <w:ind w:left="1260"/>
        <w:spacing w:after="0"/>
        <w:rPr>
          <w:sz w:val="20"/>
          <w:szCs w:val="20"/>
          <w:color w:val="auto"/>
        </w:rPr>
      </w:pPr>
      <w:r>
        <w:rPr>
          <w:rFonts w:ascii="Arial" w:cs="Arial" w:eastAsia="Arial" w:hAnsi="Arial"/>
          <w:sz w:val="17"/>
          <w:szCs w:val="17"/>
          <w:color w:val="auto"/>
        </w:rPr>
        <w:t>$100,000. In such cases, the committee chair reports such approvals at the next scheduled meeting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committee.</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Proposal No. 3 Ratification of the Appointment of PwC USA as the Company’s Independent</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Registered Public Accounting Firm</w:t>
      </w:r>
    </w:p>
    <w:p>
      <w:pPr>
        <w:spacing w:after="0" w:line="13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Audit and Compliance Committee has appointed PwC USA as our independent registered public accounting firm for the year ending December 31, 2021,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2021.</w:t>
      </w:r>
    </w:p>
    <w:p>
      <w:pPr>
        <w:spacing w:after="0" w:line="10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anticipate that a representative of PwC USA or an affiliated member firm will be present at the AGM. The representative will be given the opportunity to make a statement if he or she desires to do so, and is expected to be available to respond to any appropriate questions that may be submitted by shareholders at the AGM.</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This ordinary resolution will be approved if there is an affirmative vote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present at the AGM, in person or by proxy, and entitled to vote on the proposal. If this proposal does not receive the affirmative vote of the holders of a majority of the shares entitled to vote and present in person or represented by proxy at the AGM, the Audit and Compliance Committee will reconsider the appointment, but may decide to maintain its appointment of PwC USA.</w:t>
      </w:r>
    </w:p>
    <w:p>
      <w:pPr>
        <w:spacing w:after="0" w:line="107"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and the Audit and Compliance Committee recommend a vote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ratification of the appointment of PwC USA as the Company’s independent registered public accounting firm for the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No. 4 — Ordinary Resolution to Grant Authority to Allot Shares</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action requested in this Proposal 4 is required because the Company is incorporated in England and Wales and is subject to the Companies Act 2006 (the “Companies Act”). For Companies subject to the Companies Act, unlike for companies incorporated in the US, the power to allot (or issue) shares is restricted in terms of number of shares that may be allotted and the time period during which they may be allotted.</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Under the Companies Act, the directors may only allot shares in the Company or grant rights to subscribe for, or to convert any security, into shares in the Company if they are authorized to do so by the Company’s Articles of Association or by shareholder resolution. The requirement for such authorization to allot by the Company’s shareholders is an additional step not generally required when companies domiciled in the United States are issuing securities. The directors believe that it is important for the Company to retain the flexibility to allot shares on an accelerated basis should the directors determine it is necessary or advisable and in the best interests of shareholders, without incurring the costs or delays associated with calling a special meeting and preparing and circulating proxy materials to approve specific allotments of shares.</w:t>
      </w:r>
    </w:p>
    <w:p>
      <w:pPr>
        <w:spacing w:after="0" w:line="12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Company sought a similar authority at the 2020 AGM. Shortly before the meeting the Company committed to restrict the length of the authority. At the 2020 AGM, the equivalent resolution was passed and the Company committed not to utilize this authority for more than eighteen (18) months after the 2020 AGM and to seek renewal of this authority at 2021 AGM.</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Therefore, the Company is now requesting that its Board have the authority to allot up to an aggregate nominal amount of £16,122,679, which is equivalent to approximately 33% of the Company’s existing issued share capital (excluding treasury shares). 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w:t>
      </w:r>
    </w:p>
    <w:p>
      <w:pPr>
        <w:spacing w:after="0" w:line="12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directors have no present intention to exercise the authority sought under this resolution, other than to satisfy options and other awards under the Company’s option and incentive schemes and one-off incentive arrangements, but believe it is in the interests of shareholders for the directors to have this flexibility to allot shares, should circumstances and their intentions change.</w:t>
      </w:r>
    </w:p>
    <w:p>
      <w:pPr>
        <w:spacing w:after="0" w:line="11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approval of this resolution by the Company’s shareholders will not substitute for any approvals that may be required for a specific transaction under any applicable Nasdaq listing rules.</w:t>
      </w:r>
    </w:p>
    <w:p>
      <w:pPr>
        <w:spacing w:after="0" w:line="89"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This ordinary resolution will be approved if there is an affirmative vote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present at the AGM, in person or by proxy, and entitled to vote on the proposal.</w:t>
      </w:r>
    </w:p>
    <w:p>
      <w:pPr>
        <w:spacing w:after="0" w:line="103"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proposal to grant the authority to allot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Proposal 5 — Special Resolution to Grant Power to Disapply Pre-Emptive Rights</w:t>
      </w:r>
    </w:p>
    <w:p>
      <w:pPr>
        <w:spacing w:after="0" w:line="148"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This action, like Proposal 4, is required because the Company is incorporated in England and Wales. In this proposal, the Company is requesting that when the Board allots (issues) shares for cash:</w:t>
      </w:r>
    </w:p>
    <w:p>
      <w:pPr>
        <w:spacing w:after="0" w:line="79" w:lineRule="exact"/>
        <w:rPr>
          <w:sz w:val="20"/>
          <w:szCs w:val="20"/>
          <w:color w:val="auto"/>
        </w:rPr>
      </w:pPr>
    </w:p>
    <w:p>
      <w:pPr>
        <w:ind w:left="1980" w:right="459" w:hanging="360"/>
        <w:spacing w:after="0" w:line="308" w:lineRule="auto"/>
        <w:tabs>
          <w:tab w:leader="none" w:pos="1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 to an aggregate nominal amount of £2,442,830, which is equivalent to approximately 5% of the Company’s existing issued share capital (excluding treasury shares), for any purpose and</w:t>
      </w:r>
    </w:p>
    <w:p>
      <w:pPr>
        <w:spacing w:after="0" w:line="78" w:lineRule="exact"/>
        <w:rPr>
          <w:rFonts w:ascii="Arial" w:cs="Arial" w:eastAsia="Arial" w:hAnsi="Arial"/>
          <w:sz w:val="17"/>
          <w:szCs w:val="17"/>
          <w:color w:val="auto"/>
        </w:rPr>
      </w:pPr>
    </w:p>
    <w:p>
      <w:pPr>
        <w:ind w:left="1980" w:hanging="360"/>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addition to the amount set out under (a) above), up to an aggregate nominal amount of</w:t>
      </w:r>
    </w:p>
    <w:p>
      <w:pPr>
        <w:spacing w:after="0" w:line="23" w:lineRule="exact"/>
        <w:rPr>
          <w:rFonts w:ascii="Arial" w:cs="Arial" w:eastAsia="Arial" w:hAnsi="Arial"/>
          <w:sz w:val="18"/>
          <w:szCs w:val="18"/>
          <w:color w:val="auto"/>
        </w:rPr>
      </w:pPr>
    </w:p>
    <w:p>
      <w:pPr>
        <w:ind w:left="1980" w:right="519"/>
        <w:spacing w:after="0" w:line="255" w:lineRule="auto"/>
        <w:rPr>
          <w:rFonts w:ascii="Arial" w:cs="Arial" w:eastAsia="Arial" w:hAnsi="Arial"/>
          <w:sz w:val="18"/>
          <w:szCs w:val="18"/>
          <w:color w:val="auto"/>
        </w:rPr>
      </w:pPr>
      <w:r>
        <w:rPr>
          <w:rFonts w:ascii="Arial" w:cs="Arial" w:eastAsia="Arial" w:hAnsi="Arial"/>
          <w:sz w:val="18"/>
          <w:szCs w:val="18"/>
          <w:color w:val="auto"/>
        </w:rPr>
        <w:t>£2,442,830, which is equivalent to approximately 5% of the Company’s existing issued share capital (excluding treasury shares), to be used only for the purposes of financing an acquisition or other capital investment,</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 not be required to offer pre-emption rights to existing shareholders.</w:t>
      </w:r>
    </w:p>
    <w:p>
      <w:pPr>
        <w:spacing w:after="0" w:line="158" w:lineRule="exact"/>
        <w:rPr>
          <w:sz w:val="20"/>
          <w:szCs w:val="20"/>
          <w:color w:val="auto"/>
        </w:rPr>
      </w:pPr>
    </w:p>
    <w:p>
      <w:pPr>
        <w:jc w:val="both"/>
        <w:ind w:left="1260" w:right="539" w:firstLine="360"/>
        <w:spacing w:after="0" w:line="273" w:lineRule="auto"/>
        <w:rPr>
          <w:sz w:val="20"/>
          <w:szCs w:val="20"/>
          <w:color w:val="auto"/>
        </w:rPr>
      </w:pPr>
      <w:r>
        <w:rPr>
          <w:rFonts w:ascii="Arial" w:cs="Arial" w:eastAsia="Arial" w:hAnsi="Arial"/>
          <w:sz w:val="17"/>
          <w:szCs w:val="17"/>
          <w:color w:val="auto"/>
        </w:rPr>
        <w:t>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 This resolution, if passed, would give the directors the power to allot new equity securities or to sell treasury shares held by the Company for cash without first offering them to shareholders in proportion to their existing holdings, subject to the limits set forth above.</w:t>
      </w:r>
    </w:p>
    <w:p>
      <w:pPr>
        <w:spacing w:after="0" w:line="11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Under the Companies Act,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w:t>
      </w:r>
    </w:p>
    <w:p>
      <w:pPr>
        <w:spacing w:after="0" w:line="106"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The requirement to first offer shares to existing shareholders is an additional step not generally required when companies domiciled in the United States are issuing securities. The directors believe that it is important for the Company to retain the flexibility to issue shares on an accelerated basis should the directors determine it is necessary or advisable and in the best interests of shareholders, without incurring the costs or delays associated with calling a special meeting and preparing and circulating proxy materials to disapply pre-emption rights in connection with specific allotments of shares.</w:t>
      </w:r>
    </w:p>
    <w:p>
      <w:pPr>
        <w:spacing w:after="0" w:line="11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equivalent resolution giving the directors the power to allot new equity securities or to sell treasury shares held by the Company for cash without first offering them to shareholders in proportion to their existing holdings up to a specified limit was passed at the 2020 annual general meeting of the Company and the Company committed not to utilize this authority for more than eighteen (18) months after the 2020 annual general meeting and to seek renewal of this authority at the annual general meeting of the Company in 2021.</w:t>
      </w:r>
    </w:p>
    <w:p>
      <w:pPr>
        <w:spacing w:after="0" w:line="12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directors have no present intention to exercise the authority sought under this resolution, other than to satisfy options and other awards under the Company’s option and incentive schemes and one-off incentive arrangements, but believe it is in the interests of shareholders for the directors to have this flexibility to allot shares for cash, should circumstances and their intentions change.</w:t>
      </w:r>
    </w:p>
    <w:p>
      <w:pPr>
        <w:spacing w:after="0" w:line="10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approval of this resolution by the Company’s shareholders will not substitute for any approvals that may be required for a specific transaction under any applicable Nasdaq listing rules.</w:t>
      </w:r>
    </w:p>
    <w:p>
      <w:pPr>
        <w:spacing w:after="0" w:line="10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This special resolution will be approved if there is an affirmative vote of at least 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votes cast on the resolution.</w:t>
      </w:r>
    </w:p>
    <w:p>
      <w:pPr>
        <w:spacing w:after="0" w:line="103"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proposal to disapply pre-emptive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Ownership Information</w:t>
      </w:r>
    </w:p>
    <w:p>
      <w:pPr>
        <w:spacing w:after="0" w:line="148" w:lineRule="exact"/>
        <w:rPr>
          <w:sz w:val="20"/>
          <w:szCs w:val="20"/>
          <w:color w:val="auto"/>
        </w:rPr>
      </w:pPr>
    </w:p>
    <w:p>
      <w:pPr>
        <w:ind w:left="1260" w:right="1360" w:firstLine="360"/>
        <w:spacing w:after="0" w:line="277" w:lineRule="auto"/>
        <w:rPr>
          <w:sz w:val="20"/>
          <w:szCs w:val="20"/>
          <w:color w:val="auto"/>
        </w:rPr>
      </w:pPr>
      <w:r>
        <w:rPr>
          <w:rFonts w:ascii="Arial" w:cs="Arial" w:eastAsia="Arial" w:hAnsi="Arial"/>
          <w:sz w:val="18"/>
          <w:szCs w:val="18"/>
          <w:color w:val="auto"/>
        </w:rPr>
        <w:t>The following table sets forth, as of April 22, 2021, except where otherwise noted, certain information with respect to the amount of our ordinary share</w:t>
      </w:r>
      <w:r>
        <w:rPr>
          <w:rFonts w:ascii="Arial" w:cs="Arial" w:eastAsia="Arial" w:hAnsi="Arial"/>
          <w:sz w:val="18"/>
          <w:szCs w:val="18"/>
          <w:b w:val="1"/>
          <w:bCs w:val="1"/>
          <w:color w:val="auto"/>
        </w:rPr>
        <w:t>s</w:t>
      </w:r>
      <w:r>
        <w:rPr>
          <w:rFonts w:ascii="Arial" w:cs="Arial" w:eastAsia="Arial" w:hAnsi="Arial"/>
          <w:sz w:val="18"/>
          <w:szCs w:val="18"/>
          <w:color w:val="auto"/>
        </w:rPr>
        <w:t xml:space="preserve"> beneficially owned by:</w:t>
      </w:r>
    </w:p>
    <w:p>
      <w:pPr>
        <w:spacing w:after="0" w:line="62" w:lineRule="exact"/>
        <w:rPr>
          <w:sz w:val="20"/>
          <w:szCs w:val="20"/>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known by us to own beneficially more than 5% of the outstanding ordinary shares.</w:t>
      </w:r>
    </w:p>
    <w:p>
      <w:pPr>
        <w:spacing w:after="0" w:line="158"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We are not aware of any agreements among our shareholders that relate to voting or investment of our ordinary shares.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88"/>
              </w:rPr>
              <w:t>Amount and Nature of Beneficial Ownership</w:t>
            </w:r>
            <w:r>
              <w:rPr>
                <w:rFonts w:ascii="Arial" w:cs="Arial" w:eastAsia="Arial" w:hAnsi="Arial"/>
                <w:sz w:val="21"/>
                <w:szCs w:val="21"/>
                <w:b w:val="1"/>
                <w:bCs w:val="1"/>
                <w:color w:val="auto"/>
                <w:w w:val="88"/>
                <w:vertAlign w:val="superscript"/>
              </w:rPr>
              <w:t>(1)</w:t>
            </w:r>
          </w:p>
        </w:tc>
        <w:tc>
          <w:tcPr>
            <w:tcW w:w="6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Percent of</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Acquirable</w:t>
            </w: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Total Beneficial</w:t>
            </w:r>
          </w:p>
        </w:tc>
        <w:tc>
          <w:tcPr>
            <w:tcW w:w="6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Shares Owned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Within 60 Days</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620" w:type="dxa"/>
            <w:vAlign w:val="bottom"/>
          </w:tcPr>
          <w:p>
            <w:pPr>
              <w:jc w:val="right"/>
              <w:ind w:right="12"/>
              <w:spacing w:after="0" w:line="230" w:lineRule="exact"/>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21"/>
                <w:szCs w:val="21"/>
                <w:b w:val="1"/>
                <w:bCs w:val="1"/>
                <w:color w:val="auto"/>
                <w:w w:val="91"/>
                <w:vertAlign w:val="superscript"/>
              </w:rPr>
              <w:t>(2)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Damien McDonald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75,779</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4,450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80,229</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Marco Dolci</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7,515</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Trui Hebbelinck</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Alex Shvartsurg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4,253</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Keyna Skeffington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6,065</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Francesco Bianchi</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2,955</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2,955</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Stacy Enxing Seng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William Kozy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2,983</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Daniel Moore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30,699</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30,699</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60" w:type="dxa"/>
            <w:vAlign w:val="bottom"/>
          </w:tcPr>
          <w:p>
            <w:pPr>
              <w:spacing w:after="0" w:line="256" w:lineRule="exact"/>
              <w:rPr>
                <w:sz w:val="20"/>
                <w:szCs w:val="20"/>
                <w:color w:val="auto"/>
              </w:rPr>
            </w:pPr>
            <w:r>
              <w:rPr>
                <w:rFonts w:ascii="Arial" w:cs="Arial" w:eastAsia="Arial" w:hAnsi="Arial"/>
                <w:sz w:val="18"/>
                <w:szCs w:val="18"/>
                <w:color w:val="auto"/>
              </w:rPr>
              <w:t>Hugh Morrison</w:t>
            </w:r>
            <w:r>
              <w:rPr>
                <w:rFonts w:ascii="Arial" w:cs="Arial" w:eastAsia="Arial" w:hAnsi="Arial"/>
                <w:sz w:val="26"/>
                <w:szCs w:val="26"/>
                <w:color w:val="auto"/>
                <w:vertAlign w:val="superscript"/>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Alfred Novak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12,012</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Sharon O’Kane, PhD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5,023</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5,023</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20,046</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Andrea Saia</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4,438</w:t>
            </w:r>
          </w:p>
        </w:tc>
        <w:tc>
          <w:tcPr>
            <w:tcW w:w="22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4,438</w:t>
            </w:r>
          </w:p>
        </w:tc>
        <w:tc>
          <w:tcPr>
            <w:tcW w:w="22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Todd Schermerhorn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b w:val="1"/>
                <w:bCs w:val="1"/>
                <w:i w:val="1"/>
                <w:iCs w:val="1"/>
                <w:color w:val="auto"/>
                <w:w w:val="85"/>
              </w:rPr>
              <w:t>All current executive officers and directors as a group</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(15 persons)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174,151</w:t>
            </w:r>
          </w:p>
        </w:tc>
        <w:tc>
          <w:tcPr>
            <w:tcW w:w="220" w:type="dxa"/>
            <w:vAlign w:val="bottom"/>
          </w:tcPr>
          <w:p>
            <w:pPr>
              <w:spacing w:after="0"/>
              <w:rPr>
                <w:sz w:val="20"/>
                <w:szCs w:val="20"/>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7,738</w:t>
            </w: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181,889</w:t>
            </w:r>
          </w:p>
        </w:tc>
        <w:tc>
          <w:tcPr>
            <w:tcW w:w="22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w:t>
            </w:r>
            <w:r>
              <w:rPr>
                <w:rFonts w:ascii="Arial" w:cs="Arial" w:eastAsia="Arial" w:hAnsi="Arial"/>
                <w:sz w:val="26"/>
                <w:szCs w:val="26"/>
                <w:b w:val="1"/>
                <w:bCs w:val="1"/>
                <w:i w:val="1"/>
                <w:iCs w:val="1"/>
                <w:color w:val="auto"/>
                <w:vertAlign w:val="superscript"/>
              </w:rPr>
              <w:t>(4)</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60" w:type="dxa"/>
            <w:vAlign w:val="bottom"/>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5,300,222</w:t>
            </w:r>
          </w:p>
        </w:tc>
        <w:tc>
          <w:tcPr>
            <w:tcW w:w="22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5,300,222</w:t>
            </w:r>
          </w:p>
        </w:tc>
        <w:tc>
          <w:tcPr>
            <w:tcW w:w="220" w:type="dxa"/>
            <w:vAlign w:val="bottom"/>
          </w:tcPr>
          <w:p>
            <w:pPr>
              <w:spacing w:after="0"/>
              <w:rPr>
                <w:sz w:val="23"/>
                <w:szCs w:val="23"/>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New York, NY 10055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PRIMECAP Management Company</w:t>
            </w:r>
            <w:r>
              <w:rPr>
                <w:rFonts w:ascii="Arial" w:cs="Arial" w:eastAsia="Arial" w:hAnsi="Arial"/>
                <w:sz w:val="26"/>
                <w:szCs w:val="26"/>
                <w:color w:val="auto"/>
                <w:vertAlign w:val="superscript"/>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3,956,695</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3,956,695</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177 E. Colorado Blvd., 11th Floor</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Pasadena, CA 91105</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Harris Associates L.P.</w:t>
            </w:r>
            <w:r>
              <w:rPr>
                <w:rFonts w:ascii="Arial" w:cs="Arial" w:eastAsia="Arial" w:hAnsi="Arial"/>
                <w:sz w:val="26"/>
                <w:szCs w:val="26"/>
                <w:color w:val="auto"/>
                <w:vertAlign w:val="superscript"/>
              </w:rPr>
              <w:t>(7)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3,735,678</w:t>
            </w:r>
          </w:p>
        </w:tc>
        <w:tc>
          <w:tcPr>
            <w:tcW w:w="22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3,735,678</w:t>
            </w:r>
          </w:p>
        </w:tc>
        <w:tc>
          <w:tcPr>
            <w:tcW w:w="22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7.65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111. S. Wacker, Suite 4000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Chicago, IL 60606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gridSpan w:val="2"/>
          </w:tcPr>
          <w:p>
            <w:pPr>
              <w:jc w:val="right"/>
              <w:ind w:right="768"/>
              <w:spacing w:after="0"/>
              <w:rPr>
                <w:sz w:val="20"/>
                <w:szCs w:val="20"/>
                <w:color w:val="auto"/>
              </w:rPr>
            </w:pPr>
            <w:r>
              <w:rPr>
                <w:rFonts w:ascii="Arial" w:cs="Arial" w:eastAsia="Arial" w:hAnsi="Arial"/>
                <w:sz w:val="18"/>
                <w:szCs w:val="18"/>
                <w:color w:val="auto"/>
                <w:w w:val="99"/>
              </w:rPr>
              <w:t>59</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-5596890</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-5596890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-5596890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-5596890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6" w:name="page67"/>
    <w:bookmarkEnd w:id="6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499" w:hanging="360"/>
        <w:spacing w:after="0" w:line="270" w:lineRule="auto"/>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22, 2021,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w:t>
      </w:r>
    </w:p>
    <w:p>
      <w:pPr>
        <w:spacing w:after="0" w:line="32" w:lineRule="exact"/>
        <w:rPr>
          <w:rFonts w:ascii="Arial" w:cs="Arial" w:eastAsia="Arial" w:hAnsi="Arial"/>
          <w:sz w:val="17"/>
          <w:szCs w:val="17"/>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total shares outstanding of 48,856,606 as of April 22, 2021.</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2,929 shares owned by Mr. Morrison are pledged as collateral in connection with a margin account.</w:t>
      </w:r>
    </w:p>
    <w:p>
      <w:pPr>
        <w:spacing w:after="0" w:line="88" w:lineRule="exact"/>
        <w:rPr>
          <w:rFonts w:ascii="Arial" w:cs="Arial" w:eastAsia="Arial" w:hAnsi="Arial"/>
          <w:sz w:val="17"/>
          <w:szCs w:val="17"/>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 holders are as of April 22, 2021, as reported on Schedules 13G filed with the SEC.</w:t>
      </w:r>
    </w:p>
    <w:p>
      <w:pPr>
        <w:spacing w:after="0" w:line="76" w:lineRule="exact"/>
        <w:rPr>
          <w:rFonts w:ascii="Arial" w:cs="Arial" w:eastAsia="Arial" w:hAnsi="Arial"/>
          <w:sz w:val="18"/>
          <w:szCs w:val="18"/>
          <w:color w:val="auto"/>
        </w:rPr>
      </w:pPr>
    </w:p>
    <w:p>
      <w:pPr>
        <w:ind w:left="1620" w:right="719" w:hanging="360"/>
        <w:spacing w:after="0" w:line="25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of December 31, 2020, based on a Schedule 13G/A filed on January 27, 2021 by BlackRock, Inc. In such Schedule 13G/A, BlackRock, Inc. reported having sole voting power over 6,094,144 shares, shared voting power over no shares, sole dispositive power over 6,210,396 shares and shared dispositive power over no shares.</w:t>
      </w:r>
    </w:p>
    <w:p>
      <w:pPr>
        <w:spacing w:after="0" w:line="52" w:lineRule="exact"/>
        <w:rPr>
          <w:rFonts w:ascii="Arial" w:cs="Arial" w:eastAsia="Arial" w:hAnsi="Arial"/>
          <w:sz w:val="18"/>
          <w:szCs w:val="18"/>
          <w:color w:val="auto"/>
        </w:rPr>
      </w:pPr>
    </w:p>
    <w:p>
      <w:pPr>
        <w:ind w:left="1620" w:right="459" w:hanging="360"/>
        <w:spacing w:after="0" w:line="25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December 31, 2020, based on a Schedule 13G/A filed on February 12, 2021 by PRIMECAP Management Company. In such Schedule 13G/A, PRIMECAP Management Company reported having sole voting power over 3,920,885 shares, shared voting power over no shares, sole dispositive power over 3,920,885 shares and shared dispositive power over no shares.</w:t>
      </w:r>
    </w:p>
    <w:p>
      <w:pPr>
        <w:spacing w:after="0" w:line="39" w:lineRule="exact"/>
        <w:rPr>
          <w:rFonts w:ascii="Arial" w:cs="Arial" w:eastAsia="Arial" w:hAnsi="Arial"/>
          <w:sz w:val="18"/>
          <w:szCs w:val="18"/>
          <w:color w:val="auto"/>
        </w:rPr>
      </w:pPr>
    </w:p>
    <w:p>
      <w:pPr>
        <w:ind w:left="1620" w:right="459" w:hanging="360"/>
        <w:spacing w:after="0" w:line="258"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December 31, 2020, based on a Schedule 13G/A filed on February 12, 2021 by Harris Associates L.P. In such</w:t>
      </w:r>
    </w:p>
    <w:p>
      <w:pPr>
        <w:spacing w:after="0" w:line="1" w:lineRule="exact"/>
        <w:rPr>
          <w:rFonts w:ascii="Arial" w:cs="Arial" w:eastAsia="Arial" w:hAnsi="Arial"/>
          <w:sz w:val="18"/>
          <w:szCs w:val="18"/>
          <w:color w:val="auto"/>
        </w:rPr>
      </w:pPr>
    </w:p>
    <w:p>
      <w:pPr>
        <w:ind w:left="1620" w:right="859"/>
        <w:spacing w:after="0" w:line="255" w:lineRule="auto"/>
        <w:rPr>
          <w:rFonts w:ascii="Arial" w:cs="Arial" w:eastAsia="Arial" w:hAnsi="Arial"/>
          <w:sz w:val="18"/>
          <w:szCs w:val="18"/>
          <w:color w:val="auto"/>
        </w:rPr>
      </w:pPr>
      <w:r>
        <w:rPr>
          <w:rFonts w:ascii="Arial" w:cs="Arial" w:eastAsia="Arial" w:hAnsi="Arial"/>
          <w:sz w:val="18"/>
          <w:szCs w:val="18"/>
          <w:color w:val="auto"/>
        </w:rPr>
        <w:t>Schedule 13G/A, Harris Associates L.P. reported having sole voting power over 3,735,678 shares, shared voting power over no shares, sole dispositive power over 3,735,678 shares and shared dispositive power over no shares.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07"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Based solely on a review of Forms 3, 4, and 5 (including amendments to such forms) furnished to us during and with respect to the year ended December 31, 2020, no director, officer or beneficial owner of more than 10% of our registered shares failed to file on a timely basis reports required by Section 16(a) of the Exchange Act in the year ended December 31, 2020 with the exception of one report for Mr. Khoury.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PROPOSALS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Proposal No. 6 Advisory Vote to Approve the UK Directors’ Remuneration Report</w:t>
      </w:r>
    </w:p>
    <w:p>
      <w:pPr>
        <w:spacing w:after="0" w:line="14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Board considers that appropriate remuneration of directors plays a vital part in helping us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2 regarding the compensation of our NEOs. However, the directors’ remuneration report is concerned solely with the remuneration of our executive and non-executive directors and is required under the Companies Act. We encourage shareholders to read the directors’ remuneration report as set forth in the UK Annual Report and the directors’ remuneration policy approved by shareholders in 2019 (which governs the 2020 directors’ remuneration report). The Board and the Compensation Committee believe that the policies and procedures articulated in the directors’ remuneration report are effective in achieving our compensation objectives, and serve to attract and retain high-quality non-executive directors.</w:t>
      </w:r>
    </w:p>
    <w:p>
      <w:pPr>
        <w:spacing w:after="0" w:line="11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directors’ remuneration report for 2020 is set out on pages 50 to 70 of the UK Annual Report. The names of directors whose remuneration is the object of this proposal are set out on page 47 of the UK Annual Report. All UK incorporated companies that are “quoted companies” under the Companies Act are required to put their directors’ remuneration report to shareholders.</w:t>
      </w:r>
    </w:p>
    <w:p>
      <w:pPr>
        <w:spacing w:after="0" w:line="119"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p>
    <w:p>
      <w:pPr>
        <w:spacing w:after="0" w:line="111"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advisory vote regarding approval of the UK directors’ remuneration report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a majority of shares present at the AGM, in person or by proxy, and entitled to vote on the proposal.</w:t>
      </w:r>
    </w:p>
    <w:p>
      <w:pPr>
        <w:spacing w:after="0" w:line="116"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approval of the 2020 UK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Proposal No. 7 To Receive and Adopt the UK Annual Report and Accounts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is required to present at the Annual Meeting of Shareholders the Company’s audited</w:t>
      </w:r>
    </w:p>
    <w:p>
      <w:pPr>
        <w:spacing w:after="0" w:line="23" w:lineRule="exact"/>
        <w:rPr>
          <w:sz w:val="20"/>
          <w:szCs w:val="20"/>
          <w:color w:val="auto"/>
        </w:rPr>
      </w:pPr>
    </w:p>
    <w:p>
      <w:pPr>
        <w:ind w:left="1260" w:right="519"/>
        <w:spacing w:after="0" w:line="265" w:lineRule="auto"/>
        <w:rPr>
          <w:sz w:val="20"/>
          <w:szCs w:val="20"/>
          <w:color w:val="auto"/>
        </w:rPr>
      </w:pPr>
      <w:r>
        <w:rPr>
          <w:rFonts w:ascii="Arial" w:cs="Arial" w:eastAsia="Arial" w:hAnsi="Arial"/>
          <w:sz w:val="17"/>
          <w:szCs w:val="17"/>
          <w:color w:val="auto"/>
        </w:rPr>
        <w:t>UK Annual Report for the year ended December 31, 2020. In accordance with its obligations under English law, the Company will provide shareholders at the AGM the opportunity to receive and adopt the</w:t>
      </w:r>
    </w:p>
    <w:p>
      <w:pPr>
        <w:ind w:left="1260" w:right="439"/>
        <w:spacing w:after="0" w:line="255" w:lineRule="auto"/>
        <w:rPr>
          <w:sz w:val="20"/>
          <w:szCs w:val="20"/>
          <w:color w:val="auto"/>
        </w:rPr>
      </w:pPr>
      <w:r>
        <w:rPr>
          <w:rFonts w:ascii="Arial" w:cs="Arial" w:eastAsia="Arial" w:hAnsi="Arial"/>
          <w:sz w:val="18"/>
          <w:szCs w:val="18"/>
          <w:color w:val="auto"/>
        </w:rPr>
        <w:t>UK Annual Report and ask any relevant and appropriate questions of the representative of PricewaterhouseCoopers LLP, a limited liability partnership organized in the UK (“PwC UK”) in attendance at the AGM.</w:t>
      </w:r>
    </w:p>
    <w:p>
      <w:pPr>
        <w:spacing w:after="0" w:line="122"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b w:val="1"/>
          <w:bCs w:val="1"/>
          <w:i w:val="1"/>
          <w:iCs w:val="1"/>
          <w:color w:val="auto"/>
        </w:rPr>
        <w:t xml:space="preserve">Vote Required: </w:t>
      </w:r>
      <w:r>
        <w:rPr>
          <w:rFonts w:ascii="Arial" w:cs="Arial" w:eastAsia="Arial" w:hAnsi="Arial"/>
          <w:sz w:val="17"/>
          <w:szCs w:val="17"/>
          <w:color w:val="auto"/>
        </w:rPr>
        <w:t>The vote regarding approval of the UK Annual Report requires the affirmative vote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shares present at the AGM, in person or by proxy, and entitled to vote on the proposal.</w:t>
      </w:r>
    </w:p>
    <w:p>
      <w:pPr>
        <w:spacing w:after="0" w:line="79"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recommends a vote FOR the receipt and adoption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UK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Proposal No. 8 Re-appointment of PricewaterhouseCoopers LLP as the Company’s UK Statutory Auditor</w:t>
      </w:r>
    </w:p>
    <w:p>
      <w:pPr>
        <w:spacing w:after="0" w:line="171"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Under the Companies Act, the Company is required to appoint the UK statutory auditor at each meeting at which the UK Annual Report and accounts are presented to 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110"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b w:val="1"/>
          <w:bCs w:val="1"/>
          <w:i w:val="1"/>
          <w:iCs w:val="1"/>
          <w:color w:val="auto"/>
        </w:rPr>
        <w:t xml:space="preserve">Vote Required: </w:t>
      </w:r>
      <w:r>
        <w:rPr>
          <w:rFonts w:ascii="Arial" w:cs="Arial" w:eastAsia="Arial" w:hAnsi="Arial"/>
          <w:sz w:val="17"/>
          <w:szCs w:val="17"/>
          <w:color w:val="auto"/>
        </w:rPr>
        <w:t>The re-appointment of PwC UK as our UK statutory auditor requires an affirmative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 of a majority of shares present at the AGM, in person or by proxy, and entitled to vote on the proposal. If this ordinary resolution is not approved, the Board may appoint an auditor to fill the vacancy.</w:t>
      </w:r>
    </w:p>
    <w:p>
      <w:pPr>
        <w:spacing w:after="0" w:line="9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b w:val="1"/>
          <w:bCs w:val="1"/>
          <w:i w:val="1"/>
          <w:iCs w:val="1"/>
          <w:color w:val="auto"/>
        </w:rPr>
        <w:t xml:space="preserve">Board Recommendation: </w:t>
      </w:r>
      <w:r>
        <w:rPr>
          <w:rFonts w:ascii="Arial" w:cs="Arial" w:eastAsia="Arial" w:hAnsi="Arial"/>
          <w:sz w:val="18"/>
          <w:szCs w:val="18"/>
          <w:color w:val="auto"/>
        </w:rPr>
        <w:t>The Board and the Audit and Compliance Committee recommend a vote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re-appointment of PwC UK as the Company’s UK statutory auditor under the Companies Act to hold office from the conclusion of the meeting until the conclusion of the next AGM at which accounts are laid before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940" w:right="20"/>
        <w:spacing w:after="0" w:line="282" w:lineRule="auto"/>
        <w:rPr>
          <w:sz w:val="20"/>
          <w:szCs w:val="20"/>
          <w:color w:val="auto"/>
        </w:rPr>
      </w:pPr>
      <w:r>
        <w:rPr>
          <w:rFonts w:ascii="Arial" w:cs="Arial" w:eastAsia="Arial" w:hAnsi="Arial"/>
          <w:sz w:val="18"/>
          <w:szCs w:val="18"/>
          <w:b w:val="1"/>
          <w:bCs w:val="1"/>
          <w:color w:val="auto"/>
        </w:rPr>
        <w:t>Proposal No. 9 Authorization of the Directors and/or the Audit and Compliance Committee to Determine the Remuneration of PwC UK in its Capacity as UK Statutory Auditor</w:t>
      </w:r>
    </w:p>
    <w:p>
      <w:pPr>
        <w:spacing w:after="0" w:line="85"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10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This authorization requires an affirmative vote of a majority of shares present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meeting, in person or by proxy, and entitled to vote on the proposal.</w:t>
      </w:r>
    </w:p>
    <w:p>
      <w:pPr>
        <w:spacing w:after="0" w:line="103"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b w:val="1"/>
          <w:bCs w:val="1"/>
          <w:i w:val="1"/>
          <w:iCs w:val="1"/>
          <w:color w:val="auto"/>
        </w:rPr>
        <w:t xml:space="preserve">Board Recommendation: </w:t>
      </w:r>
      <w:r>
        <w:rPr>
          <w:rFonts w:ascii="Arial" w:cs="Arial" w:eastAsia="Arial" w:hAnsi="Arial"/>
          <w:sz w:val="17"/>
          <w:szCs w:val="17"/>
          <w:color w:val="auto"/>
        </w:rPr>
        <w:t>The Board recommends a vote FOR the authorization of the Board and/or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and Compliance Committee to determine the Company’s UK statutory auditor’s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GENERAL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 for the 2022 AGM</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Shareholders who, in accordance with Rule 14a-8 of the Exchange Act, wish to present proposals for inclusion in the proxy materials to be published by us in connection with our 2022 AGM must submit their proposals to the Office of the Company Secretary of LivaNova at 20 Eastbourne Terrace, London W2 6LG by December 31, 2021. As the rules of the SEC make clear, simply submitting a proposal does not guarantee its inclusion in our proxy statement.</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In accordance with our Articles of Association (our “Articles”), and without prejudice to the rights of a shareholder of record under the Companies Act, in order to nominate a candidate for election as a director or properly bring business before our 2022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February 9, 2022, and no later than March 11, 2022.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w:t>
      </w:r>
    </w:p>
    <w:p>
      <w:pPr>
        <w:spacing w:after="0" w:line="126"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proposal that does not comply with Rule 14a-8, our Articles or any other requirements, as applicable.</w:t>
      </w:r>
    </w:p>
    <w:p>
      <w:pPr>
        <w:spacing w:after="0" w:line="6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Under section 338 of the Companies Act, shareholders meeting the threshold requirements in that section may require that we include a resolution in the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Saving Resources: Householding and Electronic Communications</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We are mindful that sending notices, documents, or information to shareholders by non- 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Internet Availability of Proxy Materials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Pursuant to rules adopted by the SEC, we are making this proxy statement available to our shareholders electronically via the internet. On April 30, 2021, we will mail the Notice of Internet Availability of Proxy Materials (the “Notice”) to shareholders of our Ordinary Shares at the close of business on the Record Date, other than those shareholders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our proxy materials. We believe that this process will allow us to provide you with the information you need in a timely manner, while conserving natural resources and lowering the costs of the AGM.</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Electronic Communications</w:t>
      </w:r>
    </w:p>
    <w:p>
      <w:pPr>
        <w:spacing w:after="0" w:line="144"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At our 2016 AGM, shareholders voted in favor of a resolution to authorize the Company, under English law, to send notices, documents, or information to shareholders of record by electronic means. In conjunction with our registrars, Computershare Inc., in early 2018, we offered to our shareholders of record the option of receiving an email notification each time we publish new shareholder documents on our</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website. Those shareholders who have supplied us with an email address will no longer receive copies of certain paper documents, such as our UK Annual Report and US Annual Report. Instead they will receive an email containing links to our website where electronic copies of the documents can be viewed and downloaded. Others have opted to receive paper notices of documents available on our website, and those who did not respond to our letter will by default continue to receive notifications in the same way.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Householding of Proxy Materials</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the beneficial owner, you will need to contact your broker, bank or other nominee to make such requests. Shareholders can also opt-in to householding if they are current receiving multiple sets of materials to the same address, or change their previous elections by using the above contact information.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Reports and Proxy Materials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On April 30, 2021, we will have begun mailing the Notice and this proxy statement, the accompanying proxy card (as to CDIs as defined herein, a Form of Proxy), our UK Annual Report, and our US Annual Report on Form 10-K . Copies of these materials filed with the SEC may be accessed free of charge through our website (</w:t>
      </w:r>
      <w:r>
        <w:rPr>
          <w:rFonts w:ascii="Arial" w:cs="Arial" w:eastAsia="Arial" w:hAnsi="Arial"/>
          <w:sz w:val="18"/>
          <w:szCs w:val="18"/>
          <w:i w:val="1"/>
          <w:iCs w:val="1"/>
          <w:u w:val="single" w:color="auto"/>
          <w:color w:val="auto"/>
        </w:rPr>
        <w:t>www.livanova.com</w:t>
      </w:r>
      <w:r>
        <w:rPr>
          <w:rFonts w:ascii="Arial" w:cs="Arial" w:eastAsia="Arial" w:hAnsi="Arial"/>
          <w:sz w:val="18"/>
          <w:szCs w:val="18"/>
          <w:color w:val="auto"/>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on Form 10-K, including the exhibits thereto, is also available through the SEC’s web 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xml:space="preserve">, </w:t>
      </w:r>
      <w:r>
        <w:rPr>
          <w:rFonts w:ascii="Arial" w:cs="Arial" w:eastAsia="Arial" w:hAnsi="Arial"/>
          <w:sz w:val="18"/>
          <w:szCs w:val="18"/>
          <w:color w:val="auto"/>
        </w:rPr>
        <w:t>as is this proxy statement, filed on Schedule DEF 14A.</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Expenses of Solicitation</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This solicitation is made by the Company. 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the Proxy Advisory Group, LLC, to assist in the solicitation of proxies and provide related advice and informational support, for a services fee, plus customary disbursements, which are not expected to exceed $15,000 in total.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Frequently Asked Questions About the Annual General Meeting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What is a proxy statement and what is a proxy?</w:t>
      </w:r>
    </w:p>
    <w:p>
      <w:pPr>
        <w:spacing w:after="0" w:line="144" w:lineRule="exact"/>
        <w:rPr>
          <w:sz w:val="20"/>
          <w:szCs w:val="20"/>
          <w:color w:val="auto"/>
        </w:rPr>
      </w:pPr>
    </w:p>
    <w:p>
      <w:pPr>
        <w:jc w:val="both"/>
        <w:ind w:left="1260" w:right="499" w:firstLine="360"/>
        <w:spacing w:after="0" w:line="257" w:lineRule="auto"/>
        <w:rPr>
          <w:sz w:val="20"/>
          <w:szCs w:val="20"/>
          <w:color w:val="auto"/>
        </w:rPr>
      </w:pPr>
      <w:r>
        <w:rPr>
          <w:rFonts w:ascii="Arial" w:cs="Arial" w:eastAsia="Arial" w:hAnsi="Arial"/>
          <w:sz w:val="18"/>
          <w:szCs w:val="18"/>
          <w:color w:val="auto"/>
        </w:rPr>
        <w:t>A proxy statement is a document that the rules and regulations of the United States including the SEC require us to give to you when we ask you to give a proxy designating individuals to vote on your behalf. A proxy is your legal designation to another person to vote shares that you own. That other person is called a proxy. If you designate someone as your proxy in a written document, that document is also called a proxy or proxy card.</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Why did I receive these proxy materials?</w:t>
      </w:r>
    </w:p>
    <w:p>
      <w:pPr>
        <w:spacing w:after="0" w:line="144"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We have delivered or made available the notice of AGM in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120"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spacing w:after="0" w:line="11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Will any other matters be decided at the AGM?</w:t>
      </w:r>
    </w:p>
    <w:p>
      <w:pPr>
        <w:spacing w:after="0" w:line="144"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At the date of this proxy statement, we do not know of any other matters to be raised at the AGM other than those described in this proxy statement. If any other matters are, in accordance with the Companies Act, other applicable law or our Articles, properly presented for consideration at the AGM, such matters will, subject to the Companies Act, the Articles and applicable law, be considered at the AGM and the individuals acting as proxies will vote on such matters in their discretion.</w:t>
      </w:r>
    </w:p>
    <w:p>
      <w:pPr>
        <w:spacing w:after="0" w:line="189"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What is the difference between holding ordinary shares as a shareholder of record, or as a beneficial owner and holder of CDIs?</w:t>
      </w:r>
    </w:p>
    <w:p>
      <w:pPr>
        <w:spacing w:after="0" w:line="10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If a shareholder is registered on the register of members of the Company as holding ordinary shares, that shareholder is considered, with respect to those ordinary shares, the shareholder of record. As of April 22, 2021, being the latest practicable date prior to publication of this proxy statement, our shareholders of record were Cede &amp; Co., the nominee for the Depositary Trust Company (“DTC”), and 58 other shareholders of record. 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(“SDRT”)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14" w:lineRule="exact"/>
        <w:rPr>
          <w:sz w:val="20"/>
          <w:szCs w:val="20"/>
          <w:color w:val="auto"/>
        </w:rPr>
      </w:pPr>
    </w:p>
    <w:p>
      <w:pPr>
        <w:ind w:left="1260" w:right="639" w:firstLine="360"/>
        <w:spacing w:after="0" w:line="296" w:lineRule="auto"/>
        <w:rPr>
          <w:sz w:val="20"/>
          <w:szCs w:val="20"/>
          <w:color w:val="auto"/>
        </w:rPr>
      </w:pPr>
      <w:r>
        <w:rPr>
          <w:rFonts w:ascii="Arial" w:cs="Arial" w:eastAsia="Arial" w:hAnsi="Arial"/>
          <w:sz w:val="16"/>
          <w:szCs w:val="16"/>
          <w:color w:val="auto"/>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80"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 is entitled to vote at the AGM?</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Shareholders of record and beneficial holders as of the Record Date are entitled to attend (virtually)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vote at the AGM. Please note the following special cases:</w:t>
      </w:r>
    </w:p>
    <w:p>
      <w:pPr>
        <w:spacing w:after="0" w:line="116" w:lineRule="exact"/>
        <w:rPr>
          <w:sz w:val="20"/>
          <w:szCs w:val="20"/>
          <w:color w:val="auto"/>
        </w:rPr>
      </w:pPr>
    </w:p>
    <w:p>
      <w:pPr>
        <w:ind w:left="1800" w:right="459" w:hanging="180"/>
        <w:spacing w:after="0" w:line="25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79" w:lineRule="exact"/>
        <w:rPr>
          <w:rFonts w:ascii="Arial" w:cs="Arial" w:eastAsia="Arial" w:hAnsi="Arial"/>
          <w:sz w:val="18"/>
          <w:szCs w:val="18"/>
          <w:color w:val="auto"/>
        </w:rPr>
      </w:pPr>
    </w:p>
    <w:p>
      <w:pPr>
        <w:ind w:left="1800" w:right="539" w:hanging="180"/>
        <w:spacing w:after="0" w:line="25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79"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Arial" w:cs="Arial" w:eastAsia="Arial" w:hAnsi="Arial"/>
          <w:sz w:val="18"/>
          <w:szCs w:val="18"/>
          <w:i w:val="1"/>
          <w:iCs w:val="1"/>
          <w:u w:val="single" w:color="auto"/>
          <w:color w:val="auto"/>
        </w:rPr>
        <w:t>www.envisionreports.com/livn</w:t>
      </w:r>
      <w:r>
        <w:rPr>
          <w:rFonts w:ascii="Arial" w:cs="Arial" w:eastAsia="Arial" w:hAnsi="Arial"/>
          <w:sz w:val="18"/>
          <w:szCs w:val="18"/>
          <w:i w:val="1"/>
          <w:iCs w:val="1"/>
          <w:color w:val="auto"/>
        </w:rPr>
        <w:t xml:space="preserve"> </w:t>
      </w:r>
      <w:r>
        <w:rPr>
          <w:rFonts w:ascii="Arial" w:cs="Arial" w:eastAsia="Arial" w:hAnsi="Arial"/>
          <w:sz w:val="18"/>
          <w:szCs w:val="18"/>
          <w:color w:val="auto"/>
        </w:rPr>
        <w:t>or returning a completed Form of Proxy (the “CDI Form of Proxy”) to</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What are the total voting rights in the Company?</w:t>
      </w:r>
    </w:p>
    <w:p>
      <w:pPr>
        <w:spacing w:after="0" w:line="158"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As of April 22, 2021, there were 48,856,606 ordinary shares in issue and entitled to vote. Each Ordinary Share is entitled to one vote on each matter properly brought before the AGM.</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do I vote if I am a shareholder of record?</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If you are a shareholder of record who is entitled to attend and vote at the AGM,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may appoint a proxy to vote on your behalf using one of the following methods:</w:t>
      </w:r>
    </w:p>
    <w:p>
      <w:pPr>
        <w:spacing w:after="0" w:line="131" w:lineRule="exact"/>
        <w:rPr>
          <w:sz w:val="20"/>
          <w:szCs w:val="20"/>
          <w:color w:val="auto"/>
        </w:rPr>
      </w:pPr>
    </w:p>
    <w:p>
      <w:pPr>
        <w:ind w:left="1800" w:right="539" w:hanging="180"/>
        <w:spacing w:after="0" w:line="263"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75"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By submission via the internet by going to </w:t>
      </w:r>
      <w:r>
        <w:rPr>
          <w:rFonts w:ascii="Arial" w:cs="Arial" w:eastAsia="Arial" w:hAnsi="Arial"/>
          <w:sz w:val="18"/>
          <w:szCs w:val="18"/>
          <w:i w:val="1"/>
          <w:iCs w:val="1"/>
          <w:u w:val="single" w:color="auto"/>
          <w:color w:val="auto"/>
        </w:rPr>
        <w:t>www.envisionreports.com/livn</w:t>
      </w:r>
      <w:r>
        <w:rPr>
          <w:rFonts w:ascii="Arial" w:cs="Arial" w:eastAsia="Arial" w:hAnsi="Arial"/>
          <w:sz w:val="18"/>
          <w:szCs w:val="18"/>
          <w:color w:val="auto"/>
        </w:rPr>
        <w:t xml:space="preserve"> and following the instructions provided;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telephone, using the number shown on the notice or proxy card;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During the AGM, you may submit a ballot at </w:t>
      </w:r>
      <w:r>
        <w:rPr>
          <w:rFonts w:ascii="Arial" w:cs="Arial" w:eastAsia="Arial" w:hAnsi="Arial"/>
          <w:sz w:val="18"/>
          <w:szCs w:val="18"/>
          <w:i w:val="1"/>
          <w:iCs w:val="1"/>
          <w:u w:val="single" w:color="auto"/>
          <w:color w:val="auto"/>
        </w:rPr>
        <w:t>www.meetingcenter.io/260382039</w:t>
      </w:r>
    </w:p>
    <w:p>
      <w:pPr>
        <w:spacing w:after="0" w:line="23" w:lineRule="exact"/>
        <w:rPr>
          <w:rFonts w:ascii="Arial" w:cs="Arial" w:eastAsia="Arial" w:hAnsi="Arial"/>
          <w:sz w:val="18"/>
          <w:szCs w:val="18"/>
          <w:color w:val="auto"/>
        </w:rPr>
      </w:pPr>
    </w:p>
    <w:p>
      <w:pPr>
        <w:ind w:left="1800" w:right="499"/>
        <w:spacing w:after="0" w:line="255" w:lineRule="auto"/>
        <w:rPr>
          <w:rFonts w:ascii="Arial" w:cs="Arial" w:eastAsia="Arial" w:hAnsi="Arial"/>
          <w:sz w:val="18"/>
          <w:szCs w:val="18"/>
          <w:color w:val="auto"/>
        </w:rPr>
      </w:pPr>
      <w:r>
        <w:rPr>
          <w:rFonts w:ascii="Arial" w:cs="Arial" w:eastAsia="Arial" w:hAnsi="Arial"/>
          <w:sz w:val="18"/>
          <w:szCs w:val="18"/>
          <w:color w:val="auto"/>
        </w:rPr>
        <w:t>(Password: LIVN2021). You will need to review the information included on your Notice or on your proxy card or in the instructions accompanying your proxy materials. The password for the meeting is LIVN2021.</w:t>
      </w:r>
    </w:p>
    <w:p>
      <w:pPr>
        <w:spacing w:after="0" w:line="122"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To be effective, the proxy appointment must be received by 13:00 British Summer Time on June 9, 2021.</w:t>
      </w:r>
    </w:p>
    <w:p>
      <w:pPr>
        <w:spacing w:after="0" w:line="10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Details of how to appoint the chair of the AGM, or another person, as your proxy are set out in the proxy card.</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11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w:t>
      </w:r>
    </w:p>
    <w:p>
      <w:pPr>
        <w:spacing w:after="0" w:line="120"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1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FOR each of the proposals.</w:t>
      </w:r>
    </w:p>
    <w:p>
      <w:pPr>
        <w:spacing w:after="0" w:line="90"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If you have not received a proxy card and believe that you should have one, please contact your broker, bank or other nominee for more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do I vote if I am a beneficial owner?</w:t>
      </w:r>
    </w:p>
    <w:p>
      <w:pPr>
        <w:spacing w:after="0" w:line="158"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96"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If you are a beneficial owner and you wish to vote virtually at the meeting in person at the AGM, you must obtain a legal proxy from your broker, bank or other nominee and register to attend the AGM following the instructions below. To register to attend the AGM virtually, you must submit proof of your proxy power (legal proxy) reflecting your LivaNova holdings along with your name and email address to Computershare Inc. Requests for registration should be directed to:</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Computershare Inc.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LivaNova PLC Legal Proxy</w:t>
      </w:r>
    </w:p>
    <w:p>
      <w:pPr>
        <w:ind w:left="1260"/>
        <w:spacing w:after="0" w:line="234" w:lineRule="auto"/>
        <w:rPr>
          <w:sz w:val="20"/>
          <w:szCs w:val="20"/>
          <w:color w:val="auto"/>
        </w:rPr>
      </w:pPr>
      <w:r>
        <w:rPr>
          <w:rFonts w:ascii="Arial" w:cs="Arial" w:eastAsia="Arial" w:hAnsi="Arial"/>
          <w:sz w:val="18"/>
          <w:szCs w:val="18"/>
          <w:color w:val="auto"/>
        </w:rPr>
        <w:t>PO Box 43001</w:t>
      </w:r>
    </w:p>
    <w:p>
      <w:pPr>
        <w:ind w:left="1260"/>
        <w:spacing w:after="0" w:line="235" w:lineRule="auto"/>
        <w:rPr>
          <w:sz w:val="20"/>
          <w:szCs w:val="20"/>
          <w:color w:val="auto"/>
        </w:rPr>
      </w:pPr>
      <w:r>
        <w:rPr>
          <w:rFonts w:ascii="Arial" w:cs="Arial" w:eastAsia="Arial" w:hAnsi="Arial"/>
          <w:sz w:val="18"/>
          <w:szCs w:val="18"/>
          <w:color w:val="auto"/>
        </w:rPr>
        <w:t>Providence, RI</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USA 02940-3001</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legalproxy@computershare.com</w:t>
      </w:r>
    </w:p>
    <w:p>
      <w:pPr>
        <w:spacing w:after="0" w:line="158"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Standard Time) on June 3, 2021.</w:t>
      </w:r>
    </w:p>
    <w:p>
      <w:pPr>
        <w:spacing w:after="0" w:line="90"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do I vote if I am a holder of CDIs?</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 xml:space="preserve">If you are a holder of CDIs, you should follow the instructions on the notice of meeting and vote your shares at </w:t>
      </w:r>
      <w:r>
        <w:rPr>
          <w:rFonts w:ascii="Arial" w:cs="Arial" w:eastAsia="Arial" w:hAnsi="Arial"/>
          <w:sz w:val="18"/>
          <w:szCs w:val="18"/>
          <w:i w:val="1"/>
          <w:iCs w:val="1"/>
          <w:u w:val="single" w:color="auto"/>
          <w:color w:val="auto"/>
        </w:rPr>
        <w:t>www.envisionreports.com/livn</w:t>
      </w:r>
      <w:r>
        <w:rPr>
          <w:rFonts w:ascii="Arial" w:cs="Arial" w:eastAsia="Arial" w:hAnsi="Arial"/>
          <w:sz w:val="18"/>
          <w:szCs w:val="18"/>
          <w:color w:val="auto"/>
        </w:rPr>
        <w:t>.</w:t>
      </w:r>
    </w:p>
    <w:p>
      <w:pPr>
        <w:spacing w:after="0" w:line="10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“CREST Voting Instruction”) must be properly authenticated in accordance with</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 xml:space="preserve">Euroclear’s specifications and must contain the information required for such instructions, as described in the CREST Manual (available via </w:t>
      </w:r>
      <w:r>
        <w:rPr>
          <w:rFonts w:ascii="Arial" w:cs="Arial" w:eastAsia="Arial" w:hAnsi="Arial"/>
          <w:sz w:val="18"/>
          <w:szCs w:val="18"/>
          <w:i w:val="1"/>
          <w:iCs w:val="1"/>
          <w:u w:val="single" w:color="auto"/>
          <w:color w:val="auto"/>
        </w:rPr>
        <w:t>www.euroclear.com</w:t>
      </w:r>
      <w:r>
        <w:rPr>
          <w:rFonts w:ascii="Arial" w:cs="Arial" w:eastAsia="Arial" w:hAnsi="Arial"/>
          <w:sz w:val="18"/>
          <w:szCs w:val="18"/>
          <w:color w:val="auto"/>
        </w:rPr>
        <w:t>).</w:t>
      </w:r>
    </w:p>
    <w:p>
      <w:pPr>
        <w:spacing w:after="0" w:line="90"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To be effective, the CREST Voting Instruction must be transmitted so as to be received by the Voting Agent (ID: 3RA50) no later than 13:00 British Summer Time on June 9, 2021 (or, in the event of an adjourned meeting, four business days before the adjourned meeting (excluding weekends and public holidays in the UK and the US). For this purpose, the time of receipt will be taken to be the time (as determined by the time stamp applied to the CREST Voting Instruction by the CREST applications host) from which our agent is able to retrieve the CREST Voting Instruction by inquiry to CREST in the manner prescribed by CREST. After this time, any change of voting instructions made through CREST should be communicated to the Voting Agent by other means.</w:t>
      </w:r>
    </w:p>
    <w:p>
      <w:pPr>
        <w:spacing w:after="0" w:line="126"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We may treat as invalid a CREST Voting Instruction in the circumstances set out in Regulation 35(5)(a) of the Uncertificated Securities Regulations 2001.</w:t>
      </w:r>
    </w:p>
    <w:p>
      <w:pPr>
        <w:spacing w:after="0" w:line="9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After the Voting Agent has received instructions as to how to vote on the resolutions from the CDI holders, it will then complete an omnibus proxy card reflecting such instructions.</w:t>
      </w:r>
    </w:p>
    <w:p>
      <w:pPr>
        <w:spacing w:after="0" w:line="103"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If you are a holder of CDIs and you wish to vote in person at the AGM,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AGM.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What should I do if I receive more than one Notice, proxy card or Form of Proxy?</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is a quorum determined?</w:t>
      </w:r>
    </w:p>
    <w:p>
      <w:pPr>
        <w:spacing w:after="0" w:line="14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What are “routine” and “non-routine” matters and what are “broker non-votes”?</w:t>
      </w:r>
    </w:p>
    <w:p>
      <w:pPr>
        <w:spacing w:after="0" w:line="15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are generally considered to be “routine.”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Brokers, banks or other nominees generally have discretionary voting power with respect to routine matters but not non-routine matters.</w:t>
      </w:r>
    </w:p>
    <w:p>
      <w:pPr>
        <w:spacing w:after="0" w:line="90"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If you own your ordinary shares through a bank, broker or other nominee and you do not provide them with specific voting instructions, the bank, broker or nominee will be permitted to vote only on routine matters and will submit a “broker non-vote” on non-routine matters. At our AGM, only the ratification of the selection of the independent registered public accounting firm is considered routine and accordingly, that is the only proposal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p>
    <w:p>
      <w:pPr>
        <w:spacing w:after="0" w:line="126"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Broker non-votes will be counted for the purpose of determining whether a quorum is present at the AGM.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What are the voting requirements to approve the resolutions?</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In accordance with the Articles, all resolutions will be taken on a poll. Voting on a poll will mean that each share represented in person or by proxy will be counted in the vote.</w:t>
      </w:r>
    </w:p>
    <w:p>
      <w:pPr>
        <w:spacing w:after="0" w:line="90"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Please see the discussion under each proposal for a detailed explanation of the voting requirement for each proposal.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 I change my vote or revoke my proxy?</w:t>
      </w:r>
    </w:p>
    <w:p>
      <w:pPr>
        <w:spacing w:after="0" w:line="154" w:lineRule="exact"/>
        <w:rPr>
          <w:sz w:val="20"/>
          <w:szCs w:val="20"/>
          <w:color w:val="auto"/>
        </w:rPr>
      </w:pPr>
    </w:p>
    <w:p>
      <w:pPr>
        <w:ind w:left="1260" w:right="519" w:firstLine="360"/>
        <w:spacing w:after="0" w:line="266" w:lineRule="auto"/>
        <w:rPr>
          <w:sz w:val="20"/>
          <w:szCs w:val="20"/>
          <w:color w:val="auto"/>
        </w:rPr>
      </w:pPr>
      <w:r>
        <w:rPr>
          <w:rFonts w:ascii="Arial" w:cs="Arial" w:eastAsia="Arial" w:hAnsi="Arial"/>
          <w:sz w:val="18"/>
          <w:szCs w:val="18"/>
          <w:b w:val="1"/>
          <w:bCs w:val="1"/>
          <w:color w:val="auto"/>
        </w:rPr>
        <w:t>If you are a shareholder of record</w:t>
      </w:r>
      <w:r>
        <w:rPr>
          <w:rFonts w:ascii="Arial" w:cs="Arial" w:eastAsia="Arial" w:hAnsi="Arial"/>
          <w:sz w:val="18"/>
          <w:szCs w:val="18"/>
          <w:color w:val="auto"/>
        </w:rPr>
        <w:t>, you can change how you wish to instruct the proxy to vote or revoke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at any time before the AGM, by:</w:t>
      </w:r>
    </w:p>
    <w:p>
      <w:pPr>
        <w:spacing w:after="0" w:line="58" w:lineRule="exact"/>
        <w:rPr>
          <w:sz w:val="20"/>
          <w:szCs w:val="20"/>
          <w:color w:val="auto"/>
        </w:rPr>
      </w:pPr>
    </w:p>
    <w:p>
      <w:pPr>
        <w:jc w:val="both"/>
        <w:ind w:left="1800" w:right="73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48"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Sending written notice to the office of the Company Secretary at the Company’s registered office, which must be received at least 24 hours prior to the start of the AGM; or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Voting at the AGM.</w:t>
      </w:r>
    </w:p>
    <w:p>
      <w:pPr>
        <w:spacing w:after="0" w:line="15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b w:val="1"/>
          <w:bCs w:val="1"/>
          <w:color w:val="auto"/>
        </w:rPr>
        <w:t xml:space="preserve">If you are a beneficial owner </w:t>
      </w:r>
      <w:r>
        <w:rPr>
          <w:rFonts w:ascii="Arial" w:cs="Arial" w:eastAsia="Arial" w:hAnsi="Arial"/>
          <w:sz w:val="18"/>
          <w:szCs w:val="18"/>
          <w:color w:val="auto"/>
        </w:rPr>
        <w:t>of ordinary shares, you may submit new proxy appointment instructions by</w:t>
      </w:r>
      <w:r>
        <w:rPr>
          <w:rFonts w:ascii="Arial" w:cs="Arial" w:eastAsia="Arial" w:hAnsi="Arial"/>
          <w:sz w:val="18"/>
          <w:szCs w:val="18"/>
          <w:b w:val="1"/>
          <w:bCs w:val="1"/>
          <w:color w:val="auto"/>
        </w:rPr>
        <w:t xml:space="preserve"> </w:t>
      </w:r>
      <w:r>
        <w:rPr>
          <w:rFonts w:ascii="Arial" w:cs="Arial" w:eastAsia="Arial" w:hAnsi="Arial"/>
          <w:sz w:val="18"/>
          <w:szCs w:val="18"/>
          <w:color w:val="auto"/>
        </w:rPr>
        <w:t>contacting your broker, bank or other nominee. You may also vote in person at the AGM if you obtain a legal proxy and register for the meeting.</w:t>
      </w:r>
    </w:p>
    <w:p>
      <w:pPr>
        <w:spacing w:after="0" w:line="96"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b w:val="1"/>
          <w:bCs w:val="1"/>
          <w:color w:val="auto"/>
        </w:rPr>
        <w:t>If you are a CDI holder</w:t>
      </w:r>
      <w:r>
        <w:rPr>
          <w:rFonts w:ascii="Arial" w:cs="Arial" w:eastAsia="Arial" w:hAnsi="Arial"/>
          <w:sz w:val="18"/>
          <w:szCs w:val="18"/>
          <w:color w:val="auto"/>
        </w:rPr>
        <w:t>, you may submit a new Form of Proxy following the instructions previously set</w:t>
      </w:r>
      <w:r>
        <w:rPr>
          <w:rFonts w:ascii="Arial" w:cs="Arial" w:eastAsia="Arial" w:hAnsi="Arial"/>
          <w:sz w:val="18"/>
          <w:szCs w:val="18"/>
          <w:b w:val="1"/>
          <w:bCs w:val="1"/>
          <w:color w:val="auto"/>
        </w:rPr>
        <w:t xml:space="preserve"> </w:t>
      </w:r>
      <w:r>
        <w:rPr>
          <w:rFonts w:ascii="Arial" w:cs="Arial" w:eastAsia="Arial" w:hAnsi="Arial"/>
          <w:sz w:val="18"/>
          <w:szCs w:val="18"/>
          <w:color w:val="auto"/>
        </w:rPr>
        <w:t>out, at any time prior to 13:00 a.m. British Summer Time on June 9, 2021.</w:t>
      </w:r>
    </w:p>
    <w:p>
      <w:pPr>
        <w:spacing w:after="0" w:line="9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resolutions proposed at the AGM. Attending the AGM without taking further action will not automatically revoke your prior proxy.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can I attend the AGM?</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w:t>
      </w:r>
    </w:p>
    <w:p>
      <w:pPr>
        <w:spacing w:after="0" w:line="107"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You will be able to attend the AGM online and submit your questions during the meeting by visiting www.meetingcenter.io/282913758. You also will be able to vote your shares online by attending the AGM by webcast.</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To participate in the AGM, you will need to review the information included on your Notice, on your proxy card or on the instructions that accompanied your proxy materials. The password for the meeting is LIVN2021.</w:t>
      </w:r>
    </w:p>
    <w:p>
      <w:pPr>
        <w:spacing w:after="0" w:line="10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If you hold your shares through an intermediary, such as a bank or broker, you must register in advance using the instructions below.</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online meeting will begin promptly at 13:00 British Summer Time on June 9, 2021. We encourage you to access the meeting prior to the start time leaving ample time for the check in. Please follow the registration instructions as outlined in this proxy statement.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register to attend the AGM virtually on the internet?</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If you are a registered shareholder (i.e., you hold your shares through our transfer agent, Computershare), you do not need to register to attend the AGM virtually on the internet. Please follow the instructions on the notice or proxy card that you received.</w:t>
      </w:r>
    </w:p>
    <w:p>
      <w:pPr>
        <w:spacing w:after="0" w:line="103" w:lineRule="exact"/>
        <w:rPr>
          <w:sz w:val="20"/>
          <w:szCs w:val="20"/>
          <w:color w:val="auto"/>
        </w:rPr>
      </w:pPr>
    </w:p>
    <w:p>
      <w:pPr>
        <w:jc w:val="both"/>
        <w:ind w:left="1260" w:right="859" w:firstLine="360"/>
        <w:spacing w:after="0" w:line="308" w:lineRule="auto"/>
        <w:rPr>
          <w:sz w:val="20"/>
          <w:szCs w:val="20"/>
          <w:color w:val="auto"/>
        </w:rPr>
      </w:pPr>
      <w:r>
        <w:rPr>
          <w:rFonts w:ascii="Arial" w:cs="Arial" w:eastAsia="Arial" w:hAnsi="Arial"/>
          <w:sz w:val="17"/>
          <w:szCs w:val="17"/>
          <w:color w:val="auto"/>
        </w:rPr>
        <w:t>If you hold your shares through an intermediary, such as a bank or broker, you must obtain a legal proxy from your intermediary and then register in advance to attend the AGM virtually on the internet.</w:t>
      </w:r>
    </w:p>
    <w:p>
      <w:pPr>
        <w:spacing w:after="0" w:line="7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To register to attend the AGM virtually, you must submit proof of your proxy power (legal proxy) reflecting your LivaNova holdings along with your name and email address to Computershare. Requests for registration must be labeled “Legal Proxy” and be received no later than 5:00 p.m., Eastern Time, on June 2, 2021.</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You will receive a confirmation of your registration by email after we receive your registration materials.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Requests for registration should be directed as follows: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email:</w:t>
      </w:r>
    </w:p>
    <w:p>
      <w:pPr>
        <w:spacing w:after="0" w:line="158" w:lineRule="exact"/>
        <w:rPr>
          <w:sz w:val="20"/>
          <w:szCs w:val="20"/>
          <w:color w:val="auto"/>
        </w:rPr>
      </w:pPr>
    </w:p>
    <w:p>
      <w:pPr>
        <w:ind w:left="1260" w:right="2679"/>
        <w:spacing w:after="0" w:line="277" w:lineRule="auto"/>
        <w:rPr>
          <w:sz w:val="20"/>
          <w:szCs w:val="20"/>
          <w:color w:val="auto"/>
        </w:rPr>
      </w:pPr>
      <w:r>
        <w:rPr>
          <w:rFonts w:ascii="Arial" w:cs="Arial" w:eastAsia="Arial" w:hAnsi="Arial"/>
          <w:sz w:val="18"/>
          <w:szCs w:val="18"/>
          <w:color w:val="auto"/>
        </w:rPr>
        <w:t>Forward the email from your broker, or attach an image of your legal proxy, to legalproxy@computershare.com</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mail:</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LivaNova PLC Legal Proxy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 Box 43001</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Providence, RI</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USA 02940-3001</w:t>
      </w:r>
    </w:p>
    <w:p>
      <w:pPr>
        <w:spacing w:after="0" w:line="143"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If you are a holder of CDIs and would like to attend, speak and vote at the AGM,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holding a virtual meeting instead of a physical meeting?</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are excited to embrace the latest technology to provide expanded access, improved communication and cost savings for our shareholders and the Company. We believe that hosting a virtual meeting will enable more of our shareholders to attend and participate in the meeting since our shareholders can participate from any location around the world with internet access.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have trouble accessing the AGM virtually?</w:t>
      </w:r>
    </w:p>
    <w:p>
      <w:pPr>
        <w:spacing w:after="0" w:line="162" w:lineRule="exact"/>
        <w:rPr>
          <w:sz w:val="20"/>
          <w:szCs w:val="20"/>
          <w:color w:val="auto"/>
        </w:rPr>
      </w:pPr>
    </w:p>
    <w:p>
      <w:pPr>
        <w:jc w:val="both"/>
        <w:ind w:left="1260" w:right="879" w:firstLine="360"/>
        <w:spacing w:after="0" w:line="286" w:lineRule="auto"/>
        <w:rPr>
          <w:sz w:val="20"/>
          <w:szCs w:val="20"/>
          <w:color w:val="auto"/>
        </w:rPr>
      </w:pPr>
      <w:r>
        <w:rPr>
          <w:rFonts w:ascii="Arial" w:cs="Arial" w:eastAsia="Arial" w:hAnsi="Arial"/>
          <w:sz w:val="17"/>
          <w:szCs w:val="17"/>
          <w:color w:val="auto"/>
        </w:rPr>
        <w:t>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wherever they intend to participate in the meeting. We encourage you to access the meeting prior to the start time. A link on the meeting page will provide further assistance should you need it or you may call 1-888-724-2416.</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 I ask questions at the AGM?</w:t>
      </w:r>
    </w:p>
    <w:p>
      <w:pPr>
        <w:spacing w:after="0" w:line="14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you were a shareholder on the Record Date and have the right to attend the AGM, you can ask questions at the AGM. There will be a facility to enter your questions online and, subject to meeting rules, a response will be provided verbally for all to hear.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15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Representatives of the Company’s transfer agent, Computershare, will serve as scrutineers of the poll, and will also serve as master tabulator.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Where can I find the voting results of the AGM?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preliminary voting results will be announced at the AGM. The final voting results will be checked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the scrutineers and disclosed by way of an announcement via a Current Report on Form 8-K, which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LivaNova is required to file with the SEC. The results of the polls taken on the resolutions at the AGM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other information required by the Companies Act will be made available on our website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www.livanova.com</w:t>
      </w:r>
      <w:r>
        <w:rPr>
          <w:rFonts w:ascii="Arial" w:cs="Arial" w:eastAsia="Arial" w:hAnsi="Arial"/>
          <w:sz w:val="18"/>
          <w:szCs w:val="18"/>
          <w:color w:val="auto"/>
        </w:rPr>
        <w:t>) as soon as reasonably practicable after the AGM and for a period of two years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thereafter.</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additional information, please contact company.secretariat@livanova.com.</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Business</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413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84137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798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6798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2)"/>
      <w:numFmt w:val="decimal"/>
      <w:start w:val="1"/>
    </w:lvl>
  </w:abstractNum>
  <w:abstractNum w:abstractNumId="3">
    <w:nsid w:val="4B588F54"/>
    <w:multiLevelType w:val="hybridMultilevel"/>
    <w:lvl w:ilvl="0">
      <w:lvlJc w:val="left"/>
      <w:lvlText w:val="%1."/>
      <w:numFmt w:val="decimal"/>
      <w:start w:val="1"/>
    </w:lvl>
    <w:lvl w:ilvl="1">
      <w:lvlJc w:val="left"/>
      <w:lvlText w:val="%2."/>
      <w:numFmt w:val="lowerLetter"/>
      <w:start w:val="1"/>
    </w:lvl>
  </w:abstractNum>
  <w:abstractNum w:abstractNumId="4">
    <w:nsid w:val="542289EC"/>
    <w:multiLevelType w:val="hybridMultilevel"/>
    <w:lvl w:ilvl="0">
      <w:lvlJc w:val="left"/>
      <w:lvlText w:val="%1"/>
      <w:numFmt w:val="decimal"/>
      <w:start w:val="1"/>
    </w:lvl>
    <w:lvl w:ilvl="1">
      <w:lvlJc w:val="left"/>
      <w:lvlText w:val="(%2)"/>
      <w:numFmt w:val="upperLetter"/>
      <w:start w:val="1"/>
    </w:lvl>
  </w:abstractNum>
  <w:abstractNum w:abstractNumId="5">
    <w:nsid w:val="6DE91B18"/>
    <w:multiLevelType w:val="hybridMultilevel"/>
    <w:lvl w:ilvl="0">
      <w:lvlJc w:val="left"/>
      <w:lvlText w:val="%1."/>
      <w:numFmt w:val="decimal"/>
      <w:start w:val="5"/>
    </w:lvl>
    <w:lvl w:ilvl="1">
      <w:lvlJc w:val="left"/>
      <w:lvlText w:val="%2"/>
      <w:numFmt w:val="upperLetter"/>
      <w:start w:val="1"/>
    </w:lvl>
  </w:abstractNum>
  <w:abstractNum w:abstractNumId="6">
    <w:nsid w:val="38437FDB"/>
    <w:multiLevelType w:val="hybridMultilevel"/>
    <w:lvl w:ilvl="0">
      <w:lvlJc w:val="left"/>
      <w:lvlText w:val="(%1)"/>
      <w:numFmt w:val="lowerLetter"/>
      <w:start w:val="1"/>
    </w:lvl>
  </w:abstractNum>
  <w:abstractNum w:abstractNumId="7">
    <w:nsid w:val="7644A45C"/>
    <w:multiLevelType w:val="hybridMultilevel"/>
    <w:lvl w:ilvl="0">
      <w:lvlJc w:val="left"/>
      <w:lvlText w:val="%1"/>
      <w:numFmt w:val="decimal"/>
      <w:start w:val="1"/>
    </w:lvl>
    <w:lvl w:ilvl="1">
      <w:lvlJc w:val="left"/>
      <w:lvlText w:val="(%2)"/>
      <w:numFmt w:val="upperLetter"/>
      <w:start w:val="1"/>
    </w:lvl>
  </w:abstractNum>
  <w:abstractNum w:abstractNumId="8">
    <w:nsid w:val="32FFF902"/>
    <w:multiLevelType w:val="hybridMultilevel"/>
    <w:lvl w:ilvl="0">
      <w:lvlJc w:val="left"/>
      <w:lvlText w:val="%1."/>
      <w:numFmt w:val="decimal"/>
      <w:start w:val="6"/>
    </w:lvl>
    <w:lvl w:ilvl="1">
      <w:lvlJc w:val="left"/>
      <w:lvlText w:val="%2"/>
      <w:numFmt w:val="upperLetter"/>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lvl w:ilvl="1">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lvl w:ilvl="1">
      <w:lvlJc w:val="left"/>
      <w:lvlText w:val="•"/>
      <w:numFmt w:val="bullet"/>
      <w:start w:val="1"/>
    </w:lvl>
  </w:abstractNum>
  <w:abstractNum w:abstractNumId="37">
    <w:nsid w:val="77AE35EB"/>
    <w:multiLevelType w:val="hybridMultilevel"/>
    <w:lvl w:ilvl="0">
      <w:lvlJc w:val="left"/>
      <w:lvlText w:val="•"/>
      <w:numFmt w:val="bullet"/>
      <w:start w:val="1"/>
    </w:lvl>
    <w:lvl w:ilvl="1">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
      <w:numFmt w:val="bullet"/>
      <w:start w:val="1"/>
    </w:lvl>
    <w:lvl w:ilvl="1">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5"/>
    </w:lvl>
  </w:abstractNum>
  <w:abstractNum w:abstractNumId="55">
    <w:nsid w:val="42C296BD"/>
    <w:multiLevelType w:val="hybridMultilevel"/>
    <w:lvl w:ilvl="0">
      <w:lvlJc w:val="left"/>
      <w:lvlText w:val="(%1)"/>
      <w:numFmt w:val="decimal"/>
      <w:start w:val="16"/>
    </w:lvl>
  </w:abstractNum>
  <w:abstractNum w:abstractNumId="56">
    <w:nsid w:val="168E121F"/>
    <w:multiLevelType w:val="hybridMultilevel"/>
    <w:lvl w:ilvl="0">
      <w:lvlJc w:val="left"/>
      <w:lvlText w:val="(%1)"/>
      <w:numFmt w:val="decimal"/>
      <w:start w:val="7"/>
    </w:lvl>
  </w:abstractNum>
  <w:abstractNum w:abstractNumId="57">
    <w:nsid w:val="1EBA5D23"/>
    <w:multiLevelType w:val="hybridMultilevel"/>
    <w:lvl w:ilvl="0">
      <w:lvlJc w:val="left"/>
      <w:lvlText w:val="(%1)"/>
      <w:numFmt w:val="decimal"/>
      <w:start w:val="5"/>
    </w:lvl>
  </w:abstractNum>
  <w:abstractNum w:abstractNumId="58">
    <w:nsid w:val="661E3F1E"/>
    <w:multiLevelType w:val="hybridMultilevel"/>
    <w:lvl w:ilvl="0">
      <w:lvlJc w:val="left"/>
      <w:lvlText w:val="(%1)"/>
      <w:numFmt w:val="decimal"/>
      <w:start w:val="19"/>
    </w:lvl>
  </w:abstractNum>
  <w:abstractNum w:abstractNumId="59">
    <w:nsid w:val="5DC79EA8"/>
    <w:multiLevelType w:val="hybridMultilevel"/>
    <w:lvl w:ilvl="0">
      <w:lvlJc w:val="left"/>
      <w:lvlText w:val="(%1)"/>
      <w:numFmt w:val="decimal"/>
      <w:start w:val="7"/>
    </w:lvl>
  </w:abstractNum>
  <w:abstractNum w:abstractNumId="60">
    <w:nsid w:val="540A471C"/>
    <w:multiLevelType w:val="hybridMultilevel"/>
    <w:lvl w:ilvl="0">
      <w:lvlJc w:val="left"/>
      <w:lvlText w:val="(%1)"/>
      <w:numFmt w:val="decimal"/>
      <w:start w:val="24"/>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0"/>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decimal"/>
      <w:start w:val="5"/>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lvl w:ilvl="1">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lvl w:ilvl="1">
      <w:lvlJc w:val="left"/>
      <w:lvlText w:val="•"/>
      <w:numFmt w:val="bullet"/>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2"/>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2021-04-30T06:41:34Z</dcterms:created>
  <dcterms:modified xsi:type="dcterms:W3CDTF">2021-04-30T06:41:34Z</dcterms:modified>
</cp:coreProperties>
</file>