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Moore Daniel Jeffrey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7"/>
                <w:szCs w:val="7"/>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7"/>
            <w:vMerge w:val="continue"/>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4"/>
                <w:szCs w:val="14"/>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ind w:left="160"/>
              <w:spacing w:after="0"/>
              <w:rPr>
                <w:sz w:val="20"/>
                <w:szCs w:val="20"/>
                <w:color w:val="auto"/>
              </w:rPr>
            </w:pPr>
            <w:r>
              <w:rPr>
                <w:rFonts w:ascii="Arial" w:cs="Arial" w:eastAsia="Arial" w:hAnsi="Arial"/>
                <w:sz w:val="18"/>
                <w:szCs w:val="18"/>
                <w:color w:val="0000FF"/>
              </w:rPr>
              <w:t>11/16/2015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0"/>
            <w:vMerge w:val="continue"/>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8"/>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80" w:type="dxa"/>
            <w:vAlign w:val="bottom"/>
          </w:tcPr>
          <w:p>
            <w:pPr>
              <w:ind w:left="40"/>
              <w:spacing w:after="0"/>
              <w:rPr>
                <w:sz w:val="20"/>
                <w:szCs w:val="20"/>
                <w:color w:val="auto"/>
              </w:rPr>
            </w:pPr>
            <w:r>
              <w:rPr>
                <w:rFonts w:ascii="Arial" w:cs="Arial" w:eastAsia="Arial" w:hAnsi="Arial"/>
                <w:sz w:val="18"/>
                <w:szCs w:val="18"/>
                <w:color w:val="0000FF"/>
                <w:w w:val="99"/>
              </w:rPr>
              <w:t>X0</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20"/>
          </w:tcPr>
          <w:p>
            <w:pPr>
              <w:jc w:val="center"/>
              <w:ind w:right="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22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40" w:type="dxa"/>
            <w:vAlign w:val="bottom"/>
            <w:gridSpan w:val="5"/>
          </w:tcPr>
          <w:p>
            <w:pPr>
              <w:ind w:left="42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520"/>
              <w:spacing w:after="0"/>
              <w:rPr>
                <w:sz w:val="20"/>
                <w:szCs w:val="20"/>
                <w:color w:val="auto"/>
              </w:rPr>
            </w:pPr>
            <w:r>
              <w:rPr>
                <w:rFonts w:ascii="Arial" w:cs="Arial" w:eastAsia="Arial" w:hAnsi="Arial"/>
                <w:sz w:val="18"/>
                <w:szCs w:val="18"/>
                <w:color w:val="0000FF"/>
                <w:w w:val="88"/>
              </w:rPr>
              <w:t>11/16/2015</w:t>
            </w: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w w:val="85"/>
              </w:rPr>
              <w:t>S</w:t>
            </w:r>
          </w:p>
        </w:tc>
        <w:tc>
          <w:tcPr>
            <w:tcW w:w="5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w w:val="95"/>
              </w:rPr>
              <w:t>2,500</w:t>
            </w:r>
            <w:r>
              <w:rPr>
                <w:rFonts w:ascii="Arial" w:cs="Arial" w:eastAsia="Arial" w:hAnsi="Arial"/>
                <w:sz w:val="22"/>
                <w:szCs w:val="22"/>
                <w:color w:val="008000"/>
                <w:w w:val="95"/>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56.0825</w:t>
            </w:r>
            <w:r>
              <w:rPr>
                <w:rFonts w:ascii="Arial" w:cs="Arial" w:eastAsia="Arial" w:hAnsi="Arial"/>
                <w:sz w:val="22"/>
                <w:szCs w:val="22"/>
                <w:color w:val="008000"/>
                <w:w w:val="92"/>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8"/>
                <w:szCs w:val="18"/>
                <w:color w:val="0000FF"/>
              </w:rPr>
              <w:t>73,170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vMerge w:val="restart"/>
          </w:tcPr>
          <w:p>
            <w:pPr>
              <w:jc w:val="right"/>
              <w:ind w:right="379"/>
              <w:spacing w:after="0"/>
              <w:rPr>
                <w:sz w:val="20"/>
                <w:szCs w:val="20"/>
                <w:color w:val="auto"/>
              </w:rPr>
            </w:pPr>
            <w:r>
              <w:rPr>
                <w:rFonts w:ascii="Arial" w:cs="Arial" w:eastAsia="Arial" w:hAnsi="Arial"/>
                <w:sz w:val="18"/>
                <w:szCs w:val="18"/>
                <w:color w:val="0000FF"/>
              </w:rPr>
              <w:t>2,586</w:t>
            </w:r>
          </w:p>
        </w:tc>
        <w:tc>
          <w:tcPr>
            <w:tcW w:w="28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8"/>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9"/>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00" w:type="dxa"/>
            <w:vAlign w:val="bottom"/>
            <w:gridSpan w:val="15"/>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5"/>
                <w:szCs w:val="15"/>
                <w:color w:val="auto"/>
              </w:rPr>
            </w:pPr>
          </w:p>
        </w:tc>
        <w:tc>
          <w:tcPr>
            <w:tcW w:w="8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8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Sold pursuant to 10b5-1 Plan.</w:t>
      </w:r>
    </w:p>
    <w:p>
      <w:pPr>
        <w:spacing w:after="0" w:line="41" w:lineRule="exact"/>
        <w:rPr>
          <w:rFonts w:ascii="Arial" w:cs="Arial" w:eastAsia="Arial" w:hAnsi="Arial"/>
          <w:sz w:val="14"/>
          <w:szCs w:val="14"/>
          <w:color w:val="008000"/>
        </w:rPr>
      </w:pPr>
    </w:p>
    <w:p>
      <w:pPr>
        <w:ind w:left="40" w:right="44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were sold through approximately 29 separate sales on the transaction date at prices ranging from $55.590 to $56.920.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11/18/2015</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2019-12-23T21:35:19Z</dcterms:created>
  <dcterms:modified xsi:type="dcterms:W3CDTF">2019-12-23T21:35:19Z</dcterms:modified>
</cp:coreProperties>
</file>