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178435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345440</wp:posOffset>
            </wp:positionV>
            <wp:extent cx="146621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260"/>
          </w:cols>
          <w:pgMar w:left="240" w:top="409" w:right="2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700" w:space="720"/>
            <w:col w:w="2900" w:space="720"/>
            <w:col w:w="2380"/>
          </w:cols>
          <w:pgMar w:left="240" w:top="40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W2 6LG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+44 20 33250660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149225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p>
      <w:pPr>
        <w:spacing w:after="0" w:line="200" w:lineRule="exact"/>
        <w:rPr>
          <w:sz w:val="24"/>
          <w:szCs w:val="24"/>
          <w:color w:val="auto"/>
        </w:rPr>
      </w:pPr>
    </w:p>
    <w:p>
      <w:pPr>
        <w:spacing w:after="0" w:line="25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LivaNova PLC (“</w:t>
      </w:r>
      <w:r>
        <w:rPr>
          <w:rFonts w:ascii="Arial" w:cs="Arial" w:eastAsia="Arial" w:hAnsi="Arial"/>
          <w:sz w:val="16"/>
          <w:szCs w:val="16"/>
          <w:i w:val="1"/>
          <w:iCs w:val="1"/>
          <w:color w:val="auto"/>
        </w:rPr>
        <w:t>LivaNova</w:t>
      </w:r>
      <w:r>
        <w:rPr>
          <w:rFonts w:ascii="Arial" w:cs="Arial" w:eastAsia="Arial" w:hAnsi="Arial"/>
          <w:sz w:val="16"/>
          <w:szCs w:val="16"/>
          <w:color w:val="auto"/>
        </w:rPr>
        <w:t>” or the “</w:t>
      </w:r>
      <w:r>
        <w:rPr>
          <w:rFonts w:ascii="Arial" w:cs="Arial" w:eastAsia="Arial" w:hAnsi="Arial"/>
          <w:sz w:val="16"/>
          <w:szCs w:val="16"/>
          <w:i w:val="1"/>
          <w:iCs w:val="1"/>
          <w:color w:val="auto"/>
        </w:rPr>
        <w:t>Company</w:t>
      </w:r>
      <w:r>
        <w:rPr>
          <w:rFonts w:ascii="Arial" w:cs="Arial" w:eastAsia="Arial" w:hAnsi="Arial"/>
          <w:sz w:val="16"/>
          <w:szCs w:val="16"/>
          <w:color w:val="auto"/>
        </w:rPr>
        <w:t>”) previously announced that it entered into that certain Stock and Asset Purchase Agreement (the “</w:t>
      </w:r>
      <w:r>
        <w:rPr>
          <w:rFonts w:ascii="Arial" w:cs="Arial" w:eastAsia="Arial" w:hAnsi="Arial"/>
          <w:sz w:val="16"/>
          <w:szCs w:val="16"/>
          <w:i w:val="1"/>
          <w:iCs w:val="1"/>
          <w:color w:val="auto"/>
        </w:rPr>
        <w:t>Purchase Agreement</w:t>
      </w:r>
      <w:r>
        <w:rPr>
          <w:rFonts w:ascii="Arial" w:cs="Arial" w:eastAsia="Arial" w:hAnsi="Arial"/>
          <w:sz w:val="16"/>
          <w:szCs w:val="16"/>
          <w:color w:val="auto"/>
        </w:rPr>
        <w:t>”), dated March 8, 2018, with MicroPort Cardiac Rhythm B.V., a company with limited liability incorporated under the laws of the Netherlands, and MicroPort Scientific Corporation, a company with limited liability incorporated under the laws of the Cayman Islands, for the sale of LivaNova’s Cardiac Rhythm Management (“</w:t>
      </w:r>
      <w:r>
        <w:rPr>
          <w:rFonts w:ascii="Arial" w:cs="Arial" w:eastAsia="Arial" w:hAnsi="Arial"/>
          <w:sz w:val="16"/>
          <w:szCs w:val="16"/>
          <w:i w:val="1"/>
          <w:iCs w:val="1"/>
          <w:color w:val="auto"/>
        </w:rPr>
        <w:t>CRM</w:t>
      </w:r>
      <w:r>
        <w:rPr>
          <w:rFonts w:ascii="Arial" w:cs="Arial" w:eastAsia="Arial" w:hAnsi="Arial"/>
          <w:sz w:val="16"/>
          <w:szCs w:val="16"/>
          <w:color w:val="auto"/>
        </w:rPr>
        <w:t>”) business franchise (the “</w:t>
      </w:r>
      <w:r>
        <w:rPr>
          <w:rFonts w:ascii="Arial" w:cs="Arial" w:eastAsia="Arial" w:hAnsi="Arial"/>
          <w:sz w:val="16"/>
          <w:szCs w:val="16"/>
          <w:i w:val="1"/>
          <w:iCs w:val="1"/>
          <w:color w:val="auto"/>
        </w:rPr>
        <w:t>CRM Sale</w:t>
      </w:r>
      <w:r>
        <w:rPr>
          <w:rFonts w:ascii="Arial" w:cs="Arial" w:eastAsia="Arial" w:hAnsi="Arial"/>
          <w:sz w:val="16"/>
          <w:szCs w:val="16"/>
          <w:color w:val="auto"/>
        </w:rPr>
        <w:t>”). The CRM Sale closed on April 30, 2018 for the purchase price of approximately $197.3 million, including certain customary closing adjustments. A description of the Purchase Agreement is included in the Company’s Current Report on Form 8-K filed with the Securities and Exchange Commission on March 8, 2018, and is incorporated herein by reference.</w:t>
      </w:r>
    </w:p>
    <w:p>
      <w:pPr>
        <w:spacing w:after="0" w:line="30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April 30, 2018, the Company issued a press release announcing the closing of the CRM Sale. A copy of the Company’s press release is furnished as Exhibit 99.1 to this Current Report on Form 8-K.</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Prior to the closing of the CRM Sale, a regional antitrust authority in France initiated an investigation into the French cardiac rhythm management market, and a subsidiary of the CRM business operating the business in Clamart, France is one of the companies being investigated. The subsidiary under investigation believes it is in full compliance with all applicable laws and is, and intends to, continue cooperating with the relevant authorities. Nevertheless, the Company has agreed to provide a limited indemnity to the purchasers of the CRM business of generally up to €16.5 million relating to such investigation.</w:t>
      </w:r>
    </w:p>
    <w:p>
      <w:pPr>
        <w:spacing w:after="0" w:line="15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information disclosed under this Item 7.01 shall not be deemed “filed” for any purpose, including for the purposes of Section 18 of the United States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2.01</w:t>
            </w:r>
          </w:p>
        </w:tc>
        <w:tc>
          <w:tcPr>
            <w:tcW w:w="10780" w:type="dxa"/>
            <w:vAlign w:val="bottom"/>
            <w:gridSpan w:val="6"/>
          </w:tcPr>
          <w:p>
            <w:pPr>
              <w:ind w:left="240"/>
              <w:spacing w:after="0"/>
              <w:rPr>
                <w:sz w:val="20"/>
                <w:szCs w:val="20"/>
                <w:color w:val="auto"/>
              </w:rPr>
            </w:pPr>
            <w:r>
              <w:rPr>
                <w:rFonts w:ascii="Arial" w:cs="Arial" w:eastAsia="Arial" w:hAnsi="Arial"/>
                <w:sz w:val="18"/>
                <w:szCs w:val="18"/>
                <w:color w:val="auto"/>
                <w:w w:val="91"/>
              </w:rPr>
              <w:t>Stock and Asset Purchase Agreement, dated as of March 8, 2018, by and among LivaNova PLC, MicroPort Cardiac Rhythm B.V. and MicroPort</w:t>
            </w:r>
          </w:p>
        </w:tc>
      </w:tr>
      <w:tr>
        <w:trPr>
          <w:trHeight w:val="230"/>
        </w:trPr>
        <w:tc>
          <w:tcPr>
            <w:tcW w:w="460" w:type="dxa"/>
            <w:vAlign w:val="bottom"/>
          </w:tcPr>
          <w:p>
            <w:pPr>
              <w:spacing w:after="0"/>
              <w:rPr>
                <w:sz w:val="20"/>
                <w:szCs w:val="20"/>
                <w:color w:val="auto"/>
              </w:rPr>
            </w:pPr>
          </w:p>
        </w:tc>
        <w:tc>
          <w:tcPr>
            <w:tcW w:w="10780" w:type="dxa"/>
            <w:vAlign w:val="bottom"/>
            <w:gridSpan w:val="6"/>
          </w:tcPr>
          <w:p>
            <w:pPr>
              <w:ind w:left="240"/>
              <w:spacing w:after="0"/>
              <w:rPr>
                <w:sz w:val="20"/>
                <w:szCs w:val="20"/>
                <w:color w:val="auto"/>
              </w:rPr>
            </w:pPr>
            <w:r>
              <w:rPr>
                <w:rFonts w:ascii="Arial" w:cs="Arial" w:eastAsia="Arial" w:hAnsi="Arial"/>
                <w:sz w:val="18"/>
                <w:szCs w:val="18"/>
                <w:color w:val="auto"/>
                <w:w w:val="98"/>
              </w:rPr>
              <w:t>Scientific Corporation (incorporated by reference to Exhibit 2.1 to LivaNova PLC’s Current Report on Form 8-K filed on March 8, 2018).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780" w:type="dxa"/>
            <w:vAlign w:val="bottom"/>
            <w:gridSpan w:val="6"/>
          </w:tcPr>
          <w:p>
            <w:pPr>
              <w:ind w:left="240"/>
              <w:spacing w:after="0"/>
              <w:rPr>
                <w:sz w:val="20"/>
                <w:szCs w:val="20"/>
                <w:color w:val="auto"/>
              </w:rPr>
            </w:pPr>
            <w:r>
              <w:rPr>
                <w:rFonts w:ascii="Arial" w:cs="Arial" w:eastAsia="Arial" w:hAnsi="Arial"/>
                <w:sz w:val="18"/>
                <w:szCs w:val="18"/>
                <w:color w:val="auto"/>
              </w:rPr>
              <w:t>Press Release, dated April 30, 2018.</w:t>
            </w:r>
          </w:p>
        </w:tc>
      </w:tr>
      <w:tr>
        <w:trPr>
          <w:trHeight w:val="648"/>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0" w:type="dxa"/>
            <w:vAlign w:val="bottom"/>
            <w:gridSpan w:val="2"/>
          </w:tcPr>
          <w:p>
            <w:pPr>
              <w:ind w:left="13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9500" w:type="dxa"/>
            <w:vAlign w:val="bottom"/>
            <w:gridSpan w:val="3"/>
          </w:tcPr>
          <w:p>
            <w:pPr>
              <w:spacing w:after="0"/>
              <w:rPr>
                <w:sz w:val="24"/>
                <w:szCs w:val="24"/>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2.01</w:t>
            </w:r>
          </w:p>
        </w:tc>
        <w:tc>
          <w:tcPr>
            <w:tcW w:w="560" w:type="dxa"/>
            <w:vAlign w:val="bottom"/>
          </w:tcPr>
          <w:p>
            <w:pPr>
              <w:spacing w:after="0"/>
              <w:rPr>
                <w:sz w:val="22"/>
                <w:szCs w:val="22"/>
                <w:color w:val="auto"/>
              </w:rPr>
            </w:pPr>
          </w:p>
        </w:tc>
        <w:tc>
          <w:tcPr>
            <w:tcW w:w="9700" w:type="dxa"/>
            <w:vAlign w:val="bottom"/>
            <w:tcBorders>
              <w:bottom w:val="single" w:sz="8" w:color="0000EE"/>
            </w:tcBorders>
            <w:gridSpan w:val="4"/>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Stock and Asset Purchase Agreement, dated as of March 8, 2018, by and among LivaNova PLC, MicroPort Cardiac Rhythm B.V. and</w:t>
              </w:r>
            </w:hyperlink>
          </w:p>
        </w:tc>
        <w:tc>
          <w:tcPr>
            <w:tcW w:w="520" w:type="dxa"/>
            <w:vAlign w:val="bottom"/>
          </w:tcPr>
          <w:p>
            <w:pPr>
              <w:spacing w:after="0"/>
              <w:rPr>
                <w:sz w:val="22"/>
                <w:szCs w:val="22"/>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MicroPort Scientific Corporation (incorporated by reference to Exhibit 2.1 to LivaNova PLC’s Current Report on Form 8-K filed on March 8,</w:t>
              </w:r>
            </w:hyperlink>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
              <w:r>
                <w:rPr>
                  <w:rFonts w:ascii="Arial" w:cs="Arial" w:eastAsia="Arial" w:hAnsi="Arial"/>
                  <w:sz w:val="18"/>
                  <w:szCs w:val="18"/>
                  <w:color w:val="0000EE"/>
                  <w:w w:val="86"/>
                </w:rPr>
                <w:t>2018).</w:t>
              </w:r>
            </w:hyperlink>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6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April 30, 2018.</w:t>
              </w:r>
            </w:hyperlink>
          </w:p>
        </w:tc>
        <w:tc>
          <w:tcPr>
            <w:tcW w:w="7600" w:type="dxa"/>
            <w:vAlign w:val="bottom"/>
            <w:gridSpan w:val="2"/>
          </w:tcPr>
          <w:p>
            <w:pPr>
              <w:spacing w:after="0"/>
              <w:rPr>
                <w:sz w:val="24"/>
                <w:szCs w:val="24"/>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This Current Report on Form 8-K (including the Exhibits attached hereto)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w:t>
      </w:r>
    </w:p>
    <w:p>
      <w:pPr>
        <w:spacing w:after="0" w:line="281" w:lineRule="auto"/>
        <w:rPr>
          <w:sz w:val="20"/>
          <w:szCs w:val="20"/>
          <w:color w:val="auto"/>
        </w:rPr>
      </w:pPr>
      <w:r>
        <w:rPr>
          <w:rFonts w:ascii="Arial" w:cs="Arial" w:eastAsia="Arial" w:hAnsi="Arial"/>
          <w:sz w:val="16"/>
          <w:szCs w:val="16"/>
          <w:color w:val="auto"/>
        </w:rPr>
        <w:t>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due to risks and uncertainties that may be beyond LivaNova’s control, including without limitation risks relating to the sale of the CRM business franchise and unexpected costs or liabilities that may arise from such sale.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w:t>
      </w:r>
    </w:p>
    <w:p>
      <w:pPr>
        <w:spacing w:after="0" w:line="6" w:lineRule="exact"/>
        <w:rPr>
          <w:sz w:val="20"/>
          <w:szCs w:val="20"/>
          <w:color w:val="auto"/>
        </w:rPr>
      </w:pPr>
    </w:p>
    <w:p>
      <w:pPr>
        <w:ind w:right="300" w:firstLine="8"/>
        <w:spacing w:after="0" w:line="29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1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All forward-looking statements speak as of the date hereof. The Company does not undertake or assume any obligation to update publicly any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Current Report on Form 8-K.</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color w:val="auto"/>
              </w:rPr>
              <w:t>LivaNova PLC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April 30, 2018</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Catherine Moroz</w:t>
            </w:r>
          </w:p>
        </w:tc>
      </w:tr>
      <w:tr>
        <w:trPr>
          <w:trHeight w:val="195"/>
        </w:trPr>
        <w:tc>
          <w:tcPr>
            <w:tcW w:w="3660" w:type="dxa"/>
            <w:vAlign w:val="bottom"/>
          </w:tcPr>
          <w:p>
            <w:pPr>
              <w:spacing w:after="0"/>
              <w:rPr>
                <w:sz w:val="16"/>
                <w:szCs w:val="16"/>
                <w:color w:val="auto"/>
              </w:rPr>
            </w:pPr>
          </w:p>
        </w:tc>
        <w:tc>
          <w:tcPr>
            <w:tcW w:w="2640" w:type="dxa"/>
            <w:vAlign w:val="bottom"/>
          </w:tcPr>
          <w:p>
            <w:pPr>
              <w:ind w:left="216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Catherine Moroz</w:t>
            </w:r>
          </w:p>
        </w:tc>
      </w:tr>
      <w:tr>
        <w:trPr>
          <w:trHeight w:val="230"/>
        </w:trPr>
        <w:tc>
          <w:tcPr>
            <w:tcW w:w="3660" w:type="dxa"/>
            <w:vAlign w:val="bottom"/>
          </w:tcPr>
          <w:p>
            <w:pPr>
              <w:spacing w:after="0"/>
              <w:rPr>
                <w:sz w:val="20"/>
                <w:szCs w:val="20"/>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Company Secretary</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6621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662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Completes Sale of Cardiac Rhythm Management Business to MicroPort Scientific Corporation</w:t>
      </w:r>
    </w:p>
    <w:p>
      <w:pPr>
        <w:spacing w:after="0" w:line="225"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London, April 30, 2018 – </w:t>
      </w:r>
      <w:r>
        <w:rPr>
          <w:rFonts w:ascii="Arial" w:cs="Arial" w:eastAsia="Arial" w:hAnsi="Arial"/>
          <w:sz w:val="18"/>
          <w:szCs w:val="18"/>
          <w:color w:val="auto"/>
        </w:rPr>
        <w:t>LivaNova PLC (NASDAQ:LIVN) (“LivaNova” or the “Company”), a market-leading medical technology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it has successfully completed the divestiture of its Cardiac Rhythm Management (“CRM”) business to MicroPort Scientific Corporation (HK: 00853) (“MicroPort”) for $190 million in cash.</w:t>
      </w:r>
    </w:p>
    <w:p>
      <w:pPr>
        <w:spacing w:after="0" w:line="1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“With the completion of the CRM sale to MicroPort, LivaNova’s portfolio is now concentrated on our areas of strength and leadership: cardiac surgery and neuromodulation,” said Damien McDonald, LivaNova’s Chief Executive Officer. “This transaction enables us to concentrate our efforts on developing market-leading businesses in these areas, and will assist us in enhancing LivaNova’s position as an innovative medical device company that improves the lives of patients around the world and creates value for our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Barclays served as financial advisor to LivaNova and Latham &amp; Watkins LLP served as legal counsel.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LivaNova</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more than 3,500 employees. LivaNova operates as two business franchises: Cardiac Surgery and Neuromodulation, with operating headquarters in Mirandola (Italy) and Houston (U.S.A.),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b w:val="1"/>
          <w:bCs w:val="1"/>
          <w:u w:val="single" w:color="auto"/>
          <w:color w:val="auto"/>
        </w:rPr>
        <w:t>www.livanova.com</w:t>
      </w:r>
      <w:r>
        <w:rPr>
          <w:rFonts w:ascii="Arial" w:cs="Arial" w:eastAsia="Arial" w:hAnsi="Arial"/>
          <w:sz w:val="18"/>
          <w:szCs w:val="18"/>
          <w:b w:val="1"/>
          <w:bCs w:val="1"/>
          <w:color w:val="auto"/>
        </w:rPr>
        <w:t>.</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due to risks and uncertainties that may be beyond LivaNova’s control, including without limitation risks relating to the sale of the CRM business franchise and unexpected costs or liabilities that may arise from such sale.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17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All information in this press release is as of the date of its release. LivaNova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LivaNova PLC Investor Relations and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Karen King, </w:t>
      </w:r>
      <w:r>
        <w:rPr>
          <w:rFonts w:ascii="Arial" w:cs="Arial" w:eastAsia="Arial" w:hAnsi="Arial"/>
          <w:sz w:val="18"/>
          <w:szCs w:val="18"/>
          <w:color w:val="auto"/>
        </w:rPr>
        <w:t>+1 (281) 228-7262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 – Products &amp; Therapies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9" Type="http://schemas.openxmlformats.org/officeDocument/2006/relationships/hyperlink" Target="http://www.sec.gov/Archives/edgar/data/1639691/000119312518074964/d54271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2019-12-28T22:54:11Z</dcterms:created>
  <dcterms:modified xsi:type="dcterms:W3CDTF">2019-12-28T22:54:11Z</dcterms:modified>
</cp:coreProperties>
</file>