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3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114300</wp:posOffset>
            </wp:positionV>
            <wp:extent cx="18307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30705" cy="21590"/>
                    </a:xfrm>
                    <a:prstGeom prst="rect">
                      <a:avLst/>
                    </a:prstGeom>
                    <a:noFill/>
                  </pic:spPr>
                </pic:pic>
              </a:graphicData>
            </a:graphic>
          </wp:anchor>
        </w:drawing>
      </w:r>
    </w:p>
    <w:p>
      <w:pPr>
        <w:spacing w:after="0" w:line="338"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142240</wp:posOffset>
            </wp:positionV>
            <wp:extent cx="18307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0705" cy="215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27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70" w:lineRule="exact"/>
        <w:rPr>
          <w:sz w:val="24"/>
          <w:szCs w:val="24"/>
          <w:color w:val="auto"/>
        </w:rPr>
      </w:pPr>
    </w:p>
    <w:p>
      <w:pPr>
        <w:ind w:left="3400"/>
        <w:spacing w:after="0"/>
        <w:rPr>
          <w:sz w:val="20"/>
          <w:szCs w:val="20"/>
          <w:color w:val="auto"/>
        </w:rPr>
      </w:pPr>
      <w:r>
        <w:rPr>
          <w:rFonts w:ascii="Arial" w:cs="Arial" w:eastAsia="Arial" w:hAnsi="Arial"/>
          <w:sz w:val="18"/>
          <w:szCs w:val="18"/>
          <w:color w:val="auto"/>
        </w:rPr>
        <w:t>Date of Report (Date of earliest event reported): August 3,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64135</wp:posOffset>
            </wp:positionV>
            <wp:extent cx="18307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0705" cy="2159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297815</wp:posOffset>
            </wp:positionV>
            <wp:extent cx="1475105" cy="471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5105"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LivaNova PLC</w:t>
      </w:r>
    </w:p>
    <w:p>
      <w:pPr>
        <w:spacing w:after="0" w:line="40"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97155</wp:posOffset>
            </wp:positionV>
            <wp:extent cx="183070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30705" cy="21590"/>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tbl>
      <w:tblPr>
        <w:tblLayout w:type="fixed"/>
        <w:tblInd w:w="860" w:type="dxa"/>
        <w:tblCellMar>
          <w:top w:w="0" w:type="dxa"/>
          <w:left w:w="0" w:type="dxa"/>
          <w:bottom w:w="0" w:type="dxa"/>
          <w:right w:w="0" w:type="dxa"/>
        </w:tblCellMar>
      </w:tblPr>
      <w:tr>
        <w:trPr>
          <w:trHeight w:val="207"/>
        </w:trPr>
        <w:tc>
          <w:tcPr>
            <w:tcW w:w="3420" w:type="dxa"/>
            <w:vAlign w:val="bottom"/>
          </w:tcPr>
          <w:p>
            <w:pPr>
              <w:jc w:val="center"/>
              <w:ind w:right="1390"/>
              <w:spacing w:after="0"/>
              <w:rPr>
                <w:sz w:val="20"/>
                <w:szCs w:val="20"/>
                <w:color w:val="auto"/>
              </w:rPr>
            </w:pPr>
            <w:r>
              <w:rPr>
                <w:rFonts w:ascii="Arial" w:cs="Arial" w:eastAsia="Arial" w:hAnsi="Arial"/>
                <w:sz w:val="18"/>
                <w:szCs w:val="18"/>
                <w:b w:val="1"/>
                <w:bCs w:val="1"/>
                <w:color w:val="auto"/>
                <w:w w:val="90"/>
              </w:rPr>
              <w:t>England and Wales</w:t>
            </w:r>
          </w:p>
        </w:tc>
        <w:tc>
          <w:tcPr>
            <w:tcW w:w="2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001-37599</w:t>
            </w:r>
          </w:p>
        </w:tc>
        <w:tc>
          <w:tcPr>
            <w:tcW w:w="20" w:type="dxa"/>
            <w:vAlign w:val="bottom"/>
          </w:tcPr>
          <w:p>
            <w:pPr>
              <w:spacing w:after="0"/>
              <w:rPr>
                <w:sz w:val="18"/>
                <w:szCs w:val="18"/>
                <w:color w:val="auto"/>
              </w:rPr>
            </w:pPr>
          </w:p>
        </w:tc>
        <w:tc>
          <w:tcPr>
            <w:tcW w:w="3080" w:type="dxa"/>
            <w:vAlign w:val="bottom"/>
          </w:tcPr>
          <w:p>
            <w:pPr>
              <w:jc w:val="center"/>
              <w:ind w:left="1670"/>
              <w:spacing w:after="0"/>
              <w:rPr>
                <w:sz w:val="20"/>
                <w:szCs w:val="20"/>
                <w:color w:val="auto"/>
              </w:rPr>
            </w:pPr>
            <w:r>
              <w:rPr>
                <w:rFonts w:ascii="Arial" w:cs="Arial" w:eastAsia="Arial" w:hAnsi="Arial"/>
                <w:sz w:val="18"/>
                <w:szCs w:val="18"/>
                <w:b w:val="1"/>
                <w:bCs w:val="1"/>
                <w:color w:val="auto"/>
                <w:w w:val="91"/>
              </w:rPr>
              <w:t>98-1268150</w:t>
            </w:r>
          </w:p>
        </w:tc>
      </w:tr>
      <w:tr>
        <w:trPr>
          <w:trHeight w:val="203"/>
        </w:trPr>
        <w:tc>
          <w:tcPr>
            <w:tcW w:w="3420" w:type="dxa"/>
            <w:vAlign w:val="bottom"/>
          </w:tcPr>
          <w:p>
            <w:pPr>
              <w:jc w:val="center"/>
              <w:ind w:right="1390"/>
              <w:spacing w:after="0" w:line="202" w:lineRule="exact"/>
              <w:rPr>
                <w:sz w:val="20"/>
                <w:szCs w:val="20"/>
                <w:color w:val="auto"/>
              </w:rPr>
            </w:pPr>
            <w:r>
              <w:rPr>
                <w:rFonts w:ascii="Arial" w:cs="Arial" w:eastAsia="Arial" w:hAnsi="Arial"/>
                <w:sz w:val="18"/>
                <w:szCs w:val="18"/>
                <w:color w:val="auto"/>
                <w:w w:val="90"/>
              </w:rPr>
              <w:t>(State or Other Jurisdiction</w:t>
            </w:r>
          </w:p>
        </w:tc>
        <w:tc>
          <w:tcPr>
            <w:tcW w:w="20" w:type="dxa"/>
            <w:vAlign w:val="bottom"/>
          </w:tcPr>
          <w:p>
            <w:pPr>
              <w:spacing w:after="0"/>
              <w:rPr>
                <w:sz w:val="17"/>
                <w:szCs w:val="17"/>
                <w:color w:val="auto"/>
              </w:rPr>
            </w:pPr>
          </w:p>
        </w:tc>
        <w:tc>
          <w:tcPr>
            <w:tcW w:w="286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3"/>
              </w:rPr>
              <w:t>(Commission</w:t>
            </w:r>
          </w:p>
        </w:tc>
        <w:tc>
          <w:tcPr>
            <w:tcW w:w="3080" w:type="dxa"/>
            <w:vAlign w:val="bottom"/>
          </w:tcPr>
          <w:p>
            <w:pPr>
              <w:jc w:val="center"/>
              <w:ind w:left="1650"/>
              <w:spacing w:after="0" w:line="202" w:lineRule="exact"/>
              <w:rPr>
                <w:sz w:val="20"/>
                <w:szCs w:val="20"/>
                <w:color w:val="auto"/>
              </w:rPr>
            </w:pPr>
            <w:r>
              <w:rPr>
                <w:rFonts w:ascii="Arial" w:cs="Arial" w:eastAsia="Arial" w:hAnsi="Arial"/>
                <w:sz w:val="18"/>
                <w:szCs w:val="18"/>
                <w:color w:val="auto"/>
                <w:w w:val="93"/>
              </w:rPr>
              <w:t>(IRS Employer</w:t>
            </w:r>
          </w:p>
        </w:tc>
      </w:tr>
      <w:tr>
        <w:trPr>
          <w:trHeight w:val="230"/>
        </w:trPr>
        <w:tc>
          <w:tcPr>
            <w:tcW w:w="3420" w:type="dxa"/>
            <w:vAlign w:val="bottom"/>
          </w:tcPr>
          <w:p>
            <w:pPr>
              <w:jc w:val="center"/>
              <w:ind w:right="1330"/>
              <w:spacing w:after="0"/>
              <w:rPr>
                <w:sz w:val="20"/>
                <w:szCs w:val="20"/>
                <w:color w:val="auto"/>
              </w:rPr>
            </w:pPr>
            <w:r>
              <w:rPr>
                <w:rFonts w:ascii="Arial" w:cs="Arial" w:eastAsia="Arial" w:hAnsi="Arial"/>
                <w:sz w:val="18"/>
                <w:szCs w:val="18"/>
                <w:color w:val="auto"/>
                <w:w w:val="94"/>
              </w:rPr>
              <w:t>of Incorporation)</w:t>
            </w:r>
          </w:p>
        </w:tc>
        <w:tc>
          <w:tcPr>
            <w:tcW w:w="20" w:type="dxa"/>
            <w:vAlign w:val="bottom"/>
          </w:tcPr>
          <w:p>
            <w:pPr>
              <w:spacing w:after="0"/>
              <w:rPr>
                <w:sz w:val="20"/>
                <w:szCs w:val="20"/>
                <w:color w:val="auto"/>
              </w:rPr>
            </w:pPr>
          </w:p>
        </w:tc>
        <w:tc>
          <w:tcPr>
            <w:tcW w:w="286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File Number)</w:t>
            </w:r>
          </w:p>
        </w:tc>
        <w:tc>
          <w:tcPr>
            <w:tcW w:w="3080" w:type="dxa"/>
            <w:vAlign w:val="bottom"/>
          </w:tcPr>
          <w:p>
            <w:pPr>
              <w:jc w:val="center"/>
              <w:ind w:left="1650"/>
              <w:spacing w:after="0"/>
              <w:rPr>
                <w:sz w:val="20"/>
                <w:szCs w:val="20"/>
                <w:color w:val="auto"/>
              </w:rPr>
            </w:pPr>
            <w:r>
              <w:rPr>
                <w:rFonts w:ascii="Arial" w:cs="Arial" w:eastAsia="Arial" w:hAnsi="Arial"/>
                <w:sz w:val="18"/>
                <w:szCs w:val="18"/>
                <w:color w:val="auto"/>
                <w:w w:val="95"/>
              </w:rPr>
              <w:t>Identification No.)</w:t>
            </w:r>
          </w:p>
        </w:tc>
      </w:tr>
      <w:tr>
        <w:trPr>
          <w:trHeight w:val="307"/>
        </w:trPr>
        <w:tc>
          <w:tcPr>
            <w:tcW w:w="34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4531360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3"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5 Merchant Square</w:t>
      </w:r>
    </w:p>
    <w:p>
      <w:pPr>
        <w:spacing w:after="0" w:line="11"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North Wharf Road</w:t>
      </w:r>
    </w:p>
    <w:p>
      <w:pPr>
        <w:jc w:val="center"/>
        <w:ind w:right="-659"/>
        <w:spacing w:after="0" w:line="234" w:lineRule="auto"/>
        <w:rPr>
          <w:sz w:val="20"/>
          <w:szCs w:val="20"/>
          <w:color w:val="auto"/>
        </w:rPr>
      </w:pPr>
      <w:r>
        <w:rPr>
          <w:rFonts w:ascii="Arial" w:cs="Arial" w:eastAsia="Arial" w:hAnsi="Arial"/>
          <w:sz w:val="18"/>
          <w:szCs w:val="18"/>
          <w:b w:val="1"/>
          <w:bCs w:val="1"/>
          <w:color w:val="auto"/>
        </w:rPr>
        <w:t>London, W2 1AY</w:t>
      </w:r>
    </w:p>
    <w:p>
      <w:pPr>
        <w:jc w:val="center"/>
        <w:ind w:right="-659"/>
        <w:spacing w:after="0" w:line="235" w:lineRule="auto"/>
        <w:rPr>
          <w:sz w:val="20"/>
          <w:szCs w:val="20"/>
          <w:color w:val="auto"/>
        </w:rPr>
      </w:pPr>
      <w:r>
        <w:rPr>
          <w:rFonts w:ascii="Arial" w:cs="Arial" w:eastAsia="Arial" w:hAnsi="Arial"/>
          <w:sz w:val="18"/>
          <w:szCs w:val="18"/>
          <w:b w:val="1"/>
          <w:bCs w:val="1"/>
          <w:color w:val="auto"/>
        </w:rPr>
        <w:t>United Kingdom</w:t>
      </w:r>
    </w:p>
    <w:p>
      <w:pPr>
        <w:spacing w:after="0" w:line="1"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(Address of Principal Executive Offices)</w:t>
      </w:r>
    </w:p>
    <w:p>
      <w:pPr>
        <w:spacing w:after="0" w:line="178"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(44) 203 786 5275</w:t>
      </w:r>
    </w:p>
    <w:p>
      <w:pPr>
        <w:spacing w:after="0" w:line="16"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N/A</w:t>
      </w:r>
    </w:p>
    <w:p>
      <w:pPr>
        <w:spacing w:after="0" w:line="16"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62865</wp:posOffset>
            </wp:positionV>
            <wp:extent cx="183070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3070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firstLine="648"/>
        <w:spacing w:after="0" w:line="262"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69"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2720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801" w:right="8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02" w:lineRule="exact"/>
        <w:rPr>
          <w:sz w:val="20"/>
          <w:szCs w:val="20"/>
          <w:color w:val="auto"/>
        </w:rPr>
      </w:pPr>
    </w:p>
    <w:p>
      <w:pPr>
        <w:ind w:firstLine="648"/>
        <w:spacing w:after="0" w:line="279" w:lineRule="auto"/>
        <w:rPr>
          <w:sz w:val="20"/>
          <w:szCs w:val="20"/>
          <w:color w:val="auto"/>
        </w:rPr>
      </w:pPr>
      <w:r>
        <w:rPr>
          <w:rFonts w:ascii="Arial" w:cs="Arial" w:eastAsia="Arial" w:hAnsi="Arial"/>
          <w:sz w:val="16"/>
          <w:szCs w:val="16"/>
          <w:color w:val="auto"/>
        </w:rPr>
        <w:t>On August 3, 2016, LivaNova PLC (the "Company") issued a press release announcing financial results for the second quarter ending June 30, 2016. The Company will host a business update conference call and webcast today, August 3, 2016, at 8:00 a.m. Central Time (9:00 a.m. Eastern Time, 2:00 p.m. UK Time), during which the Company will discuss the financial results. The conference call will be available to interested parties through a live audio webcast commencing at 8:00 a.m. Central Time (9:00 a.m. Eastern Time, 2:00 p.m. UK Time) and accessible through the Investor Relations section of the LivaNova corporate website at www.livanova.com. A copy of the Company's press release is furnished as Exhibit 99.1 on this Current Report on Form 8-K.</w:t>
      </w:r>
    </w:p>
    <w:p>
      <w:pPr>
        <w:spacing w:after="0" w:line="146" w:lineRule="exact"/>
        <w:rPr>
          <w:sz w:val="20"/>
          <w:szCs w:val="20"/>
          <w:color w:val="auto"/>
        </w:rPr>
      </w:pPr>
    </w:p>
    <w:p>
      <w:pPr>
        <w:ind w:right="320" w:firstLine="648"/>
        <w:spacing w:after="0" w:line="248" w:lineRule="auto"/>
        <w:rPr>
          <w:sz w:val="20"/>
          <w:szCs w:val="20"/>
          <w:color w:val="auto"/>
        </w:rPr>
      </w:pPr>
      <w:r>
        <w:rPr>
          <w:rFonts w:ascii="Arial" w:cs="Arial" w:eastAsia="Arial" w:hAnsi="Arial"/>
          <w:sz w:val="18"/>
          <w:szCs w:val="18"/>
          <w:color w:val="auto"/>
        </w:rPr>
        <w:t>The information in Item 2.02 of this report is being furnished, not filed, for purposes of Section 18 of the Securities Exchange Act of 1934, as amended, and pursuant to General Instruction B.2 of Form 8-K, will not be incorporated by reference into any filing under the Securities Act of 1933, as amended, unless specifically identified therein as being incorporated therein by reference.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herewith:</w:t>
      </w:r>
    </w:p>
    <w:p>
      <w:pPr>
        <w:spacing w:after="0" w:line="212"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LivaNova PLC dated August 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43"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8"/>
          <w:szCs w:val="18"/>
          <w:color w:val="auto"/>
        </w:rPr>
        <w:t>Date: Auguat 3, 2016</w:t>
      </w:r>
      <w:r>
        <w:rPr>
          <w:sz w:val="20"/>
          <w:szCs w:val="20"/>
          <w:color w:val="auto"/>
        </w:rPr>
        <w:tab/>
      </w:r>
      <w:r>
        <w:rPr>
          <w:rFonts w:ascii="Arial" w:cs="Arial" w:eastAsia="Arial" w:hAnsi="Arial"/>
          <w:sz w:val="16"/>
          <w:szCs w:val="16"/>
          <w:color w:val="auto"/>
        </w:rPr>
        <w:t>By:/s/ Catherine Moroz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-10160</wp:posOffset>
            </wp:positionV>
            <wp:extent cx="1714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Catherine Moroz</w:t>
      </w:r>
    </w:p>
    <w:p>
      <w:pPr>
        <w:spacing w:after="0" w:line="35"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Deputy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1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2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LivaNova PLC dated August 3, 2016</w:t>
      </w:r>
    </w:p>
    <w:p>
      <w:pPr>
        <w:sectPr>
          <w:pgSz w:w="11900" w:h="16838" w:orient="portrait"/>
          <w:cols w:equalWidth="0" w:num="1">
            <w:col w:w="10199"/>
          </w:cols>
          <w:pgMar w:left="260" w:top="121"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844040"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844040" cy="531495"/>
                    </a:xfrm>
                    <a:prstGeom prst="rect">
                      <a:avLst/>
                    </a:prstGeom>
                    <a:noFill/>
                  </pic:spPr>
                </pic:pic>
              </a:graphicData>
            </a:graphic>
          </wp:anchor>
        </w:drawing>
        <w:t>Exhibit 99.1</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FF5C39"/>
        </w:rPr>
        <w:t>NEWS RELEASE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LivaNova Reports Second Quarter 2016 Results</w:t>
      </w:r>
    </w:p>
    <w:p>
      <w:pPr>
        <w:spacing w:after="0" w:line="200" w:lineRule="exact"/>
        <w:rPr>
          <w:sz w:val="20"/>
          <w:szCs w:val="20"/>
          <w:color w:val="auto"/>
        </w:rPr>
      </w:pPr>
    </w:p>
    <w:p>
      <w:pPr>
        <w:spacing w:after="0" w:line="304"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London, August 3, 2016 – LivaNova PLC (NASDAQ:LIVN; LSE: LIVN) ("LivaNova" or the "Company"), a market-leading medical technology and innovation company, today reported results for the second quarter ended June 30, 2016.</w:t>
      </w:r>
    </w:p>
    <w:p>
      <w:pPr>
        <w:spacing w:after="0" w:line="247" w:lineRule="exact"/>
        <w:rPr>
          <w:sz w:val="20"/>
          <w:szCs w:val="20"/>
          <w:color w:val="auto"/>
        </w:rPr>
      </w:pPr>
    </w:p>
    <w:p>
      <w:pPr>
        <w:jc w:val="both"/>
        <w:spacing w:after="0" w:line="337" w:lineRule="auto"/>
        <w:rPr>
          <w:sz w:val="20"/>
          <w:szCs w:val="20"/>
          <w:color w:val="auto"/>
        </w:rPr>
      </w:pPr>
      <w:r>
        <w:rPr>
          <w:rFonts w:ascii="Arial" w:cs="Arial" w:eastAsia="Arial" w:hAnsi="Arial"/>
          <w:sz w:val="16"/>
          <w:szCs w:val="16"/>
          <w:color w:val="auto"/>
        </w:rPr>
        <w:t>For the second quarter of 2016, worldwide sales were $</w:t>
      </w:r>
      <w:r>
        <w:rPr>
          <w:rFonts w:ascii="Arial" w:cs="Arial" w:eastAsia="Arial" w:hAnsi="Arial"/>
          <w:sz w:val="16"/>
          <w:szCs w:val="16"/>
          <w:b w:val="1"/>
          <w:bCs w:val="1"/>
          <w:color w:val="auto"/>
        </w:rPr>
        <w:t>321</w:t>
      </w:r>
      <w:r>
        <w:rPr>
          <w:rFonts w:ascii="Arial" w:cs="Arial" w:eastAsia="Arial" w:hAnsi="Arial"/>
          <w:sz w:val="16"/>
          <w:szCs w:val="16"/>
          <w:color w:val="auto"/>
        </w:rPr>
        <w:t xml:space="preserve"> million, an increase of </w:t>
      </w:r>
      <w:r>
        <w:rPr>
          <w:rFonts w:ascii="Arial" w:cs="Arial" w:eastAsia="Arial" w:hAnsi="Arial"/>
          <w:sz w:val="16"/>
          <w:szCs w:val="16"/>
          <w:b w:val="1"/>
          <w:bCs w:val="1"/>
          <w:color w:val="auto"/>
        </w:rPr>
        <w:t>1.3</w:t>
      </w:r>
      <w:r>
        <w:rPr>
          <w:rFonts w:ascii="Arial" w:cs="Arial" w:eastAsia="Arial" w:hAnsi="Arial"/>
          <w:sz w:val="16"/>
          <w:szCs w:val="16"/>
          <w:color w:val="auto"/>
        </w:rPr>
        <w:t xml:space="preserve"> percent on a reported basis as compared to the previous year. On a constant-currency basis</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sales were </w:t>
      </w:r>
      <w:r>
        <w:rPr>
          <w:rFonts w:ascii="Arial" w:cs="Arial" w:eastAsia="Arial" w:hAnsi="Arial"/>
          <w:sz w:val="16"/>
          <w:szCs w:val="16"/>
          <w:b w:val="1"/>
          <w:bCs w:val="1"/>
          <w:color w:val="auto"/>
        </w:rPr>
        <w:t>$319</w:t>
      </w:r>
      <w:r>
        <w:rPr>
          <w:rFonts w:ascii="Arial" w:cs="Arial" w:eastAsia="Arial" w:hAnsi="Arial"/>
          <w:sz w:val="16"/>
          <w:szCs w:val="16"/>
          <w:color w:val="auto"/>
        </w:rPr>
        <w:t xml:space="preserve"> million, an increase of </w:t>
      </w:r>
      <w:r>
        <w:rPr>
          <w:rFonts w:ascii="Arial" w:cs="Arial" w:eastAsia="Arial" w:hAnsi="Arial"/>
          <w:sz w:val="16"/>
          <w:szCs w:val="16"/>
          <w:b w:val="1"/>
          <w:bCs w:val="1"/>
          <w:color w:val="auto"/>
        </w:rPr>
        <w:t>0.7</w:t>
      </w:r>
      <w:r>
        <w:rPr>
          <w:rFonts w:ascii="Arial" w:cs="Arial" w:eastAsia="Arial" w:hAnsi="Arial"/>
          <w:sz w:val="16"/>
          <w:szCs w:val="16"/>
          <w:color w:val="auto"/>
        </w:rPr>
        <w:t xml:space="preserve"> percent over the previous year. On a U.S. Generally Accepted Accounting Principles (GAAP) basis, second quarter 2016 diluted earnings per share were $</w:t>
      </w:r>
      <w:r>
        <w:rPr>
          <w:rFonts w:ascii="Arial" w:cs="Arial" w:eastAsia="Arial" w:hAnsi="Arial"/>
          <w:sz w:val="16"/>
          <w:szCs w:val="16"/>
          <w:b w:val="1"/>
          <w:bCs w:val="1"/>
          <w:color w:val="auto"/>
        </w:rPr>
        <w:t>0.09</w:t>
      </w:r>
      <w:r>
        <w:rPr>
          <w:rFonts w:ascii="Arial" w:cs="Arial" w:eastAsia="Arial" w:hAnsi="Arial"/>
          <w:sz w:val="16"/>
          <w:szCs w:val="16"/>
          <w:color w:val="auto"/>
        </w:rPr>
        <w:t>. Second quarter 2016 adjusted</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diluted earnings per share were $</w:t>
      </w:r>
      <w:r>
        <w:rPr>
          <w:rFonts w:ascii="Arial" w:cs="Arial" w:eastAsia="Arial" w:hAnsi="Arial"/>
          <w:sz w:val="16"/>
          <w:szCs w:val="16"/>
          <w:b w:val="1"/>
          <w:bCs w:val="1"/>
          <w:color w:val="auto"/>
        </w:rPr>
        <w:t>0.87</w:t>
      </w:r>
      <w:r>
        <w:rPr>
          <w:rFonts w:ascii="Arial" w:cs="Arial" w:eastAsia="Arial" w:hAnsi="Arial"/>
          <w:sz w:val="16"/>
          <w:szCs w:val="16"/>
          <w:color w:val="auto"/>
        </w:rPr>
        <w:t>.</w:t>
      </w:r>
    </w:p>
    <w:p>
      <w:pPr>
        <w:spacing w:after="0" w:line="94" w:lineRule="exact"/>
        <w:rPr>
          <w:sz w:val="20"/>
          <w:szCs w:val="20"/>
          <w:color w:val="auto"/>
        </w:rPr>
      </w:pPr>
    </w:p>
    <w:p>
      <w:pPr>
        <w:jc w:val="both"/>
        <w:spacing w:after="0" w:line="349" w:lineRule="auto"/>
        <w:rPr>
          <w:sz w:val="20"/>
          <w:szCs w:val="20"/>
          <w:color w:val="auto"/>
        </w:rPr>
      </w:pPr>
      <w:r>
        <w:rPr>
          <w:rFonts w:ascii="Arial" w:cs="Arial" w:eastAsia="Arial" w:hAnsi="Arial"/>
          <w:sz w:val="18"/>
          <w:szCs w:val="18"/>
          <w:color w:val="auto"/>
        </w:rPr>
        <w:t>"The second quarter was one of great progress in several areas", said André-Michel Ballester, chief executive officer. "We were especially pleased with early results of our Perceval launch in the U.S. We have rolled out the product to a significant number of hospitals and physician feedback has been positive. We are also seeing double digit growth, both in our Neuromodulation franchise and importantly in our high voltage device Platinium across Europe, as well as encouraging penetration of our low voltage device Kora 250 in Japan. At the same time, we have seen margin improvements across the income statement and made meaningful advances in our restructuring activities and in capturing synergies. With accelerating top line growth in the second half of the year and good expense discipline, we are on plan to deliver on our financial commitments in 2016, while making exciting progress toward building sustainable long-term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472440</wp:posOffset>
            </wp:positionV>
            <wp:extent cx="16465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80" w:right="640" w:hanging="72"/>
        <w:spacing w:after="0" w:line="188" w:lineRule="auto"/>
        <w:tabs>
          <w:tab w:leader="none" w:pos="127" w:val="left"/>
        </w:tabs>
        <w:numPr>
          <w:ilvl w:val="0"/>
          <w:numId w:val="2"/>
        </w:numPr>
        <w:rPr>
          <w:rFonts w:ascii="Arial" w:cs="Arial" w:eastAsia="Arial" w:hAnsi="Arial"/>
          <w:sz w:val="24"/>
          <w:szCs w:val="24"/>
          <w:color w:val="auto"/>
          <w:vertAlign w:val="superscript"/>
        </w:rPr>
      </w:pPr>
      <w:r>
        <w:rPr>
          <w:rFonts w:ascii="Arial" w:cs="Arial" w:eastAsia="Arial" w:hAnsi="Arial"/>
          <w:sz w:val="15"/>
          <w:szCs w:val="15"/>
          <w:color w:val="auto"/>
        </w:rPr>
        <w:t>Constant currency growth measures the change in sales between the current and prior year periods using average exchange rates in effect during the applicable prior year period.</w:t>
      </w:r>
    </w:p>
    <w:p>
      <w:pPr>
        <w:spacing w:after="0" w:line="54" w:lineRule="exact"/>
        <w:rPr>
          <w:sz w:val="20"/>
          <w:szCs w:val="20"/>
          <w:color w:val="auto"/>
        </w:rPr>
      </w:pPr>
    </w:p>
    <w:p>
      <w:pPr>
        <w:ind w:left="80" w:right="360" w:hanging="72"/>
        <w:spacing w:after="0" w:line="180" w:lineRule="auto"/>
        <w:tabs>
          <w:tab w:leader="none" w:pos="127"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Adjusted measures are based on selected non-GAAP operating results and exclude certain specified items as described later in this press release and the attached schedules.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Second-Quarter 2016 Results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highlights selected financial results</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for the second quarter of 2016 compared to the same period in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2642235</wp:posOffset>
            </wp:positionH>
            <wp:positionV relativeFrom="paragraph">
              <wp:posOffset>69215</wp:posOffset>
            </wp:positionV>
            <wp:extent cx="1431925" cy="4800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31925" cy="480060"/>
                    </a:xfrm>
                    <a:prstGeom prst="rect">
                      <a:avLst/>
                    </a:prstGeom>
                    <a:noFill/>
                  </pic:spPr>
                </pic:pic>
              </a:graphicData>
            </a:graphic>
          </wp:anchor>
        </w:drawing>
      </w:r>
    </w:p>
    <w:p>
      <w:pPr>
        <w:spacing w:after="0" w:line="8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00" w:type="dxa"/>
            <w:vAlign w:val="bottom"/>
            <w:tcBorders>
              <w:top w:val="single" w:sz="8" w:color="auto"/>
              <w:left w:val="single" w:sz="8" w:color="auto"/>
              <w:right w:val="single" w:sz="8" w:color="auto"/>
            </w:tcBorders>
          </w:tcPr>
          <w:p>
            <w:pPr>
              <w:spacing w:after="0"/>
              <w:rPr>
                <w:sz w:val="19"/>
                <w:szCs w:val="19"/>
                <w:color w:val="auto"/>
              </w:rPr>
            </w:pPr>
          </w:p>
        </w:tc>
        <w:tc>
          <w:tcPr>
            <w:tcW w:w="21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Three Months Ended</w:t>
            </w:r>
          </w:p>
        </w:tc>
        <w:tc>
          <w:tcPr>
            <w:tcW w:w="108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Constant</w:t>
            </w:r>
          </w:p>
        </w:tc>
      </w:tr>
      <w:tr>
        <w:trPr>
          <w:trHeight w:val="216"/>
        </w:trPr>
        <w:tc>
          <w:tcPr>
            <w:tcW w:w="2100" w:type="dxa"/>
            <w:vAlign w:val="bottom"/>
            <w:tcBorders>
              <w:left w:val="single" w:sz="8" w:color="auto"/>
              <w:right w:val="single" w:sz="8" w:color="auto"/>
            </w:tcBorders>
          </w:tcPr>
          <w:p>
            <w:pPr>
              <w:spacing w:after="0"/>
              <w:rPr>
                <w:sz w:val="18"/>
                <w:szCs w:val="18"/>
                <w:color w:val="auto"/>
              </w:rPr>
            </w:pPr>
          </w:p>
        </w:tc>
        <w:tc>
          <w:tcPr>
            <w:tcW w:w="2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6"/>
              </w:rPr>
              <w:t>June 30,</w:t>
            </w:r>
          </w:p>
        </w:tc>
        <w:tc>
          <w:tcPr>
            <w:tcW w:w="10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Currency</w:t>
            </w:r>
          </w:p>
        </w:tc>
      </w:tr>
      <w:tr>
        <w:trPr>
          <w:trHeight w:val="250"/>
        </w:trPr>
        <w:tc>
          <w:tcPr>
            <w:tcW w:w="2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 $ millions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2016</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2015</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 Change</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 Change</w:t>
            </w:r>
          </w:p>
        </w:tc>
      </w:tr>
      <w:tr>
        <w:trPr>
          <w:trHeight w:val="223"/>
        </w:trPr>
        <w:tc>
          <w:tcPr>
            <w:tcW w:w="210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Cardiopulmonary</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124.0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b w:val="1"/>
                <w:bCs w:val="1"/>
                <w:color w:val="auto"/>
                <w:w w:val="87"/>
              </w:rPr>
              <w:t>125.9</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(1.5%)</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(1.8%)</w:t>
            </w:r>
          </w:p>
        </w:tc>
      </w:tr>
      <w:tr>
        <w:trPr>
          <w:trHeight w:val="223"/>
        </w:trPr>
        <w:tc>
          <w:tcPr>
            <w:tcW w:w="210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Heart Valves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37.1</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b w:val="1"/>
                <w:bCs w:val="1"/>
                <w:color w:val="auto"/>
                <w:w w:val="88"/>
              </w:rPr>
              <w:t>36.4</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1.8%</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1.6%</w:t>
            </w:r>
          </w:p>
        </w:tc>
      </w:tr>
      <w:tr>
        <w:trPr>
          <w:trHeight w:val="223"/>
        </w:trPr>
        <w:tc>
          <w:tcPr>
            <w:tcW w:w="2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Cardiac Surgery</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161.1</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b w:val="1"/>
                <w:bCs w:val="1"/>
                <w:color w:val="auto"/>
                <w:w w:val="87"/>
              </w:rPr>
              <w:t>162.3</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(0.8%)</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(1.0%)</w:t>
            </w:r>
          </w:p>
        </w:tc>
      </w:tr>
      <w:tr>
        <w:trPr>
          <w:trHeight w:val="223"/>
        </w:trPr>
        <w:tc>
          <w:tcPr>
            <w:tcW w:w="2100" w:type="dxa"/>
            <w:vAlign w:val="bottom"/>
            <w:tcBorders>
              <w:left w:val="single" w:sz="8" w:color="auto"/>
              <w:bottom w:val="single" w:sz="8" w:color="auto"/>
              <w:right w:val="single" w:sz="8" w:color="auto"/>
            </w:tcBorders>
          </w:tcPr>
          <w:p>
            <w:pPr>
              <w:ind w:left="40"/>
              <w:spacing w:after="0" w:line="223" w:lineRule="exact"/>
              <w:rPr>
                <w:sz w:val="20"/>
                <w:szCs w:val="20"/>
                <w:color w:val="auto"/>
              </w:rPr>
            </w:pPr>
            <w:r>
              <w:rPr>
                <w:rFonts w:ascii="Arial" w:cs="Arial" w:eastAsia="Arial" w:hAnsi="Arial"/>
                <w:sz w:val="16"/>
                <w:szCs w:val="16"/>
                <w:color w:val="auto"/>
              </w:rPr>
              <w:t>CRM</w:t>
            </w:r>
            <w:r>
              <w:rPr>
                <w:rFonts w:ascii="Arial" w:cs="Arial" w:eastAsia="Arial" w:hAnsi="Arial"/>
                <w:sz w:val="25"/>
                <w:szCs w:val="25"/>
                <w:color w:val="auto"/>
                <w:vertAlign w:val="superscript"/>
              </w:rPr>
              <w:t>4</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69.6</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b w:val="1"/>
                <w:bCs w:val="1"/>
                <w:color w:val="auto"/>
                <w:w w:val="88"/>
              </w:rPr>
              <w:t>75.6</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(8.0%)</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(9.9%)</w:t>
            </w:r>
          </w:p>
        </w:tc>
      </w:tr>
      <w:tr>
        <w:trPr>
          <w:trHeight w:val="223"/>
        </w:trPr>
        <w:tc>
          <w:tcPr>
            <w:tcW w:w="2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Neuromodulation</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90.0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b w:val="1"/>
                <w:bCs w:val="1"/>
                <w:color w:val="auto"/>
                <w:w w:val="88"/>
              </w:rPr>
              <w:t>78.4</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14.8%</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14.9%</w:t>
            </w:r>
          </w:p>
        </w:tc>
      </w:tr>
      <w:tr>
        <w:trPr>
          <w:trHeight w:val="240"/>
        </w:trPr>
        <w:tc>
          <w:tcPr>
            <w:tcW w:w="2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0.4</w:t>
            </w:r>
          </w:p>
        </w:tc>
        <w:tc>
          <w:tcPr>
            <w:tcW w:w="106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0.7</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n/a</w:t>
            </w:r>
          </w:p>
        </w:tc>
      </w:tr>
      <w:tr>
        <w:trPr>
          <w:trHeight w:val="203"/>
        </w:trPr>
        <w:tc>
          <w:tcPr>
            <w:tcW w:w="2100" w:type="dxa"/>
            <w:vAlign w:val="bottom"/>
            <w:tcBorders>
              <w:right w:val="single" w:sz="8" w:color="auto"/>
            </w:tcBorders>
          </w:tcPr>
          <w:p>
            <w:pPr>
              <w:ind w:left="40"/>
              <w:spacing w:after="0" w:line="203" w:lineRule="exact"/>
              <w:rPr>
                <w:sz w:val="20"/>
                <w:szCs w:val="20"/>
                <w:color w:val="auto"/>
              </w:rPr>
            </w:pPr>
            <w:r>
              <w:rPr>
                <w:rFonts w:ascii="Arial" w:cs="Arial" w:eastAsia="Arial" w:hAnsi="Arial"/>
                <w:sz w:val="18"/>
                <w:szCs w:val="18"/>
                <w:color w:val="auto"/>
              </w:rPr>
              <w:t>Total Net Sales</w:t>
            </w:r>
          </w:p>
        </w:tc>
        <w:tc>
          <w:tcPr>
            <w:tcW w:w="1040" w:type="dxa"/>
            <w:vAlign w:val="bottom"/>
            <w:tcBorders>
              <w:bottom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321.0</w:t>
            </w:r>
          </w:p>
        </w:tc>
        <w:tc>
          <w:tcPr>
            <w:tcW w:w="106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87"/>
              </w:rPr>
              <w:t>$</w:t>
            </w:r>
            <w:r>
              <w:rPr>
                <w:rFonts w:ascii="Arial" w:cs="Arial" w:eastAsia="Arial" w:hAnsi="Arial"/>
                <w:sz w:val="18"/>
                <w:szCs w:val="18"/>
                <w:b w:val="1"/>
                <w:bCs w:val="1"/>
                <w:color w:val="auto"/>
                <w:w w:val="87"/>
              </w:rPr>
              <w:t>317.1</w:t>
            </w:r>
          </w:p>
        </w:tc>
        <w:tc>
          <w:tcPr>
            <w:tcW w:w="108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18"/>
                <w:szCs w:val="18"/>
                <w:b w:val="1"/>
                <w:bCs w:val="1"/>
                <w:color w:val="auto"/>
                <w:w w:val="97"/>
              </w:rPr>
              <w:t>1.3%</w:t>
            </w:r>
          </w:p>
        </w:tc>
        <w:tc>
          <w:tcPr>
            <w:tcW w:w="1140" w:type="dxa"/>
            <w:vAlign w:val="bottom"/>
            <w:tcBorders>
              <w:bottom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b w:val="1"/>
                <w:bCs w:val="1"/>
                <w:color w:val="auto"/>
                <w:w w:val="97"/>
              </w:rPr>
              <w:t>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-1275080</wp:posOffset>
            </wp:positionV>
            <wp:extent cx="1337310" cy="196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37310"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-177165</wp:posOffset>
            </wp:positionV>
            <wp:extent cx="133731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37310" cy="188595"/>
                    </a:xfrm>
                    <a:prstGeom prst="rect">
                      <a:avLst/>
                    </a:prstGeom>
                    <a:noFill/>
                  </pic:spPr>
                </pic:pic>
              </a:graphicData>
            </a:graphic>
          </wp:anchor>
        </w:drawing>
        <w:drawing>
          <wp:anchor simplePos="0" relativeHeight="251657728" behindDoc="1" locked="0" layoutInCell="0" allowOverlap="1">
            <wp:simplePos x="0" y="0"/>
            <wp:positionH relativeFrom="column">
              <wp:posOffset>2642235</wp:posOffset>
            </wp:positionH>
            <wp:positionV relativeFrom="paragraph">
              <wp:posOffset>-177165</wp:posOffset>
            </wp:positionV>
            <wp:extent cx="694055"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4055" cy="18859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Numbers may not add due to rounding. Constant currency % change is considered a non-GAAP metric.</w:t>
      </w:r>
    </w:p>
    <w:p>
      <w:pPr>
        <w:spacing w:after="0" w:line="198"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For discussion purposes, all sales growth rates below reflect comparable, constant currency growth. The difference between constant currency growth and reported growth reflects the impact from currency in the various currencies in which we operate.</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June 30, 2016</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For the three Business Units, sales were as follows: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Cardiac Surgery</w:t>
      </w:r>
    </w:p>
    <w:p>
      <w:pPr>
        <w:spacing w:after="0" w:line="90" w:lineRule="exact"/>
        <w:rPr>
          <w:sz w:val="20"/>
          <w:szCs w:val="20"/>
          <w:color w:val="auto"/>
        </w:rPr>
      </w:pPr>
    </w:p>
    <w:p>
      <w:pPr>
        <w:jc w:val="both"/>
        <w:ind w:right="20"/>
        <w:spacing w:after="0" w:line="376" w:lineRule="auto"/>
        <w:rPr>
          <w:sz w:val="20"/>
          <w:szCs w:val="20"/>
          <w:color w:val="auto"/>
        </w:rPr>
      </w:pPr>
      <w:r>
        <w:rPr>
          <w:rFonts w:ascii="Arial" w:cs="Arial" w:eastAsia="Arial" w:hAnsi="Arial"/>
          <w:sz w:val="18"/>
          <w:szCs w:val="18"/>
          <w:color w:val="auto"/>
        </w:rPr>
        <w:t>Cardiac Surgery sales, which include cardiopulmonary products and heart valves, were $</w:t>
      </w:r>
      <w:r>
        <w:rPr>
          <w:rFonts w:ascii="Arial" w:cs="Arial" w:eastAsia="Arial" w:hAnsi="Arial"/>
          <w:sz w:val="18"/>
          <w:szCs w:val="18"/>
          <w:b w:val="1"/>
          <w:bCs w:val="1"/>
          <w:color w:val="auto"/>
        </w:rPr>
        <w:t>161</w:t>
      </w:r>
      <w:r>
        <w:rPr>
          <w:rFonts w:ascii="Arial" w:cs="Arial" w:eastAsia="Arial" w:hAnsi="Arial"/>
          <w:sz w:val="18"/>
          <w:szCs w:val="18"/>
          <w:color w:val="auto"/>
        </w:rPr>
        <w:t xml:space="preserve"> million, representing a 1.0 percent decrease versus the comparable period in 2015. The increase in heart valves was more than offset by the decline in cardiopulmonary.</w:t>
      </w:r>
    </w:p>
    <w:p>
      <w:pPr>
        <w:spacing w:after="0" w:line="243" w:lineRule="exact"/>
        <w:rPr>
          <w:sz w:val="20"/>
          <w:szCs w:val="20"/>
          <w:color w:val="auto"/>
        </w:rPr>
      </w:pPr>
    </w:p>
    <w:p>
      <w:pPr>
        <w:jc w:val="both"/>
        <w:spacing w:after="0" w:line="360" w:lineRule="auto"/>
        <w:rPr>
          <w:sz w:val="20"/>
          <w:szCs w:val="20"/>
          <w:color w:val="auto"/>
        </w:rPr>
      </w:pPr>
      <w:r>
        <w:rPr>
          <w:rFonts w:ascii="Arial" w:cs="Arial" w:eastAsia="Arial" w:hAnsi="Arial"/>
          <w:sz w:val="18"/>
          <w:szCs w:val="18"/>
          <w:color w:val="auto"/>
        </w:rPr>
        <w:t>Sales in cardiopulmonary products were $</w:t>
      </w:r>
      <w:r>
        <w:rPr>
          <w:rFonts w:ascii="Arial" w:cs="Arial" w:eastAsia="Arial" w:hAnsi="Arial"/>
          <w:sz w:val="18"/>
          <w:szCs w:val="18"/>
          <w:b w:val="1"/>
          <w:bCs w:val="1"/>
          <w:color w:val="auto"/>
        </w:rPr>
        <w:t>124</w:t>
      </w:r>
      <w:r>
        <w:rPr>
          <w:rFonts w:ascii="Arial" w:cs="Arial" w:eastAsia="Arial" w:hAnsi="Arial"/>
          <w:sz w:val="18"/>
          <w:szCs w:val="18"/>
          <w:color w:val="auto"/>
        </w:rPr>
        <w:t xml:space="preserve"> million, a decrease of </w:t>
      </w:r>
      <w:r>
        <w:rPr>
          <w:rFonts w:ascii="Arial" w:cs="Arial" w:eastAsia="Arial" w:hAnsi="Arial"/>
          <w:sz w:val="18"/>
          <w:szCs w:val="18"/>
          <w:b w:val="1"/>
          <w:bCs w:val="1"/>
          <w:color w:val="auto"/>
        </w:rPr>
        <w:t>1.8</w:t>
      </w:r>
      <w:r>
        <w:rPr>
          <w:rFonts w:ascii="Arial" w:cs="Arial" w:eastAsia="Arial" w:hAnsi="Arial"/>
          <w:sz w:val="18"/>
          <w:szCs w:val="18"/>
          <w:color w:val="auto"/>
        </w:rPr>
        <w:t xml:space="preserve"> percent compared to the second quarter of 2015. A decline in our 3T heater/cooler devices, as a result of our import restrictions in the U.S. and the timing of heart lung machine orders in Europe, was partially offset by a strong demand for oxygenators, particularly in emerging markets as well as Japan and Australia.</w:t>
      </w:r>
    </w:p>
    <w:p>
      <w:pPr>
        <w:spacing w:after="0" w:line="257" w:lineRule="exact"/>
        <w:rPr>
          <w:sz w:val="20"/>
          <w:szCs w:val="20"/>
          <w:color w:val="auto"/>
        </w:rPr>
      </w:pPr>
    </w:p>
    <w:p>
      <w:pPr>
        <w:jc w:val="both"/>
        <w:spacing w:after="0" w:line="360" w:lineRule="auto"/>
        <w:rPr>
          <w:sz w:val="20"/>
          <w:szCs w:val="20"/>
          <w:color w:val="auto"/>
        </w:rPr>
      </w:pPr>
      <w:r>
        <w:rPr>
          <w:rFonts w:ascii="Arial" w:cs="Arial" w:eastAsia="Arial" w:hAnsi="Arial"/>
          <w:sz w:val="18"/>
          <w:szCs w:val="18"/>
          <w:color w:val="auto"/>
        </w:rPr>
        <w:t>Heart valve sales, including tissue and mechanical heart valves, were $</w:t>
      </w:r>
      <w:r>
        <w:rPr>
          <w:rFonts w:ascii="Arial" w:cs="Arial" w:eastAsia="Arial" w:hAnsi="Arial"/>
          <w:sz w:val="18"/>
          <w:szCs w:val="18"/>
          <w:b w:val="1"/>
          <w:bCs w:val="1"/>
          <w:color w:val="auto"/>
        </w:rPr>
        <w:t>37</w:t>
      </w:r>
      <w:r>
        <w:rPr>
          <w:rFonts w:ascii="Arial" w:cs="Arial" w:eastAsia="Arial" w:hAnsi="Arial"/>
          <w:sz w:val="18"/>
          <w:szCs w:val="18"/>
          <w:color w:val="auto"/>
        </w:rPr>
        <w:t xml:space="preserve"> million, an increase of </w:t>
      </w:r>
      <w:r>
        <w:rPr>
          <w:rFonts w:ascii="Arial" w:cs="Arial" w:eastAsia="Arial" w:hAnsi="Arial"/>
          <w:sz w:val="18"/>
          <w:szCs w:val="18"/>
          <w:b w:val="1"/>
          <w:bCs w:val="1"/>
          <w:color w:val="auto"/>
        </w:rPr>
        <w:t>1.6</w:t>
      </w:r>
      <w:r>
        <w:rPr>
          <w:rFonts w:ascii="Arial" w:cs="Arial" w:eastAsia="Arial" w:hAnsi="Arial"/>
          <w:sz w:val="18"/>
          <w:szCs w:val="18"/>
          <w:color w:val="auto"/>
        </w:rPr>
        <w:t xml:space="preserve"> percent compared to the same period the previous year. Results were driven by strength in Perceval in both the U.S. and Europe, which more than offset the weakness in mechanical valves in China and traditional tissue valves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16465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40" w:hanging="132"/>
        <w:spacing w:after="0" w:line="188" w:lineRule="auto"/>
        <w:tabs>
          <w:tab w:leader="none" w:pos="130" w:val="left"/>
        </w:tabs>
        <w:numPr>
          <w:ilvl w:val="0"/>
          <w:numId w:val="5"/>
        </w:numPr>
        <w:rPr>
          <w:rFonts w:ascii="Arial" w:cs="Arial" w:eastAsia="Arial" w:hAnsi="Arial"/>
          <w:sz w:val="24"/>
          <w:szCs w:val="24"/>
          <w:color w:val="auto"/>
          <w:vertAlign w:val="superscript"/>
        </w:rPr>
      </w:pPr>
      <w:r>
        <w:rPr>
          <w:rFonts w:ascii="Arial" w:cs="Arial" w:eastAsia="Arial" w:hAnsi="Arial"/>
          <w:sz w:val="15"/>
          <w:szCs w:val="15"/>
          <w:color w:val="auto"/>
        </w:rPr>
        <w:t>See the discussion of "Financial Alignment, Combined Sales &amp; Operating Results, Business Unit Structure and Constant Currency" below. The sales results presented are unaudited.</w:t>
      </w:r>
    </w:p>
    <w:p>
      <w:pPr>
        <w:ind w:left="140" w:hanging="132"/>
        <w:spacing w:after="0" w:line="197" w:lineRule="auto"/>
        <w:tabs>
          <w:tab w:leader="none" w:pos="14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Cardiac Rhythm Management.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6" w:name="page7"/>
    <w:bookmarkEnd w:id="6"/>
    <w:p>
      <w:pPr>
        <w:jc w:val="both"/>
        <w:spacing w:after="0" w:line="360" w:lineRule="auto"/>
        <w:rPr>
          <w:sz w:val="20"/>
          <w:szCs w:val="20"/>
          <w:color w:val="auto"/>
        </w:rPr>
      </w:pPr>
      <w:r>
        <w:rPr>
          <w:rFonts w:ascii="Arial" w:cs="Arial" w:eastAsia="Arial" w:hAnsi="Arial"/>
          <w:sz w:val="18"/>
          <w:szCs w:val="18"/>
          <w:color w:val="auto"/>
        </w:rPr>
        <w:t>Heart valve sales, including tissue and mechanical heart valves, were $</w:t>
      </w:r>
      <w:r>
        <w:rPr>
          <w:rFonts w:ascii="Arial" w:cs="Arial" w:eastAsia="Arial" w:hAnsi="Arial"/>
          <w:sz w:val="18"/>
          <w:szCs w:val="18"/>
          <w:b w:val="1"/>
          <w:bCs w:val="1"/>
          <w:color w:val="auto"/>
        </w:rPr>
        <w:t>37</w:t>
      </w:r>
      <w:r>
        <w:rPr>
          <w:rFonts w:ascii="Arial" w:cs="Arial" w:eastAsia="Arial" w:hAnsi="Arial"/>
          <w:sz w:val="18"/>
          <w:szCs w:val="18"/>
          <w:color w:val="auto"/>
        </w:rPr>
        <w:t xml:space="preserve"> million, an increase of </w:t>
      </w:r>
      <w:r>
        <w:rPr>
          <w:rFonts w:ascii="Arial" w:cs="Arial" w:eastAsia="Arial" w:hAnsi="Arial"/>
          <w:sz w:val="18"/>
          <w:szCs w:val="18"/>
          <w:b w:val="1"/>
          <w:bCs w:val="1"/>
          <w:color w:val="auto"/>
        </w:rPr>
        <w:t>1.6</w:t>
      </w:r>
      <w:r>
        <w:rPr>
          <w:rFonts w:ascii="Arial" w:cs="Arial" w:eastAsia="Arial" w:hAnsi="Arial"/>
          <w:sz w:val="18"/>
          <w:szCs w:val="18"/>
          <w:color w:val="auto"/>
        </w:rPr>
        <w:t xml:space="preserve"> percent compared to the same period the previous year. Results were driven by strength in Perceval in both the U.S. and Europe, which more than offset the weakness in mechanical valves, primarily in China, and traditional tissue valves globally.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Cardiac Rhythm Management</w:t>
      </w:r>
    </w:p>
    <w:p>
      <w:pPr>
        <w:spacing w:after="0" w:line="36" w:lineRule="exact"/>
        <w:rPr>
          <w:sz w:val="20"/>
          <w:szCs w:val="20"/>
          <w:color w:val="auto"/>
        </w:rPr>
      </w:pPr>
    </w:p>
    <w:p>
      <w:pPr>
        <w:jc w:val="both"/>
        <w:spacing w:after="0" w:line="376" w:lineRule="auto"/>
        <w:rPr>
          <w:sz w:val="20"/>
          <w:szCs w:val="20"/>
          <w:color w:val="auto"/>
        </w:rPr>
      </w:pPr>
      <w:r>
        <w:rPr>
          <w:rFonts w:ascii="Arial" w:cs="Arial" w:eastAsia="Arial" w:hAnsi="Arial"/>
          <w:sz w:val="18"/>
          <w:szCs w:val="18"/>
          <w:color w:val="auto"/>
        </w:rPr>
        <w:t>CRM sales for the period totaled $</w:t>
      </w:r>
      <w:r>
        <w:rPr>
          <w:rFonts w:ascii="Arial" w:cs="Arial" w:eastAsia="Arial" w:hAnsi="Arial"/>
          <w:sz w:val="18"/>
          <w:szCs w:val="18"/>
          <w:b w:val="1"/>
          <w:bCs w:val="1"/>
          <w:color w:val="auto"/>
        </w:rPr>
        <w:t>70</w:t>
      </w:r>
      <w:r>
        <w:rPr>
          <w:rFonts w:ascii="Arial" w:cs="Arial" w:eastAsia="Arial" w:hAnsi="Arial"/>
          <w:sz w:val="18"/>
          <w:szCs w:val="18"/>
          <w:color w:val="auto"/>
        </w:rPr>
        <w:t xml:space="preserve"> million, a decrease of </w:t>
      </w:r>
      <w:r>
        <w:rPr>
          <w:rFonts w:ascii="Arial" w:cs="Arial" w:eastAsia="Arial" w:hAnsi="Arial"/>
          <w:sz w:val="18"/>
          <w:szCs w:val="18"/>
          <w:b w:val="1"/>
          <w:bCs w:val="1"/>
          <w:color w:val="auto"/>
        </w:rPr>
        <w:t>9.9</w:t>
      </w:r>
      <w:r>
        <w:rPr>
          <w:rFonts w:ascii="Arial" w:cs="Arial" w:eastAsia="Arial" w:hAnsi="Arial"/>
          <w:sz w:val="18"/>
          <w:szCs w:val="18"/>
          <w:color w:val="auto"/>
        </w:rPr>
        <w:t xml:space="preserve"> percent as compared to the second quarter of 2015. The decline in Japan was partially offset by positive performance of our newest high-voltage device Platinium, which was launched last November in Europe and Japan.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Neuromodulation</w:t>
      </w:r>
    </w:p>
    <w:p>
      <w:pPr>
        <w:spacing w:after="0" w:line="90" w:lineRule="exact"/>
        <w:rPr>
          <w:sz w:val="20"/>
          <w:szCs w:val="20"/>
          <w:color w:val="auto"/>
        </w:rPr>
      </w:pPr>
    </w:p>
    <w:p>
      <w:pPr>
        <w:jc w:val="both"/>
        <w:spacing w:after="0" w:line="376" w:lineRule="auto"/>
        <w:rPr>
          <w:sz w:val="20"/>
          <w:szCs w:val="20"/>
          <w:color w:val="auto"/>
        </w:rPr>
      </w:pPr>
      <w:r>
        <w:rPr>
          <w:rFonts w:ascii="Arial" w:cs="Arial" w:eastAsia="Arial" w:hAnsi="Arial"/>
          <w:sz w:val="18"/>
          <w:szCs w:val="18"/>
          <w:color w:val="auto"/>
        </w:rPr>
        <w:t>Neuromodulation sales were $</w:t>
      </w:r>
      <w:r>
        <w:rPr>
          <w:rFonts w:ascii="Arial" w:cs="Arial" w:eastAsia="Arial" w:hAnsi="Arial"/>
          <w:sz w:val="18"/>
          <w:szCs w:val="18"/>
          <w:b w:val="1"/>
          <w:bCs w:val="1"/>
          <w:color w:val="auto"/>
        </w:rPr>
        <w:t>90</w:t>
      </w:r>
      <w:r>
        <w:rPr>
          <w:rFonts w:ascii="Arial" w:cs="Arial" w:eastAsia="Arial" w:hAnsi="Arial"/>
          <w:sz w:val="18"/>
          <w:szCs w:val="18"/>
          <w:color w:val="auto"/>
        </w:rPr>
        <w:t xml:space="preserve"> million in the second quarter, an increase of </w:t>
      </w:r>
      <w:r>
        <w:rPr>
          <w:rFonts w:ascii="Arial" w:cs="Arial" w:eastAsia="Arial" w:hAnsi="Arial"/>
          <w:sz w:val="18"/>
          <w:szCs w:val="18"/>
          <w:b w:val="1"/>
          <w:bCs w:val="1"/>
          <w:color w:val="auto"/>
        </w:rPr>
        <w:t>14.9</w:t>
      </w:r>
      <w:r>
        <w:rPr>
          <w:rFonts w:ascii="Arial" w:cs="Arial" w:eastAsia="Arial" w:hAnsi="Arial"/>
          <w:sz w:val="18"/>
          <w:szCs w:val="18"/>
          <w:color w:val="auto"/>
        </w:rPr>
        <w:t xml:space="preserve"> percent over the prior year period, driven primarily by continued adoption of our newest VNS therapy device AspireSR in the U.S. and double digit new patient growth.</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Performance</w:t>
      </w:r>
    </w:p>
    <w:p>
      <w:pPr>
        <w:spacing w:after="0" w:line="90"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On a U.S. GAAP basis, second quarter 2016 income from operations was $</w:t>
      </w:r>
      <w:r>
        <w:rPr>
          <w:rFonts w:ascii="Arial" w:cs="Arial" w:eastAsia="Arial" w:hAnsi="Arial"/>
          <w:sz w:val="18"/>
          <w:szCs w:val="18"/>
          <w:b w:val="1"/>
          <w:bCs w:val="1"/>
          <w:color w:val="auto"/>
        </w:rPr>
        <w:t>22</w:t>
      </w:r>
      <w:r>
        <w:rPr>
          <w:rFonts w:ascii="Arial" w:cs="Arial" w:eastAsia="Arial" w:hAnsi="Arial"/>
          <w:sz w:val="18"/>
          <w:szCs w:val="18"/>
          <w:color w:val="auto"/>
        </w:rPr>
        <w:t xml:space="preserve"> million compared to a net loss from operations of </w:t>
      </w:r>
      <w:r>
        <w:rPr>
          <w:rFonts w:ascii="Arial" w:cs="Arial" w:eastAsia="Arial" w:hAnsi="Arial"/>
          <w:sz w:val="18"/>
          <w:szCs w:val="18"/>
          <w:b w:val="1"/>
          <w:bCs w:val="1"/>
          <w:color w:val="auto"/>
        </w:rPr>
        <w:t>$36</w:t>
      </w:r>
      <w:r>
        <w:rPr>
          <w:rFonts w:ascii="Arial" w:cs="Arial" w:eastAsia="Arial" w:hAnsi="Arial"/>
          <w:sz w:val="18"/>
          <w:szCs w:val="18"/>
          <w:color w:val="auto"/>
        </w:rPr>
        <w:t xml:space="preserve"> million in the first quarter of 2016. Adjusted income from operations</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for the second quarter of 2016 was $</w:t>
      </w:r>
      <w:r>
        <w:rPr>
          <w:rFonts w:ascii="Arial" w:cs="Arial" w:eastAsia="Arial" w:hAnsi="Arial"/>
          <w:sz w:val="18"/>
          <w:szCs w:val="18"/>
          <w:b w:val="1"/>
          <w:bCs w:val="1"/>
          <w:color w:val="auto"/>
        </w:rPr>
        <w:t>63</w:t>
      </w:r>
      <w:r>
        <w:rPr>
          <w:rFonts w:ascii="Arial" w:cs="Arial" w:eastAsia="Arial" w:hAnsi="Arial"/>
          <w:sz w:val="18"/>
          <w:szCs w:val="18"/>
          <w:color w:val="auto"/>
        </w:rPr>
        <w:t xml:space="preserve"> million, an increase of </w:t>
      </w:r>
      <w:r>
        <w:rPr>
          <w:rFonts w:ascii="Arial" w:cs="Arial" w:eastAsia="Arial" w:hAnsi="Arial"/>
          <w:sz w:val="18"/>
          <w:szCs w:val="18"/>
          <w:b w:val="1"/>
          <w:bCs w:val="1"/>
          <w:color w:val="auto"/>
        </w:rPr>
        <w:t>23.8</w:t>
      </w:r>
      <w:r>
        <w:rPr>
          <w:rFonts w:ascii="Arial" w:cs="Arial" w:eastAsia="Arial" w:hAnsi="Arial"/>
          <w:sz w:val="18"/>
          <w:szCs w:val="18"/>
          <w:color w:val="auto"/>
        </w:rPr>
        <w:t xml:space="preserve"> percent as compared to the second quarter of 2015. This is primarily attributed to a positive mix of sales during the quarter which improved gross margin, sound cost control, delivery of our planned synergies and the impact of our previously announced restructuring efforts.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2016 Projections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 reiterates its guidance for full year 2016.</w:t>
      </w:r>
    </w:p>
    <w:p>
      <w:pPr>
        <w:spacing w:after="0" w:line="289" w:lineRule="exact"/>
        <w:rPr>
          <w:sz w:val="20"/>
          <w:szCs w:val="20"/>
          <w:color w:val="auto"/>
        </w:rPr>
      </w:pPr>
    </w:p>
    <w:p>
      <w:pPr>
        <w:jc w:val="both"/>
        <w:spacing w:after="0" w:line="376" w:lineRule="auto"/>
        <w:rPr>
          <w:sz w:val="20"/>
          <w:szCs w:val="20"/>
          <w:color w:val="auto"/>
        </w:rPr>
      </w:pPr>
      <w:r>
        <w:rPr>
          <w:rFonts w:ascii="Arial" w:cs="Arial" w:eastAsia="Arial" w:hAnsi="Arial"/>
          <w:sz w:val="18"/>
          <w:szCs w:val="18"/>
          <w:color w:val="auto"/>
        </w:rPr>
        <w:t xml:space="preserve">The Company continues to expect revenue growth on a constant-currency basis in the range of </w:t>
      </w:r>
      <w:r>
        <w:rPr>
          <w:rFonts w:ascii="Arial" w:cs="Arial" w:eastAsia="Arial" w:hAnsi="Arial"/>
          <w:sz w:val="18"/>
          <w:szCs w:val="18"/>
          <w:b w:val="1"/>
          <w:bCs w:val="1"/>
          <w:color w:val="auto"/>
        </w:rPr>
        <w:t>3 to 5</w:t>
      </w:r>
      <w:r>
        <w:rPr>
          <w:rFonts w:ascii="Arial" w:cs="Arial" w:eastAsia="Arial" w:hAnsi="Arial"/>
          <w:sz w:val="18"/>
          <w:szCs w:val="18"/>
          <w:color w:val="auto"/>
        </w:rPr>
        <w:t xml:space="preserve"> percent. This includes growth in Cardiac Surgery of </w:t>
      </w:r>
      <w:r>
        <w:rPr>
          <w:rFonts w:ascii="Arial" w:cs="Arial" w:eastAsia="Arial" w:hAnsi="Arial"/>
          <w:sz w:val="18"/>
          <w:szCs w:val="18"/>
          <w:b w:val="1"/>
          <w:bCs w:val="1"/>
          <w:color w:val="auto"/>
        </w:rPr>
        <w:t>3</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to 5 </w:t>
      </w:r>
      <w:r>
        <w:rPr>
          <w:rFonts w:ascii="Arial" w:cs="Arial" w:eastAsia="Arial" w:hAnsi="Arial"/>
          <w:sz w:val="18"/>
          <w:szCs w:val="18"/>
          <w:color w:val="auto"/>
        </w:rPr>
        <w:t>percent, growth in Neuromodulation of</w:t>
      </w:r>
      <w:r>
        <w:rPr>
          <w:rFonts w:ascii="Arial" w:cs="Arial" w:eastAsia="Arial" w:hAnsi="Arial"/>
          <w:sz w:val="18"/>
          <w:szCs w:val="18"/>
          <w:b w:val="1"/>
          <w:bCs w:val="1"/>
          <w:color w:val="auto"/>
        </w:rPr>
        <w:t xml:space="preserve"> 9 to 11 </w:t>
      </w:r>
      <w:r>
        <w:rPr>
          <w:rFonts w:ascii="Arial" w:cs="Arial" w:eastAsia="Arial" w:hAnsi="Arial"/>
          <w:sz w:val="18"/>
          <w:szCs w:val="18"/>
          <w:color w:val="auto"/>
        </w:rPr>
        <w:t>percent and growth in CRM of</w:t>
      </w:r>
      <w:r>
        <w:rPr>
          <w:rFonts w:ascii="Arial" w:cs="Arial" w:eastAsia="Arial" w:hAnsi="Arial"/>
          <w:sz w:val="18"/>
          <w:szCs w:val="18"/>
          <w:b w:val="1"/>
          <w:bCs w:val="1"/>
          <w:color w:val="auto"/>
        </w:rPr>
        <w:t xml:space="preserve"> 1 to 2 </w:t>
      </w:r>
      <w:r>
        <w:rPr>
          <w:rFonts w:ascii="Arial" w:cs="Arial" w:eastAsia="Arial" w:hAnsi="Arial"/>
          <w:sz w:val="18"/>
          <w:szCs w:val="18"/>
          <w:color w:val="auto"/>
        </w:rPr>
        <w:t>percent.</w:t>
      </w:r>
    </w:p>
    <w:p>
      <w:pPr>
        <w:spacing w:after="0" w:line="148" w:lineRule="exact"/>
        <w:rPr>
          <w:sz w:val="20"/>
          <w:szCs w:val="20"/>
          <w:color w:val="auto"/>
        </w:rPr>
      </w:pPr>
    </w:p>
    <w:p>
      <w:pPr>
        <w:jc w:val="both"/>
        <w:spacing w:after="0" w:line="360" w:lineRule="auto"/>
        <w:rPr>
          <w:sz w:val="20"/>
          <w:szCs w:val="20"/>
          <w:color w:val="auto"/>
        </w:rPr>
      </w:pPr>
      <w:r>
        <w:rPr>
          <w:rFonts w:ascii="Arial" w:cs="Arial" w:eastAsia="Arial" w:hAnsi="Arial"/>
          <w:sz w:val="18"/>
          <w:szCs w:val="18"/>
          <w:color w:val="auto"/>
        </w:rPr>
        <w:t xml:space="preserve">The Company continues to expect adjusted gross margin in the range of </w:t>
      </w:r>
      <w:r>
        <w:rPr>
          <w:rFonts w:ascii="Arial" w:cs="Arial" w:eastAsia="Arial" w:hAnsi="Arial"/>
          <w:sz w:val="18"/>
          <w:szCs w:val="18"/>
          <w:b w:val="1"/>
          <w:bCs w:val="1"/>
          <w:color w:val="auto"/>
        </w:rPr>
        <w:t>64 to 65</w:t>
      </w:r>
      <w:r>
        <w:rPr>
          <w:rFonts w:ascii="Arial" w:cs="Arial" w:eastAsia="Arial" w:hAnsi="Arial"/>
          <w:sz w:val="18"/>
          <w:szCs w:val="18"/>
          <w:color w:val="auto"/>
        </w:rPr>
        <w:t xml:space="preserve"> percent of net sales, adjusted income from operations in the range of </w:t>
      </w:r>
      <w:r>
        <w:rPr>
          <w:rFonts w:ascii="Arial" w:cs="Arial" w:eastAsia="Arial" w:hAnsi="Arial"/>
          <w:sz w:val="18"/>
          <w:szCs w:val="18"/>
          <w:b w:val="1"/>
          <w:bCs w:val="1"/>
          <w:color w:val="auto"/>
        </w:rPr>
        <w:t>$205 to</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$230 </w:t>
      </w:r>
      <w:r>
        <w:rPr>
          <w:rFonts w:ascii="Arial" w:cs="Arial" w:eastAsia="Arial" w:hAnsi="Arial"/>
          <w:sz w:val="18"/>
          <w:szCs w:val="18"/>
          <w:color w:val="auto"/>
        </w:rPr>
        <w:t>million, and adjusted diluted earnings per share (EPS) in the range of $</w:t>
      </w:r>
      <w:r>
        <w:rPr>
          <w:rFonts w:ascii="Arial" w:cs="Arial" w:eastAsia="Arial" w:hAnsi="Arial"/>
          <w:sz w:val="18"/>
          <w:szCs w:val="18"/>
          <w:b w:val="1"/>
          <w:bCs w:val="1"/>
          <w:color w:val="auto"/>
        </w:rPr>
        <w:t xml:space="preserve">2.95 to $3.15, </w:t>
      </w:r>
      <w:r>
        <w:rPr>
          <w:rFonts w:ascii="Arial" w:cs="Arial" w:eastAsia="Arial" w:hAnsi="Arial"/>
          <w:sz w:val="18"/>
          <w:szCs w:val="18"/>
          <w:color w:val="auto"/>
        </w:rPr>
        <w:t>which is based on a share count of approximately</w:t>
      </w:r>
      <w:r>
        <w:rPr>
          <w:rFonts w:ascii="Arial" w:cs="Arial" w:eastAsia="Arial" w:hAnsi="Arial"/>
          <w:sz w:val="18"/>
          <w:szCs w:val="18"/>
          <w:b w:val="1"/>
          <w:bCs w:val="1"/>
          <w:color w:val="auto"/>
        </w:rPr>
        <w:t xml:space="preserve"> 50 </w:t>
      </w:r>
      <w:r>
        <w:rPr>
          <w:rFonts w:ascii="Arial" w:cs="Arial" w:eastAsia="Arial" w:hAnsi="Arial"/>
          <w:sz w:val="18"/>
          <w:szCs w:val="18"/>
          <w:color w:val="auto"/>
        </w:rPr>
        <w:t>million</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on a fully diluted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16465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40" w:right="520" w:hanging="132"/>
        <w:spacing w:after="0" w:line="215" w:lineRule="auto"/>
        <w:tabs>
          <w:tab w:leader="none" w:pos="130" w:val="left"/>
        </w:tabs>
        <w:numPr>
          <w:ilvl w:val="0"/>
          <w:numId w:val="7"/>
        </w:numPr>
        <w:rPr>
          <w:rFonts w:ascii="Arial" w:cs="Arial" w:eastAsia="Arial" w:hAnsi="Arial"/>
          <w:sz w:val="26"/>
          <w:szCs w:val="26"/>
          <w:color w:val="auto"/>
          <w:vertAlign w:val="superscript"/>
        </w:rPr>
      </w:pPr>
      <w:r>
        <w:rPr>
          <w:rFonts w:ascii="Arial" w:cs="Arial" w:eastAsia="Arial" w:hAnsi="Arial"/>
          <w:sz w:val="16"/>
          <w:szCs w:val="16"/>
          <w:color w:val="auto"/>
        </w:rPr>
        <w:t>Adjusted measures exclude certain specified items as described later in this press release and the attached schedules. Adjusted measures are based on selected non-GAAP operating results highlights in our 2015 Annual and Fourth Quarter Financial Results published on February 24, 2016.</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Webcast and Conference Call Instructions</w:t>
      </w:r>
    </w:p>
    <w:p>
      <w:pPr>
        <w:spacing w:after="0" w:line="94" w:lineRule="exact"/>
        <w:rPr>
          <w:sz w:val="20"/>
          <w:szCs w:val="20"/>
          <w:color w:val="auto"/>
        </w:rPr>
      </w:pPr>
    </w:p>
    <w:p>
      <w:pPr>
        <w:jc w:val="both"/>
        <w:ind w:right="20"/>
        <w:spacing w:after="0" w:line="417" w:lineRule="auto"/>
        <w:rPr>
          <w:sz w:val="20"/>
          <w:szCs w:val="20"/>
          <w:color w:val="auto"/>
        </w:rPr>
      </w:pPr>
      <w:r>
        <w:rPr>
          <w:rFonts w:ascii="Arial" w:cs="Arial" w:eastAsia="Arial" w:hAnsi="Arial"/>
          <w:sz w:val="16"/>
          <w:szCs w:val="16"/>
          <w:color w:val="auto"/>
        </w:rPr>
        <w:t>The conference call will be available to interested parties through a live audio webcast commencing at 8:00 AM Central time (9:00 AM Eastern Time, 2:00 pm UK Time) and accessible through the Investor Relations section of the LivaNova corporate website at www.livanova.com. To listen to the conference call live by telephone, dial 877-809-8594 (if dialing from within the U.S.) or 440-996-5677 (if dialing from outside the U.S.). The conference ID is 43508560.</w:t>
      </w:r>
    </w:p>
    <w:p>
      <w:pPr>
        <w:spacing w:after="0" w:line="209" w:lineRule="exact"/>
        <w:rPr>
          <w:sz w:val="20"/>
          <w:szCs w:val="20"/>
          <w:color w:val="auto"/>
        </w:rPr>
      </w:pPr>
    </w:p>
    <w:p>
      <w:pPr>
        <w:ind w:right="480"/>
        <w:spacing w:after="0" w:line="328" w:lineRule="auto"/>
        <w:rPr>
          <w:sz w:val="20"/>
          <w:szCs w:val="20"/>
          <w:color w:val="auto"/>
        </w:rPr>
      </w:pPr>
      <w:r>
        <w:rPr>
          <w:rFonts w:ascii="Arial" w:cs="Arial" w:eastAsia="Arial" w:hAnsi="Arial"/>
          <w:sz w:val="21"/>
          <w:szCs w:val="21"/>
          <w:color w:val="auto"/>
        </w:rPr>
        <w:t>Within 24 hours of the webcast, a replay will be available under the "Events &amp; Presentations" section of the Investor Relations portion of the LivaNova website, where it will be archived and accessible for approximately 12 months.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FF5C39"/>
        </w:rPr>
        <w:t>About LivaNova</w:t>
      </w:r>
    </w:p>
    <w:p>
      <w:pPr>
        <w:spacing w:after="0" w:line="90" w:lineRule="exact"/>
        <w:rPr>
          <w:sz w:val="20"/>
          <w:szCs w:val="20"/>
          <w:color w:val="auto"/>
        </w:rPr>
      </w:pPr>
    </w:p>
    <w:p>
      <w:pPr>
        <w:jc w:val="both"/>
        <w:spacing w:after="0" w:line="375" w:lineRule="auto"/>
        <w:rPr>
          <w:sz w:val="20"/>
          <w:szCs w:val="20"/>
          <w:color w:val="auto"/>
        </w:rPr>
      </w:pPr>
      <w:r>
        <w:rPr>
          <w:rFonts w:ascii="Arial" w:cs="Arial" w:eastAsia="Arial" w:hAnsi="Arial"/>
          <w:sz w:val="17"/>
          <w:szCs w:val="17"/>
          <w:color w:val="auto"/>
        </w:rPr>
        <w:t>LivaNova PLC is a global medical technology company formed by the merger of Sorin S.p.A, a leader in the treatment of cardiovascular diseases, and Cyberonics Inc., a medical device company with core expertise in neuromodulation. LivaNova transforms medical innovation into meaningful solutions for the benefit of patients, healthcare professionals, and healthcare systems. The Company employs approximately 4,600 employees worldwide and is headquartered in London, U.K. With a presence in more than 100 countries, LivaNova operates as three business units: Cardiac Surgery, Cardiac Rhythm Management, and Neuromodulation, with operating headquarters in Clamart (France), Mirandola (Italy) and Houston (U.S.), respectively.</w:t>
      </w:r>
    </w:p>
    <w:p>
      <w:pPr>
        <w:spacing w:after="0" w:line="161"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LivaNova is listed on NASDAQ and is admitted to the standard listing segment of the Official List of the UK's Financial Conduct Authority and to trading on the London Stock Exchange (LSE) under the ticker symbol "LIVN".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FF5C39"/>
        </w:rPr>
        <w:t>Financial Alignment, Combined Sales &amp; Operating Results, Business Unit Structure and Constant Currency</w:t>
      </w:r>
    </w:p>
    <w:p>
      <w:pPr>
        <w:spacing w:after="0" w:line="90" w:lineRule="exact"/>
        <w:rPr>
          <w:sz w:val="20"/>
          <w:szCs w:val="20"/>
          <w:color w:val="auto"/>
        </w:rPr>
      </w:pPr>
    </w:p>
    <w:p>
      <w:pPr>
        <w:jc w:val="both"/>
        <w:spacing w:after="0" w:line="358" w:lineRule="auto"/>
        <w:rPr>
          <w:sz w:val="20"/>
          <w:szCs w:val="20"/>
          <w:color w:val="auto"/>
        </w:rPr>
      </w:pPr>
      <w:r>
        <w:rPr>
          <w:rFonts w:ascii="Arial" w:cs="Arial" w:eastAsia="Arial" w:hAnsi="Arial"/>
          <w:sz w:val="18"/>
          <w:szCs w:val="18"/>
          <w:color w:val="auto"/>
        </w:rPr>
        <w:t>Cyberonics, the predecessor company to LivaNova, previously reported on a 52/53 week fiscal year calendar ending in April. With the formal change in the fiscal calendar to a fiscal year ended December 31, the historical Neuromodulation business unit sales have been aligned to correspond as closely as possible to calendar quarters.</w:t>
      </w:r>
    </w:p>
    <w:p>
      <w:pPr>
        <w:spacing w:after="0" w:line="168" w:lineRule="exact"/>
        <w:rPr>
          <w:sz w:val="20"/>
          <w:szCs w:val="20"/>
          <w:color w:val="auto"/>
        </w:rPr>
      </w:pPr>
    </w:p>
    <w:p>
      <w:pPr>
        <w:jc w:val="both"/>
        <w:spacing w:after="0" w:line="351" w:lineRule="auto"/>
        <w:rPr>
          <w:sz w:val="20"/>
          <w:szCs w:val="20"/>
          <w:color w:val="auto"/>
        </w:rPr>
      </w:pPr>
      <w:r>
        <w:rPr>
          <w:rFonts w:ascii="Arial" w:cs="Arial" w:eastAsia="Arial" w:hAnsi="Arial"/>
          <w:sz w:val="18"/>
          <w:szCs w:val="18"/>
          <w:color w:val="auto"/>
        </w:rPr>
        <w:t>Although LivaNova was a shell company with no business operations until the closing date of the merger on October 19, 2015, the sales results disclosed for periods up to and beyond that date are being provided on a combined basis, a non-GAAP formulation that combines the results of legacy Sorin and Cyberonics for the periods completed prior to the merger and periods that include results both before and after the closing of the merger. The Company believes that presenting the results of Sorin and Cyberonics in such a manner offers a meaningful representation to investors of the combined company's sales for these periods.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2" w:right="239" w:bottom="1440" w:gutter="0" w:footer="0" w:header="0"/>
        </w:sectPr>
      </w:pPr>
    </w:p>
    <w:bookmarkStart w:id="8" w:name="page9"/>
    <w:bookmarkEnd w:id="8"/>
    <w:p>
      <w:pPr>
        <w:jc w:val="both"/>
        <w:spacing w:after="0" w:line="348" w:lineRule="auto"/>
        <w:rPr>
          <w:sz w:val="20"/>
          <w:szCs w:val="20"/>
          <w:color w:val="auto"/>
        </w:rPr>
      </w:pPr>
      <w:r>
        <w:rPr>
          <w:rFonts w:ascii="Arial" w:cs="Arial" w:eastAsia="Arial" w:hAnsi="Arial"/>
          <w:sz w:val="18"/>
          <w:szCs w:val="18"/>
          <w:color w:val="auto"/>
        </w:rPr>
        <w:t>Non-GAAP operating results, unaudited, have been included for each of the quarters ended March 31, 2015, June 30, 2015, September 30, 2015 and December 31, 2015 and for the year ended December 31, 2015. These results have been prepared by management and adjusted for non-GAAP items as if the merger had occurred on January 1, 2015 but should not be considered as an alternative to Proforma Income Statements to be provided in accordance with SEC filings. Certain adjustments to legacy Sorin operating results have occurred in order to present the results in US dollars and to align these results as closely as possible to the presentation of LivaNova financial results. Company management uses these measurements as aids in monitoring the Company's ongoing financial performance from quarter to quarter and year to year on a regular basis and for benchmarking against other medical technology companies. Management believes that the presentation of these results provides a meaningful representation of the combined company's operating results for the periods presented.</w:t>
      </w:r>
    </w:p>
    <w:p>
      <w:pPr>
        <w:spacing w:after="0" w:line="178" w:lineRule="exact"/>
        <w:rPr>
          <w:sz w:val="20"/>
          <w:szCs w:val="20"/>
          <w:color w:val="auto"/>
        </w:rPr>
      </w:pPr>
    </w:p>
    <w:p>
      <w:pPr>
        <w:jc w:val="both"/>
        <w:ind w:right="20"/>
        <w:spacing w:after="0" w:line="371" w:lineRule="auto"/>
        <w:rPr>
          <w:sz w:val="20"/>
          <w:szCs w:val="20"/>
          <w:color w:val="auto"/>
        </w:rPr>
      </w:pPr>
      <w:r>
        <w:rPr>
          <w:rFonts w:ascii="Arial" w:cs="Arial" w:eastAsia="Arial" w:hAnsi="Arial"/>
          <w:sz w:val="18"/>
          <w:szCs w:val="18"/>
          <w:color w:val="auto"/>
        </w:rPr>
        <w:t>The sales and operating results for legacy Cyberonics for the quarters ended March 31, June 30 and September 30 were aligned to provide comparative information. The actual periods ended on March 27, June 26 and September 25 respectively.</w:t>
      </w:r>
    </w:p>
    <w:p>
      <w:pPr>
        <w:spacing w:after="0" w:line="157" w:lineRule="exact"/>
        <w:rPr>
          <w:sz w:val="20"/>
          <w:szCs w:val="20"/>
          <w:color w:val="auto"/>
        </w:rPr>
      </w:pPr>
    </w:p>
    <w:p>
      <w:pPr>
        <w:jc w:val="both"/>
        <w:spacing w:after="0" w:line="386" w:lineRule="auto"/>
        <w:rPr>
          <w:sz w:val="20"/>
          <w:szCs w:val="20"/>
          <w:color w:val="auto"/>
        </w:rPr>
      </w:pPr>
      <w:r>
        <w:rPr>
          <w:rFonts w:ascii="Arial" w:cs="Arial" w:eastAsia="Arial" w:hAnsi="Arial"/>
          <w:sz w:val="17"/>
          <w:szCs w:val="17"/>
          <w:color w:val="auto"/>
        </w:rPr>
        <w:t>LivaNova (as the successor to Sorin and Cyberonics on a combined basis) operates under a Business Unit structure with Cardiac Surgery, CRM and Neuromodulation accounting for substantially all of the sales during the periods referred to herein. The combined company also operates a New Ventures group, dedicated to developing new technologies, particularly in the areas of heart failure, sleep apnea and percutaneous mitral valve.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FF5C39"/>
        </w:rPr>
        <w:t>Use of Non-GAAP Financial Measures</w:t>
      </w:r>
    </w:p>
    <w:p>
      <w:pPr>
        <w:spacing w:after="0" w:line="90" w:lineRule="exact"/>
        <w:rPr>
          <w:sz w:val="20"/>
          <w:szCs w:val="20"/>
          <w:color w:val="auto"/>
        </w:rPr>
      </w:pPr>
    </w:p>
    <w:p>
      <w:pPr>
        <w:jc w:val="both"/>
        <w:spacing w:after="0" w:line="349" w:lineRule="auto"/>
        <w:rPr>
          <w:sz w:val="20"/>
          <w:szCs w:val="20"/>
          <w:color w:val="auto"/>
        </w:rPr>
      </w:pPr>
      <w:r>
        <w:rPr>
          <w:rFonts w:ascii="Arial" w:cs="Arial" w:eastAsia="Arial" w:hAnsi="Arial"/>
          <w:sz w:val="18"/>
          <w:szCs w:val="18"/>
          <w:color w:val="auto"/>
        </w:rPr>
        <w:t>In this press release, management has disclosed financial measurements that present financial information not necessarily in accordance with Generally Accepted Accounting Principles (GAAP). Company management uses these measurements as aids in monitoring the Company's ongoing financial performance from quarter to quarter and year to year on a regular basis and for benchmarking against other medical technology companies. Non-GAAP financial measures used by the Company may be calculated differently from, and therefore may not be comparable to, similarly-titled measures used by other companies. These non-GAAP financial measures should be considered along with, but not as alternatives to, the operating performance measure as prescribed by GAAP.</w:t>
      </w:r>
    </w:p>
    <w:p>
      <w:pPr>
        <w:spacing w:after="0" w:line="193" w:lineRule="exact"/>
        <w:rPr>
          <w:sz w:val="20"/>
          <w:szCs w:val="20"/>
          <w:color w:val="auto"/>
        </w:rPr>
      </w:pPr>
    </w:p>
    <w:p>
      <w:pPr>
        <w:jc w:val="both"/>
        <w:spacing w:after="0" w:line="353" w:lineRule="auto"/>
        <w:rPr>
          <w:sz w:val="20"/>
          <w:szCs w:val="20"/>
          <w:color w:val="auto"/>
        </w:rPr>
      </w:pPr>
      <w:r>
        <w:rPr>
          <w:rFonts w:ascii="Arial" w:cs="Arial" w:eastAsia="Arial" w:hAnsi="Arial"/>
          <w:sz w:val="18"/>
          <w:szCs w:val="18"/>
          <w:color w:val="auto"/>
        </w:rPr>
        <w:t>Unless otherwise noted, all sales growth rates in this release reflect comparable, constant currency growth. Management believes that referring to comparable, constant currency growth is the most useful way to evaluate the sales performance of LivaNova and to compare the sales performance of current periods to prior periods on a consistent basis. Constant currency growth, a non-GAAP financial measure, measures the change in sales between current and prior year periods using average exchange rates in effect during the applicable prior year period.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FF5C39"/>
        </w:rPr>
        <w:t>Safe harbor statement</w:t>
      </w:r>
    </w:p>
    <w:p>
      <w:pPr>
        <w:spacing w:after="0" w:line="90" w:lineRule="exact"/>
        <w:rPr>
          <w:sz w:val="20"/>
          <w:szCs w:val="20"/>
          <w:color w:val="auto"/>
        </w:rPr>
      </w:pPr>
    </w:p>
    <w:p>
      <w:pPr>
        <w:jc w:val="both"/>
        <w:spacing w:after="0" w:line="389" w:lineRule="auto"/>
        <w:rPr>
          <w:sz w:val="20"/>
          <w:szCs w:val="20"/>
          <w:color w:val="auto"/>
        </w:rPr>
      </w:pPr>
      <w:r>
        <w:rPr>
          <w:rFonts w:ascii="Arial" w:cs="Arial" w:eastAsia="Arial" w:hAnsi="Arial"/>
          <w:sz w:val="16"/>
          <w:szCs w:val="16"/>
          <w:color w:val="auto"/>
        </w:rPr>
        <w:t>This press release contains forward-looking statements within the meaning of Section 27A of the United States Securities Act of 1933, as amended, and Section 21E of the United States Securities Exchange Act of 1934, as amended. Forward-looking statements are not historical facts but are based on certain assumptions of management and describe the Company's future plans, strategies and expectations.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Forward-looking statements contained in this press release are based on information presently available to LivaNova and assumptions that the Company believes to be reasonable, but are inherently uncertain. As a result, our actual results, performance or achievements may differ materially from those expressed or implied by these forward-looking statements, which are not guarantees of future performance and involve known and unknown risks, uncertainties and other factors that are, in some cases, beyond the Company's control. Investors are cautioned that all such statements involve risks and uncertainties, including without limitation, statements concerning developing novel opportunities in neuromodulation, heart failure, sleep apnea and percutaneous mitral valve, creating new innovative solutions that benefit patients, healthcare professionals, and healthcare systems, and building significant shareholder value. Important factors that may cause actual results to differ include, but are not limited to: (i) risks that the legacy businesses of Cyberonics, Inc. and Sorin S.p.A. (together, the "combined companies") will not be integrated successfully or that the combined companies will not realize estimated cost savings, value of certain tax assets, synergies and growth, or that such benefits may take longer to realize than expected; (ii) the inability of LivaNova to meet expectations regarding the timing, completion and accounting of tax treatments; (iii) risks relating to unanticipated costs of integration, including operating costs, customer loss or business disruption being greater than expected; (iv) our organizational and governance structure; (v) reductions in customer spending, a slowdown in customer payments and changes in customer demand for products and services; (vi) unanticipated changes relating to competitive factors in the industries in which LivaNova operates; (vii) the ability to hire and retain key personnel; (viii) the ability to attract new customers and retain existing customers in the manner anticipated; (ix) the reliance on and integration of information technology systems; (x) changes in legislation or governmental regulations affecting LivaNova; (xi) international, national or local economic, social or political conditions that could adversely affect LivaNova, its partners or its customers; (xii) conditions in the credit markets; (xiii) business and other financial risks inherent to the industries in which LivaNova operates; (xiv) risks associated with assumptions made in connection with critical accounting estimates and legal proceedings; (xv) LivaNova's international operations, which are subject to the risks of currency fluctuations and foreign exchange controls; (xvi) and the potential of international unrest, economic downturn or effects of currencies, tax assessments, tax adjustments, anticipated tax rates, raw material costs or availability, benefit or retirement plan costs, or other regulatory compliance costs. The foregoing list of factors is not exhaustive. You should carefully consider the foregoing factors and the other risks and uncertainties that affect the Company's business, including those described in the "Risk Factors" section of Annual Reports on Form 10-K, Quarterly Reports on Form 10-Q, Current Reports on Form 8-K, the Registration Statement on Form S-4 and other documents filed from time to time with the United States Securities and Exchange Commission by LivaNova. LivaNova does not give any assurance (1) that LivaNova will achieve its expectations, or (2) concerning any result or the timing thereof, in each case, with respect to any regulatory action, administrative proceedings, government investigations, litigation, warning letters, consent decree, cost reductions, business strategies, earnings or revenue trends or future financial results.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10" w:name="page11"/>
    <w:bookmarkEnd w:id="10"/>
    <w:p>
      <w:pPr>
        <w:jc w:val="both"/>
        <w:spacing w:after="0" w:line="375" w:lineRule="auto"/>
        <w:rPr>
          <w:sz w:val="20"/>
          <w:szCs w:val="20"/>
          <w:color w:val="auto"/>
        </w:rPr>
      </w:pPr>
      <w:r>
        <w:rPr>
          <w:rFonts w:ascii="Arial" w:cs="Arial" w:eastAsia="Arial" w:hAnsi="Arial"/>
          <w:sz w:val="17"/>
          <w:szCs w:val="17"/>
          <w:color w:val="auto"/>
        </w:rPr>
        <w:t>All information in this press release is as of the date of its release. The Company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 We caution you not to place undue reliance on any forward-looking statements, which are made only as of the date of this press release.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please visit www.livanova.com</w:t>
      </w:r>
      <w:r>
        <w:rPr>
          <w:rFonts w:ascii="Arial" w:cs="Arial" w:eastAsia="Arial" w:hAnsi="Arial"/>
          <w:sz w:val="18"/>
          <w:szCs w:val="18"/>
          <w:color w:val="auto"/>
        </w:rPr>
        <w:t>,</w:t>
      </w:r>
      <w:r>
        <w:rPr>
          <w:rFonts w:ascii="Arial" w:cs="Arial" w:eastAsia="Arial" w:hAnsi="Arial"/>
          <w:sz w:val="18"/>
          <w:szCs w:val="18"/>
          <w:b w:val="1"/>
          <w:bCs w:val="1"/>
          <w:color w:val="auto"/>
        </w:rPr>
        <w:t xml:space="preserve"> or contact:</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and Media</w:t>
      </w:r>
    </w:p>
    <w:p>
      <w:pPr>
        <w:spacing w:after="0" w:line="234" w:lineRule="auto"/>
        <w:rPr>
          <w:sz w:val="20"/>
          <w:szCs w:val="20"/>
          <w:color w:val="auto"/>
        </w:rPr>
      </w:pPr>
      <w:r>
        <w:rPr>
          <w:rFonts w:ascii="Arial" w:cs="Arial" w:eastAsia="Arial" w:hAnsi="Arial"/>
          <w:sz w:val="18"/>
          <w:szCs w:val="18"/>
          <w:b w:val="1"/>
          <w:bCs w:val="1"/>
          <w:color w:val="auto"/>
        </w:rPr>
        <w:t>Karen King</w:t>
      </w:r>
    </w:p>
    <w:p>
      <w:pPr>
        <w:spacing w:after="0" w:line="235" w:lineRule="auto"/>
        <w:rPr>
          <w:sz w:val="20"/>
          <w:szCs w:val="20"/>
          <w:color w:val="auto"/>
        </w:rPr>
      </w:pPr>
      <w:r>
        <w:rPr>
          <w:rFonts w:ascii="Arial" w:cs="Arial" w:eastAsia="Arial" w:hAnsi="Arial"/>
          <w:sz w:val="18"/>
          <w:szCs w:val="18"/>
          <w:color w:val="auto"/>
        </w:rPr>
        <w:t>Vice President, Investor Relations &amp; Corporate Communications</w:t>
      </w:r>
    </w:p>
    <w:p>
      <w:pPr>
        <w:spacing w:after="0" w:line="235" w:lineRule="auto"/>
        <w:rPr>
          <w:sz w:val="20"/>
          <w:szCs w:val="20"/>
          <w:color w:val="auto"/>
        </w:rPr>
      </w:pPr>
      <w:r>
        <w:rPr>
          <w:rFonts w:ascii="Arial" w:cs="Arial" w:eastAsia="Arial" w:hAnsi="Arial"/>
          <w:sz w:val="18"/>
          <w:szCs w:val="18"/>
          <w:color w:val="auto"/>
        </w:rPr>
        <w:t>Phone: +1 (281) 228-7262</w:t>
      </w:r>
    </w:p>
    <w:p>
      <w:pPr>
        <w:spacing w:after="0" w:line="235" w:lineRule="auto"/>
        <w:rPr>
          <w:sz w:val="20"/>
          <w:szCs w:val="20"/>
          <w:color w:val="auto"/>
        </w:rPr>
      </w:pPr>
      <w:r>
        <w:rPr>
          <w:rFonts w:ascii="Arial" w:cs="Arial" w:eastAsia="Arial" w:hAnsi="Arial"/>
          <w:sz w:val="18"/>
          <w:szCs w:val="18"/>
          <w:color w:val="auto"/>
        </w:rPr>
        <w:t>Fax: +1 (281) 218-9332</w:t>
      </w:r>
    </w:p>
    <w:p>
      <w:pPr>
        <w:spacing w:after="0"/>
        <w:rPr>
          <w:sz w:val="20"/>
          <w:szCs w:val="20"/>
          <w:color w:val="auto"/>
        </w:rPr>
      </w:pPr>
      <w:r>
        <w:rPr>
          <w:rFonts w:ascii="Arial" w:cs="Arial" w:eastAsia="Arial" w:hAnsi="Arial"/>
          <w:sz w:val="18"/>
          <w:szCs w:val="18"/>
          <w:color w:val="auto"/>
        </w:rPr>
        <w:t>e-mail: corporate.communications@livanova.com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LIVANOVA PLC</w:t>
      </w:r>
    </w:p>
    <w:p>
      <w:pPr>
        <w:spacing w:after="0" w:line="187" w:lineRule="auto"/>
        <w:rPr>
          <w:sz w:val="20"/>
          <w:szCs w:val="20"/>
          <w:color w:val="auto"/>
        </w:rPr>
      </w:pPr>
      <w:r>
        <w:rPr>
          <w:rFonts w:ascii="Arial" w:cs="Arial" w:eastAsia="Arial" w:hAnsi="Arial"/>
          <w:sz w:val="18"/>
          <w:szCs w:val="18"/>
          <w:b w:val="1"/>
          <w:bCs w:val="1"/>
          <w:color w:val="auto"/>
        </w:rPr>
        <w:t>QUARTERLY SALES TREND BY BUSINESS UNIT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 in millions, CONSTANT CURRENCY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1Q15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2Q15</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3Q15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4Q15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FY15</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b w:val="1"/>
                <w:bCs w:val="1"/>
                <w:color w:val="auto"/>
              </w:rPr>
              <w:t>1Q16</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b w:val="1"/>
                <w:bCs w:val="1"/>
                <w:color w:val="auto"/>
              </w:rPr>
              <w:t>2Q16</w:t>
            </w:r>
          </w:p>
        </w:tc>
        <w:tc>
          <w:tcPr>
            <w:tcW w:w="220" w:type="dxa"/>
            <w:vAlign w:val="bottom"/>
          </w:tcPr>
          <w:p>
            <w:pPr>
              <w:spacing w:after="0"/>
              <w:rPr>
                <w:sz w:val="17"/>
                <w:szCs w:val="17"/>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rPr>
              <w:t>2Q16 vs.</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b w:val="1"/>
                <w:bCs w:val="1"/>
                <w:color w:val="auto"/>
              </w:rPr>
              <w:t>2Q15</w:t>
            </w:r>
          </w:p>
        </w:tc>
        <w:tc>
          <w:tcPr>
            <w:tcW w:w="0" w:type="dxa"/>
            <w:vAlign w:val="bottom"/>
          </w:tcPr>
          <w:p>
            <w:pPr>
              <w:spacing w:after="0"/>
              <w:rPr>
                <w:sz w:val="1"/>
                <w:szCs w:val="1"/>
                <w:color w:val="auto"/>
              </w:rPr>
            </w:pPr>
          </w:p>
        </w:tc>
      </w:tr>
      <w:tr>
        <w:trPr>
          <w:trHeight w:val="257"/>
        </w:trPr>
        <w:tc>
          <w:tcPr>
            <w:tcW w:w="1960" w:type="dxa"/>
            <w:vAlign w:val="bottom"/>
          </w:tcPr>
          <w:p>
            <w:pPr>
              <w:ind w:left="20"/>
              <w:spacing w:after="0"/>
              <w:rPr>
                <w:sz w:val="20"/>
                <w:szCs w:val="20"/>
                <w:color w:val="auto"/>
              </w:rPr>
            </w:pPr>
            <w:r>
              <w:rPr>
                <w:rFonts w:ascii="Arial" w:cs="Arial" w:eastAsia="Arial" w:hAnsi="Arial"/>
                <w:sz w:val="18"/>
                <w:szCs w:val="18"/>
                <w:b w:val="1"/>
                <w:bCs w:val="1"/>
                <w:color w:val="auto"/>
              </w:rPr>
              <w:t>Net sales</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gridSpan w:val="2"/>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gridSpan w:val="2"/>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gridSpan w:val="2"/>
          </w:tcPr>
          <w:p>
            <w:pPr>
              <w:spacing w:after="0"/>
              <w:rPr>
                <w:sz w:val="19"/>
                <w:szCs w:val="19"/>
                <w:color w:val="auto"/>
              </w:rPr>
            </w:pPr>
          </w:p>
        </w:tc>
        <w:tc>
          <w:tcPr>
            <w:tcW w:w="800" w:type="dxa"/>
            <w:vAlign w:val="bottom"/>
          </w:tcPr>
          <w:p>
            <w:pPr>
              <w:spacing w:after="0"/>
              <w:rPr>
                <w:sz w:val="19"/>
                <w:szCs w:val="19"/>
                <w:color w:val="auto"/>
              </w:rPr>
            </w:pPr>
          </w:p>
        </w:tc>
        <w:tc>
          <w:tcPr>
            <w:tcW w:w="13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Cardio Pulmonary</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125.9</w:t>
            </w:r>
          </w:p>
        </w:tc>
        <w:tc>
          <w:tcPr>
            <w:tcW w:w="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476.4</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50"/>
        </w:trPr>
        <w:tc>
          <w:tcPr>
            <w:tcW w:w="1960" w:type="dxa"/>
            <w:vAlign w:val="bottom"/>
          </w:tcPr>
          <w:p>
            <w:pPr>
              <w:ind w:left="300"/>
              <w:spacing w:after="0"/>
              <w:rPr>
                <w:sz w:val="20"/>
                <w:szCs w:val="20"/>
                <w:color w:val="auto"/>
              </w:rPr>
            </w:pPr>
            <w:r>
              <w:rPr>
                <w:rFonts w:ascii="Arial" w:cs="Arial" w:eastAsia="Arial" w:hAnsi="Arial"/>
                <w:sz w:val="18"/>
                <w:szCs w:val="18"/>
                <w:color w:val="auto"/>
              </w:rPr>
              <w:t>Heart Valves</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19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60" w:type="dxa"/>
            <w:vAlign w:val="bottom"/>
          </w:tcPr>
          <w:p>
            <w:pPr>
              <w:ind w:left="20"/>
              <w:spacing w:after="0"/>
              <w:rPr>
                <w:sz w:val="20"/>
                <w:szCs w:val="20"/>
                <w:color w:val="auto"/>
              </w:rPr>
            </w:pPr>
            <w:r>
              <w:rPr>
                <w:rFonts w:ascii="Arial" w:cs="Arial" w:eastAsia="Arial" w:hAnsi="Arial"/>
                <w:sz w:val="18"/>
                <w:szCs w:val="18"/>
                <w:color w:val="auto"/>
              </w:rPr>
              <w:t>Cardiac Surgery Total</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162.3</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147.2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164.9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616.6</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146.8</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160.7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1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CRM</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75.6</w:t>
            </w: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43"/>
        </w:trPr>
        <w:tc>
          <w:tcPr>
            <w:tcW w:w="1960" w:type="dxa"/>
            <w:vAlign w:val="bottom"/>
          </w:tcPr>
          <w:p>
            <w:pPr>
              <w:ind w:left="20"/>
              <w:spacing w:after="0"/>
              <w:rPr>
                <w:sz w:val="20"/>
                <w:szCs w:val="20"/>
                <w:color w:val="auto"/>
              </w:rPr>
            </w:pPr>
            <w:r>
              <w:rPr>
                <w:rFonts w:ascii="Arial" w:cs="Arial" w:eastAsia="Arial" w:hAnsi="Arial"/>
                <w:sz w:val="18"/>
                <w:szCs w:val="18"/>
                <w:color w:val="auto"/>
              </w:rPr>
              <w:t>Neuromodulation</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78.4</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324.3</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81.6</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90.1</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19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960" w:type="dxa"/>
            <w:vAlign w:val="bottom"/>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 )</w:t>
            </w:r>
          </w:p>
        </w:tc>
        <w:tc>
          <w:tcPr>
            <w:tcW w:w="0" w:type="dxa"/>
            <w:vAlign w:val="bottom"/>
          </w:tcPr>
          <w:p>
            <w:pPr>
              <w:spacing w:after="0"/>
              <w:rPr>
                <w:sz w:val="1"/>
                <w:szCs w:val="1"/>
                <w:color w:val="auto"/>
              </w:rPr>
            </w:pPr>
          </w:p>
        </w:tc>
      </w:tr>
      <w:tr>
        <w:trPr>
          <w:trHeight w:val="243"/>
        </w:trPr>
        <w:tc>
          <w:tcPr>
            <w:tcW w:w="19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20" w:type="dxa"/>
            <w:vAlign w:val="bottom"/>
            <w:gridSpan w:val="2"/>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500" w:type="dxa"/>
            <w:vAlign w:val="bottom"/>
            <w:gridSpan w:val="2"/>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283.4</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317.1</w:t>
            </w:r>
          </w:p>
        </w:tc>
        <w:tc>
          <w:tcPr>
            <w:tcW w:w="3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286.1</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318.0</w:t>
            </w:r>
          </w:p>
        </w:tc>
        <w:tc>
          <w:tcPr>
            <w:tcW w:w="2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1,204.6</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291.8</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319.3</w:t>
            </w: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9"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SALES TREND BY BUSINESS UNIT</w:t>
      </w:r>
    </w:p>
    <w:p>
      <w:pPr>
        <w:spacing w:after="0"/>
        <w:rPr>
          <w:sz w:val="20"/>
          <w:szCs w:val="20"/>
          <w:color w:val="auto"/>
        </w:rPr>
      </w:pPr>
      <w:r>
        <w:rPr>
          <w:rFonts w:ascii="Arial" w:cs="Arial" w:eastAsia="Arial" w:hAnsi="Arial"/>
          <w:sz w:val="18"/>
          <w:szCs w:val="18"/>
          <w:b w:val="1"/>
          <w:bCs w:val="1"/>
          <w:color w:val="auto"/>
        </w:rPr>
        <w:t>U.S. dollar in millions, REPORTED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1Q15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2Q15</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3Q15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4Q15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FY15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b w:val="1"/>
                <w:bCs w:val="1"/>
                <w:color w:val="auto"/>
              </w:rPr>
              <w:t>1Q16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b w:val="1"/>
                <w:bCs w:val="1"/>
                <w:color w:val="auto"/>
              </w:rPr>
              <w:t>2Q16</w:t>
            </w: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1920" w:type="dxa"/>
            <w:vAlign w:val="bottom"/>
          </w:tcPr>
          <w:p>
            <w:pPr>
              <w:ind w:left="20"/>
              <w:spacing w:after="0"/>
              <w:rPr>
                <w:sz w:val="20"/>
                <w:szCs w:val="20"/>
                <w:color w:val="auto"/>
              </w:rPr>
            </w:pPr>
            <w:r>
              <w:rPr>
                <w:rFonts w:ascii="Arial" w:cs="Arial" w:eastAsia="Arial" w:hAnsi="Arial"/>
                <w:sz w:val="18"/>
                <w:szCs w:val="18"/>
                <w:b w:val="1"/>
                <w:bCs w:val="1"/>
                <w:color w:val="auto"/>
              </w:rPr>
              <w:t>Net sales</w:t>
            </w: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1"/>
        </w:trPr>
        <w:tc>
          <w:tcPr>
            <w:tcW w:w="1920" w:type="dxa"/>
            <w:vAlign w:val="bottom"/>
          </w:tcPr>
          <w:p>
            <w:pPr>
              <w:ind w:left="300"/>
              <w:spacing w:after="0"/>
              <w:rPr>
                <w:sz w:val="20"/>
                <w:szCs w:val="20"/>
                <w:color w:val="auto"/>
              </w:rPr>
            </w:pPr>
            <w:r>
              <w:rPr>
                <w:rFonts w:ascii="Arial" w:cs="Arial" w:eastAsia="Arial" w:hAnsi="Arial"/>
                <w:sz w:val="18"/>
                <w:szCs w:val="18"/>
                <w:color w:val="auto"/>
              </w:rPr>
              <w:t>Cardio Pulmonary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107.5</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125.9</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113.0</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130.0</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476.4</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110.9</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124.0</w:t>
            </w:r>
          </w:p>
        </w:tc>
        <w:tc>
          <w:tcPr>
            <w:tcW w:w="0" w:type="dxa"/>
            <w:vAlign w:val="bottom"/>
          </w:tcPr>
          <w:p>
            <w:pPr>
              <w:spacing w:after="0"/>
              <w:rPr>
                <w:sz w:val="1"/>
                <w:szCs w:val="1"/>
                <w:color w:val="auto"/>
              </w:rPr>
            </w:pPr>
          </w:p>
        </w:tc>
      </w:tr>
      <w:tr>
        <w:trPr>
          <w:trHeight w:val="282"/>
        </w:trPr>
        <w:tc>
          <w:tcPr>
            <w:tcW w:w="1920" w:type="dxa"/>
            <w:vAlign w:val="bottom"/>
          </w:tcPr>
          <w:p>
            <w:pPr>
              <w:ind w:left="300"/>
              <w:spacing w:after="0"/>
              <w:rPr>
                <w:sz w:val="20"/>
                <w:szCs w:val="20"/>
                <w:color w:val="auto"/>
              </w:rPr>
            </w:pPr>
            <w:r>
              <w:rPr>
                <w:rFonts w:ascii="Arial" w:cs="Arial" w:eastAsia="Arial" w:hAnsi="Arial"/>
                <w:sz w:val="18"/>
                <w:szCs w:val="18"/>
                <w:color w:val="auto"/>
              </w:rPr>
              <w:t>Heart Valves</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w:t>
            </w: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37.1</w:t>
            </w:r>
          </w:p>
        </w:tc>
        <w:tc>
          <w:tcPr>
            <w:tcW w:w="0" w:type="dxa"/>
            <w:vAlign w:val="bottom"/>
          </w:tcPr>
          <w:p>
            <w:pPr>
              <w:spacing w:after="0"/>
              <w:rPr>
                <w:sz w:val="1"/>
                <w:szCs w:val="1"/>
                <w:color w:val="auto"/>
              </w:rPr>
            </w:pPr>
          </w:p>
        </w:tc>
      </w:tr>
      <w:tr>
        <w:trPr>
          <w:trHeight w:val="454"/>
        </w:trPr>
        <w:tc>
          <w:tcPr>
            <w:tcW w:w="1920" w:type="dxa"/>
            <w:vAlign w:val="bottom"/>
          </w:tcPr>
          <w:p>
            <w:pPr>
              <w:ind w:left="20"/>
              <w:spacing w:after="0"/>
              <w:rPr>
                <w:sz w:val="20"/>
                <w:szCs w:val="20"/>
                <w:color w:val="auto"/>
              </w:rPr>
            </w:pPr>
            <w:r>
              <w:rPr>
                <w:rFonts w:ascii="Arial" w:cs="Arial" w:eastAsia="Arial" w:hAnsi="Arial"/>
                <w:sz w:val="18"/>
                <w:szCs w:val="18"/>
                <w:color w:val="auto"/>
              </w:rPr>
              <w:t>Cardiac Surgery Total</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142.2</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162.3</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164.9</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616.6</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143.4</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161.1</w:t>
            </w:r>
          </w:p>
        </w:tc>
        <w:tc>
          <w:tcPr>
            <w:tcW w:w="0" w:type="dxa"/>
            <w:vAlign w:val="bottom"/>
          </w:tcPr>
          <w:p>
            <w:pPr>
              <w:spacing w:after="0"/>
              <w:rPr>
                <w:sz w:val="1"/>
                <w:szCs w:val="1"/>
                <w:color w:val="auto"/>
              </w:rPr>
            </w:pPr>
          </w:p>
        </w:tc>
      </w:tr>
      <w:tr>
        <w:trPr>
          <w:trHeight w:val="243"/>
        </w:trPr>
        <w:tc>
          <w:tcPr>
            <w:tcW w:w="1920" w:type="dxa"/>
            <w:vAlign w:val="bottom"/>
          </w:tcPr>
          <w:p>
            <w:pPr>
              <w:ind w:left="20"/>
              <w:spacing w:after="0"/>
              <w:rPr>
                <w:sz w:val="20"/>
                <w:szCs w:val="20"/>
                <w:color w:val="auto"/>
              </w:rPr>
            </w:pPr>
            <w:r>
              <w:rPr>
                <w:rFonts w:ascii="Arial" w:cs="Arial" w:eastAsia="Arial" w:hAnsi="Arial"/>
                <w:sz w:val="18"/>
                <w:szCs w:val="18"/>
                <w:color w:val="auto"/>
              </w:rPr>
              <w:t>CRM</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75.6</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260.5</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61.7</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69.6</w:t>
            </w:r>
          </w:p>
        </w:tc>
        <w:tc>
          <w:tcPr>
            <w:tcW w:w="0" w:type="dxa"/>
            <w:vAlign w:val="bottom"/>
          </w:tcPr>
          <w:p>
            <w:pPr>
              <w:spacing w:after="0"/>
              <w:rPr>
                <w:sz w:val="1"/>
                <w:szCs w:val="1"/>
                <w:color w:val="auto"/>
              </w:rPr>
            </w:pPr>
          </w:p>
        </w:tc>
      </w:tr>
      <w:tr>
        <w:trPr>
          <w:trHeight w:val="288"/>
        </w:trPr>
        <w:tc>
          <w:tcPr>
            <w:tcW w:w="1920" w:type="dxa"/>
            <w:vAlign w:val="bottom"/>
          </w:tcPr>
          <w:p>
            <w:pPr>
              <w:ind w:left="20"/>
              <w:spacing w:after="0"/>
              <w:rPr>
                <w:sz w:val="20"/>
                <w:szCs w:val="20"/>
                <w:color w:val="auto"/>
              </w:rPr>
            </w:pPr>
            <w:r>
              <w:rPr>
                <w:rFonts w:ascii="Arial" w:cs="Arial" w:eastAsia="Arial" w:hAnsi="Arial"/>
                <w:sz w:val="18"/>
                <w:szCs w:val="18"/>
                <w:color w:val="auto"/>
              </w:rPr>
              <w:t>Neuromodulation</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70.1</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78.4</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84.3</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91.5</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324.3</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81.4</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90.0</w:t>
            </w:r>
          </w:p>
        </w:tc>
        <w:tc>
          <w:tcPr>
            <w:tcW w:w="0" w:type="dxa"/>
            <w:vAlign w:val="bottom"/>
          </w:tcPr>
          <w:p>
            <w:pPr>
              <w:spacing w:after="0"/>
              <w:rPr>
                <w:sz w:val="1"/>
                <w:szCs w:val="1"/>
                <w:color w:val="auto"/>
              </w:rPr>
            </w:pPr>
          </w:p>
        </w:tc>
      </w:tr>
      <w:tr>
        <w:trPr>
          <w:trHeight w:val="480"/>
        </w:trPr>
        <w:tc>
          <w:tcPr>
            <w:tcW w:w="192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w:t>
            </w: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w:t>
            </w:r>
          </w:p>
        </w:tc>
        <w:tc>
          <w:tcPr>
            <w:tcW w:w="0" w:type="dxa"/>
            <w:vAlign w:val="bottom"/>
          </w:tcPr>
          <w:p>
            <w:pPr>
              <w:spacing w:after="0"/>
              <w:rPr>
                <w:sz w:val="1"/>
                <w:szCs w:val="1"/>
                <w:color w:val="auto"/>
              </w:rPr>
            </w:pPr>
          </w:p>
        </w:tc>
      </w:tr>
      <w:tr>
        <w:trPr>
          <w:trHeight w:val="486"/>
        </w:trPr>
        <w:tc>
          <w:tcPr>
            <w:tcW w:w="19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w:t>
            </w:r>
          </w:p>
        </w:tc>
        <w:tc>
          <w:tcPr>
            <w:tcW w:w="220" w:type="dxa"/>
            <w:vAlign w:val="bottom"/>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317.1</w:t>
            </w:r>
          </w:p>
        </w:tc>
        <w:tc>
          <w:tcPr>
            <w:tcW w:w="300" w:type="dxa"/>
            <w:vAlign w:val="bottom"/>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w:t>
            </w:r>
          </w:p>
        </w:tc>
        <w:tc>
          <w:tcPr>
            <w:tcW w:w="220" w:type="dxa"/>
            <w:vAlign w:val="bottom"/>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r>
              <w:rPr>
                <w:rFonts w:ascii="Arial" w:cs="Arial" w:eastAsia="Arial" w:hAnsi="Arial"/>
                <w:sz w:val="18"/>
                <w:szCs w:val="18"/>
                <w:u w:val="single" w:color="auto"/>
                <w:color w:val="auto"/>
              </w:rPr>
              <w:t>0</w:t>
            </w:r>
          </w:p>
        </w:tc>
        <w:tc>
          <w:tcPr>
            <w:tcW w:w="220" w:type="dxa"/>
            <w:vAlign w:val="bottom"/>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1,204.6</w:t>
            </w:r>
          </w:p>
        </w:tc>
        <w:tc>
          <w:tcPr>
            <w:tcW w:w="300" w:type="dxa"/>
            <w:vAlign w:val="bottom"/>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w:t>
            </w:r>
          </w:p>
        </w:tc>
        <w:tc>
          <w:tcPr>
            <w:tcW w:w="260" w:type="dxa"/>
            <w:vAlign w:val="bottom"/>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321.0</w:t>
            </w:r>
          </w:p>
        </w:tc>
        <w:tc>
          <w:tcPr>
            <w:tcW w:w="0" w:type="dxa"/>
            <w:vAlign w:val="bottom"/>
          </w:tcPr>
          <w:p>
            <w:pPr>
              <w:spacing w:after="0"/>
              <w:rPr>
                <w:sz w:val="1"/>
                <w:szCs w:val="1"/>
                <w:color w:val="auto"/>
              </w:rPr>
            </w:pPr>
          </w:p>
        </w:tc>
      </w:tr>
      <w:tr>
        <w:trPr>
          <w:trHeight w:val="21"/>
        </w:trPr>
        <w:tc>
          <w:tcPr>
            <w:tcW w:w="19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3000" w:type="dxa"/>
            <w:vAlign w:val="bottom"/>
            <w:gridSpan w:val="3"/>
          </w:tcPr>
          <w:p>
            <w:pPr>
              <w:spacing w:after="0"/>
              <w:rPr>
                <w:sz w:val="20"/>
                <w:szCs w:val="20"/>
                <w:color w:val="auto"/>
              </w:rPr>
            </w:pPr>
            <w:r>
              <w:rPr>
                <w:rFonts w:ascii="Arial" w:cs="Arial" w:eastAsia="Arial" w:hAnsi="Arial"/>
                <w:sz w:val="18"/>
                <w:szCs w:val="18"/>
                <w:color w:val="auto"/>
                <w:w w:val="94"/>
              </w:rPr>
              <w:t>*Numbers may not add due to rounding</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7"/>
        </w:trPr>
        <w:tc>
          <w:tcPr>
            <w:tcW w:w="1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-2392680</wp:posOffset>
            </wp:positionV>
            <wp:extent cx="72466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-2066925</wp:posOffset>
            </wp:positionV>
            <wp:extent cx="72466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-1758315</wp:posOffset>
            </wp:positionV>
            <wp:extent cx="72466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-1449705</wp:posOffset>
            </wp:positionV>
            <wp:extent cx="72466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-1123950</wp:posOffset>
            </wp:positionV>
            <wp:extent cx="72466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20"/>
        <w:spacing w:after="0"/>
        <w:rPr>
          <w:sz w:val="20"/>
          <w:szCs w:val="20"/>
          <w:color w:val="auto"/>
        </w:rPr>
      </w:pPr>
      <w:r>
        <w:rPr>
          <w:rFonts w:ascii="Arial" w:cs="Arial" w:eastAsia="Arial" w:hAnsi="Arial"/>
          <w:sz w:val="16"/>
          <w:szCs w:val="16"/>
          <w:b w:val="1"/>
          <w:bCs w:val="1"/>
          <w:color w:val="auto"/>
        </w:rPr>
        <w:t>2Q16 vs.</w:t>
      </w:r>
    </w:p>
    <w:p>
      <w:pPr>
        <w:jc w:val="center"/>
        <w:ind w:right="220"/>
        <w:spacing w:after="0"/>
        <w:rPr>
          <w:sz w:val="20"/>
          <w:szCs w:val="20"/>
          <w:color w:val="auto"/>
        </w:rPr>
      </w:pPr>
      <w:r>
        <w:rPr>
          <w:rFonts w:ascii="Arial" w:cs="Arial" w:eastAsia="Arial" w:hAnsi="Arial"/>
          <w:sz w:val="18"/>
          <w:szCs w:val="18"/>
          <w:b w:val="1"/>
          <w:bCs w:val="1"/>
          <w:color w:val="auto"/>
        </w:rPr>
        <w:t>2Q15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-3175</wp:posOffset>
            </wp:positionV>
            <wp:extent cx="68580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0" cy="171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(1.5% )</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6350</wp:posOffset>
            </wp:positionV>
            <wp:extent cx="68580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0" cy="17145"/>
                    </a:xfrm>
                    <a:prstGeom prst="rect">
                      <a:avLst/>
                    </a:prstGeom>
                    <a:noFill/>
                  </pic:spPr>
                </pic:pic>
              </a:graphicData>
            </a:graphic>
          </wp:anchor>
        </w:drawing>
      </w:r>
    </w:p>
    <w:p>
      <w:pPr>
        <w:spacing w:after="0" w:line="28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(0.8% )</w:t>
      </w:r>
    </w:p>
    <w:p>
      <w:pPr>
        <w:spacing w:after="0" w:line="3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(8.0% )</w:t>
      </w:r>
    </w:p>
    <w:p>
      <w:pPr>
        <w:spacing w:after="0" w:line="3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14.8%</w:t>
      </w:r>
    </w:p>
    <w:p>
      <w:pPr>
        <w:spacing w:after="0" w:line="27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6350</wp:posOffset>
            </wp:positionV>
            <wp:extent cx="68580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0" cy="17145"/>
                    </a:xfrm>
                    <a:prstGeom prst="rect">
                      <a:avLst/>
                    </a:prstGeom>
                    <a:noFill/>
                  </pic:spPr>
                </pic:pic>
              </a:graphicData>
            </a:graphic>
          </wp:anchor>
        </w:drawing>
      </w:r>
    </w:p>
    <w:p>
      <w:pPr>
        <w:spacing w:after="0" w:line="28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6350</wp:posOffset>
            </wp:positionV>
            <wp:extent cx="6858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31750</wp:posOffset>
            </wp:positionV>
            <wp:extent cx="6858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ectPr>
          <w:pgSz w:w="11900" w:h="16838" w:orient="portrait"/>
          <w:cols w:equalWidth="0" w:num="2">
            <w:col w:w="10120" w:space="420"/>
            <w:col w:w="880"/>
          </w:cols>
          <w:pgMar w:left="240" w:top="69"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LIVANOVA PLC</w:t>
      </w:r>
    </w:p>
    <w:p>
      <w:pPr>
        <w:spacing w:after="0" w:line="187" w:lineRule="auto"/>
        <w:rPr>
          <w:sz w:val="20"/>
          <w:szCs w:val="20"/>
          <w:color w:val="auto"/>
        </w:rPr>
      </w:pPr>
      <w:r>
        <w:rPr>
          <w:rFonts w:ascii="Arial" w:cs="Arial" w:eastAsia="Arial" w:hAnsi="Arial"/>
          <w:sz w:val="18"/>
          <w:szCs w:val="18"/>
          <w:b w:val="1"/>
          <w:bCs w:val="1"/>
          <w:color w:val="auto"/>
        </w:rPr>
        <w:t>QUARTERLY SALES TREND BY REGION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 in millions, CONSTANT CURRENCY</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1Q15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2Q15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3Q15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4Q15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FY15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b w:val="1"/>
                <w:bCs w:val="1"/>
                <w:color w:val="auto"/>
              </w:rPr>
              <w:t>1Q16</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2Q16</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2Q16 vs.</w:t>
            </w:r>
          </w:p>
        </w:tc>
        <w:tc>
          <w:tcPr>
            <w:tcW w:w="0" w:type="dxa"/>
            <w:vAlign w:val="bottom"/>
          </w:tcPr>
          <w:p>
            <w:pPr>
              <w:spacing w:after="0"/>
              <w:rPr>
                <w:sz w:val="1"/>
                <w:szCs w:val="1"/>
                <w:color w:val="auto"/>
              </w:rPr>
            </w:pPr>
          </w:p>
        </w:tc>
      </w:tr>
      <w:tr>
        <w:trPr>
          <w:trHeight w:val="210"/>
        </w:trPr>
        <w:tc>
          <w:tcPr>
            <w:tcW w:w="1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Cardio</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b w:val="1"/>
                <w:bCs w:val="1"/>
                <w:color w:val="auto"/>
              </w:rPr>
              <w:t>2Q15</w:t>
            </w:r>
          </w:p>
        </w:tc>
        <w:tc>
          <w:tcPr>
            <w:tcW w:w="0" w:type="dxa"/>
            <w:vAlign w:val="bottom"/>
          </w:tcPr>
          <w:p>
            <w:pPr>
              <w:spacing w:after="0"/>
              <w:rPr>
                <w:sz w:val="1"/>
                <w:szCs w:val="1"/>
                <w:color w:val="auto"/>
              </w:rPr>
            </w:pPr>
          </w:p>
        </w:tc>
      </w:tr>
      <w:tr>
        <w:trPr>
          <w:trHeight w:val="149"/>
        </w:trPr>
        <w:tc>
          <w:tcPr>
            <w:tcW w:w="1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7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Pulmonary</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32.9</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43.0</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45.9</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39.2</w:t>
            </w: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43"/>
        </w:trPr>
        <w:tc>
          <w:tcPr>
            <w:tcW w:w="1700" w:type="dxa"/>
            <w:vAlign w:val="bottom"/>
          </w:tcPr>
          <w:p>
            <w:pPr>
              <w:ind w:left="20"/>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33.6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37.1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31.7</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35.6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34.6</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50"/>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41.0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41.5</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48.5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46.6</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49.8</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170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107.5</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125.9</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113.0</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130.0</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113.4</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123.6</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0"/>
        </w:trPr>
        <w:tc>
          <w:tcPr>
            <w:tcW w:w="1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Heart Valve</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6.7</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w:t>
            </w: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1700" w:type="dxa"/>
            <w:vAlign w:val="bottom"/>
          </w:tcPr>
          <w:p>
            <w:pPr>
              <w:ind w:left="20"/>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13.0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12.4</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50"/>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17.6</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170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34.7</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36.4</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34.2</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34.9</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33.4</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37.0</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
        </w:trPr>
        <w:tc>
          <w:tcPr>
            <w:tcW w:w="1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Cardiac Surgery</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1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39.6</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49.6</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45.9</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51.7</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46.3</w:t>
            </w: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43"/>
        </w:trPr>
        <w:tc>
          <w:tcPr>
            <w:tcW w:w="1700" w:type="dxa"/>
            <w:vAlign w:val="bottom"/>
          </w:tcPr>
          <w:p>
            <w:pPr>
              <w:ind w:left="20"/>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46.3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50.0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41.9</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46.5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184.8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47.0</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50"/>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56.2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62.7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59.3</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66.7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61.8</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67.4</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170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142.2</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162.3</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147.2</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164.9</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146.8</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160.7</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1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CRM</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w:t>
            </w: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 )</w:t>
            </w:r>
          </w:p>
        </w:tc>
        <w:tc>
          <w:tcPr>
            <w:tcW w:w="0" w:type="dxa"/>
            <w:vAlign w:val="bottom"/>
          </w:tcPr>
          <w:p>
            <w:pPr>
              <w:spacing w:after="0"/>
              <w:rPr>
                <w:sz w:val="1"/>
                <w:szCs w:val="1"/>
                <w:color w:val="auto"/>
              </w:rPr>
            </w:pPr>
          </w:p>
        </w:tc>
      </w:tr>
      <w:tr>
        <w:trPr>
          <w:trHeight w:val="243"/>
        </w:trPr>
        <w:tc>
          <w:tcPr>
            <w:tcW w:w="1700" w:type="dxa"/>
            <w:vAlign w:val="bottom"/>
          </w:tcPr>
          <w:p>
            <w:pPr>
              <w:ind w:left="20"/>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51.0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52.3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44.8</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50.5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198.6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51.2</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53.5</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0"/>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12.3</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 )</w:t>
            </w:r>
          </w:p>
        </w:tc>
        <w:tc>
          <w:tcPr>
            <w:tcW w:w="0" w:type="dxa"/>
            <w:vAlign w:val="bottom"/>
          </w:tcPr>
          <w:p>
            <w:pPr>
              <w:spacing w:after="0"/>
              <w:rPr>
                <w:sz w:val="1"/>
                <w:szCs w:val="1"/>
                <w:color w:val="auto"/>
              </w:rPr>
            </w:pPr>
          </w:p>
        </w:tc>
      </w:tr>
      <w:tr>
        <w:trPr>
          <w:trHeight w:val="243"/>
        </w:trPr>
        <w:tc>
          <w:tcPr>
            <w:tcW w:w="170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70.4</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75.6</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53.9</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60.7</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62.9</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68.1</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0"/>
        </w:trPr>
        <w:tc>
          <w:tcPr>
            <w:tcW w:w="1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Neuromodulation</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57.5</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63.6</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70.9</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76.8</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70.2</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75.8</w:t>
            </w: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43"/>
        </w:trPr>
        <w:tc>
          <w:tcPr>
            <w:tcW w:w="1700" w:type="dxa"/>
            <w:vAlign w:val="bottom"/>
          </w:tcPr>
          <w:p>
            <w:pPr>
              <w:ind w:left="20"/>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8.9</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9.4</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50"/>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 )</w:t>
            </w:r>
          </w:p>
        </w:tc>
        <w:tc>
          <w:tcPr>
            <w:tcW w:w="0" w:type="dxa"/>
            <w:vAlign w:val="bottom"/>
          </w:tcPr>
          <w:p>
            <w:pPr>
              <w:spacing w:after="0"/>
              <w:rPr>
                <w:sz w:val="1"/>
                <w:szCs w:val="1"/>
                <w:color w:val="auto"/>
              </w:rPr>
            </w:pPr>
          </w:p>
        </w:tc>
      </w:tr>
      <w:tr>
        <w:trPr>
          <w:trHeight w:val="243"/>
        </w:trPr>
        <w:tc>
          <w:tcPr>
            <w:tcW w:w="170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70.1</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78.4</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84.3</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91.5</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81.6</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90.1</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1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Other</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0.0</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0.0</w:t>
            </w: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1700" w:type="dxa"/>
            <w:vAlign w:val="bottom"/>
          </w:tcPr>
          <w:p>
            <w:pPr>
              <w:ind w:left="20"/>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0.0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0.1</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0"/>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 )</w:t>
            </w:r>
          </w:p>
        </w:tc>
        <w:tc>
          <w:tcPr>
            <w:tcW w:w="0" w:type="dxa"/>
            <w:vAlign w:val="bottom"/>
          </w:tcPr>
          <w:p>
            <w:pPr>
              <w:spacing w:after="0"/>
              <w:rPr>
                <w:sz w:val="1"/>
                <w:szCs w:val="1"/>
                <w:color w:val="auto"/>
              </w:rPr>
            </w:pPr>
          </w:p>
        </w:tc>
      </w:tr>
      <w:tr>
        <w:trPr>
          <w:trHeight w:val="243"/>
        </w:trPr>
        <w:tc>
          <w:tcPr>
            <w:tcW w:w="170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0.7</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0.4</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 )</w:t>
            </w:r>
          </w:p>
        </w:tc>
        <w:tc>
          <w:tcPr>
            <w:tcW w:w="0" w:type="dxa"/>
            <w:vAlign w:val="bottom"/>
          </w:tcPr>
          <w:p>
            <w:pPr>
              <w:spacing w:after="0"/>
              <w:rPr>
                <w:sz w:val="1"/>
                <w:szCs w:val="1"/>
                <w:color w:val="auto"/>
              </w:rPr>
            </w:pPr>
          </w:p>
        </w:tc>
      </w:tr>
      <w:tr>
        <w:trPr>
          <w:trHeight w:val="20"/>
        </w:trPr>
        <w:tc>
          <w:tcPr>
            <w:tcW w:w="1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101.6</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117.1</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120.8</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131.6</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114.1</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124.4</w:t>
            </w: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1700" w:type="dxa"/>
            <w:vAlign w:val="bottom"/>
          </w:tcPr>
          <w:p>
            <w:pPr>
              <w:ind w:left="20"/>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106.1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111.2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95.2</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106.4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418.8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101.9</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110.0</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50"/>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75.7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88.8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70.2</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79.9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75.8</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84.9</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43"/>
        </w:trPr>
        <w:tc>
          <w:tcPr>
            <w:tcW w:w="170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283.4</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317.1</w:t>
            </w:r>
          </w:p>
        </w:tc>
        <w:tc>
          <w:tcPr>
            <w:tcW w:w="1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286.1</w:t>
            </w:r>
          </w:p>
        </w:tc>
        <w:tc>
          <w:tcPr>
            <w:tcW w:w="1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318.0</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1,204.6</w:t>
            </w:r>
          </w:p>
        </w:tc>
        <w:tc>
          <w:tcPr>
            <w:tcW w:w="80" w:type="dxa"/>
            <w:vAlign w:val="bottom"/>
          </w:tcPr>
          <w:p>
            <w:pPr>
              <w:spacing w:after="0"/>
              <w:rPr>
                <w:sz w:val="21"/>
                <w:szCs w:val="21"/>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291.8</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319.3</w:t>
            </w:r>
          </w:p>
        </w:tc>
        <w:tc>
          <w:tcPr>
            <w:tcW w:w="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
        </w:trPr>
        <w:tc>
          <w:tcPr>
            <w:tcW w:w="1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*Numbers may not add due to rounding.</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LIVANOVA PLC</w:t>
      </w:r>
    </w:p>
    <w:p>
      <w:pPr>
        <w:spacing w:after="0" w:line="187" w:lineRule="auto"/>
        <w:rPr>
          <w:sz w:val="20"/>
          <w:szCs w:val="20"/>
          <w:color w:val="auto"/>
        </w:rPr>
      </w:pPr>
      <w:r>
        <w:rPr>
          <w:rFonts w:ascii="Arial" w:cs="Arial" w:eastAsia="Arial" w:hAnsi="Arial"/>
          <w:sz w:val="18"/>
          <w:szCs w:val="18"/>
          <w:b w:val="1"/>
          <w:bCs w:val="1"/>
          <w:color w:val="auto"/>
        </w:rPr>
        <w:t>QUARTERLY SALES TREND BY REGION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 in millions, REPORTED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1Q15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2Q15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3Q15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4Q15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FY15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b w:val="1"/>
                <w:bCs w:val="1"/>
                <w:color w:val="auto"/>
              </w:rPr>
              <w:t>1Q16</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2Q16</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2Q16 vs.</w:t>
            </w:r>
          </w:p>
        </w:tc>
        <w:tc>
          <w:tcPr>
            <w:tcW w:w="0" w:type="dxa"/>
            <w:vAlign w:val="bottom"/>
          </w:tcPr>
          <w:p>
            <w:pPr>
              <w:spacing w:after="0"/>
              <w:rPr>
                <w:sz w:val="1"/>
                <w:szCs w:val="1"/>
                <w:color w:val="auto"/>
              </w:rPr>
            </w:pPr>
          </w:p>
        </w:tc>
      </w:tr>
      <w:tr>
        <w:trPr>
          <w:trHeight w:val="210"/>
        </w:trPr>
        <w:tc>
          <w:tcPr>
            <w:tcW w:w="1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Cardio</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b w:val="1"/>
                <w:bCs w:val="1"/>
                <w:color w:val="auto"/>
              </w:rPr>
              <w:t>2Q15</w:t>
            </w:r>
          </w:p>
        </w:tc>
        <w:tc>
          <w:tcPr>
            <w:tcW w:w="0" w:type="dxa"/>
            <w:vAlign w:val="bottom"/>
          </w:tcPr>
          <w:p>
            <w:pPr>
              <w:spacing w:after="0"/>
              <w:rPr>
                <w:sz w:val="1"/>
                <w:szCs w:val="1"/>
                <w:color w:val="auto"/>
              </w:rPr>
            </w:pPr>
          </w:p>
        </w:tc>
      </w:tr>
      <w:tr>
        <w:trPr>
          <w:trHeight w:val="149"/>
        </w:trPr>
        <w:tc>
          <w:tcPr>
            <w:tcW w:w="1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7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Pulmonary</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32.9</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43.0</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45.9</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39.2</w:t>
            </w: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43"/>
        </w:trPr>
        <w:tc>
          <w:tcPr>
            <w:tcW w:w="1700" w:type="dxa"/>
            <w:vAlign w:val="bottom"/>
          </w:tcPr>
          <w:p>
            <w:pPr>
              <w:ind w:left="20"/>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33.6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37.1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31.7</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35.6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31.5</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34.9</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50"/>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41.0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41.5</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48.5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49.9</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170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107.5</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125.9</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113.0</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130.0</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110.9</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124.0</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0"/>
        </w:trPr>
        <w:tc>
          <w:tcPr>
            <w:tcW w:w="1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Heart Valve</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6.7</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w:t>
            </w: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1700" w:type="dxa"/>
            <w:vAlign w:val="bottom"/>
          </w:tcPr>
          <w:p>
            <w:pPr>
              <w:ind w:left="20"/>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13.0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12.5</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50"/>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17.5</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170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34.7</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36.4</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34.2</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34.9</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32.5</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37.1</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
        </w:trPr>
        <w:tc>
          <w:tcPr>
            <w:tcW w:w="1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Cardiac Surgery</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1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39.6</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49.6</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45.9</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51.7</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46.3</w:t>
            </w: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43"/>
        </w:trPr>
        <w:tc>
          <w:tcPr>
            <w:tcW w:w="1700" w:type="dxa"/>
            <w:vAlign w:val="bottom"/>
          </w:tcPr>
          <w:p>
            <w:pPr>
              <w:ind w:left="20"/>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46.3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50.0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41.9</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46.5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184.8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42.9</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47.4</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50"/>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56.2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62.7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59.3</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66.7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59.7</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67.4</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170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142.2</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162.3</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147.2</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164.9</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143.4</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161.1</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0"/>
        </w:trPr>
        <w:tc>
          <w:tcPr>
            <w:tcW w:w="1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CRM</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w:t>
            </w: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 )</w:t>
            </w:r>
          </w:p>
        </w:tc>
        <w:tc>
          <w:tcPr>
            <w:tcW w:w="0" w:type="dxa"/>
            <w:vAlign w:val="bottom"/>
          </w:tcPr>
          <w:p>
            <w:pPr>
              <w:spacing w:after="0"/>
              <w:rPr>
                <w:sz w:val="1"/>
                <w:szCs w:val="1"/>
                <w:color w:val="auto"/>
              </w:rPr>
            </w:pPr>
          </w:p>
        </w:tc>
      </w:tr>
      <w:tr>
        <w:trPr>
          <w:trHeight w:val="243"/>
        </w:trPr>
        <w:tc>
          <w:tcPr>
            <w:tcW w:w="1700" w:type="dxa"/>
            <w:vAlign w:val="bottom"/>
          </w:tcPr>
          <w:p>
            <w:pPr>
              <w:ind w:left="20"/>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51.0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52.3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44.8</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50.5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198.6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54.4</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50"/>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12.9</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 )</w:t>
            </w:r>
          </w:p>
        </w:tc>
        <w:tc>
          <w:tcPr>
            <w:tcW w:w="0" w:type="dxa"/>
            <w:vAlign w:val="bottom"/>
          </w:tcPr>
          <w:p>
            <w:pPr>
              <w:spacing w:after="0"/>
              <w:rPr>
                <w:sz w:val="1"/>
                <w:szCs w:val="1"/>
                <w:color w:val="auto"/>
              </w:rPr>
            </w:pPr>
          </w:p>
        </w:tc>
      </w:tr>
      <w:tr>
        <w:trPr>
          <w:trHeight w:val="243"/>
        </w:trPr>
        <w:tc>
          <w:tcPr>
            <w:tcW w:w="170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70.4</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75.6</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53.9</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60.7</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61.7</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69.6</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0"/>
        </w:trPr>
        <w:tc>
          <w:tcPr>
            <w:tcW w:w="1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Neuromodulation</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57.5</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63.6</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70.9</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76.8</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70.2</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75.8</w:t>
            </w: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43"/>
        </w:trPr>
        <w:tc>
          <w:tcPr>
            <w:tcW w:w="1700" w:type="dxa"/>
            <w:vAlign w:val="bottom"/>
          </w:tcPr>
          <w:p>
            <w:pPr>
              <w:ind w:left="20"/>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8.9</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9.4</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50"/>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 )</w:t>
            </w:r>
          </w:p>
        </w:tc>
        <w:tc>
          <w:tcPr>
            <w:tcW w:w="0" w:type="dxa"/>
            <w:vAlign w:val="bottom"/>
          </w:tcPr>
          <w:p>
            <w:pPr>
              <w:spacing w:after="0"/>
              <w:rPr>
                <w:sz w:val="1"/>
                <w:szCs w:val="1"/>
                <w:color w:val="auto"/>
              </w:rPr>
            </w:pPr>
          </w:p>
        </w:tc>
      </w:tr>
      <w:tr>
        <w:trPr>
          <w:trHeight w:val="243"/>
        </w:trPr>
        <w:tc>
          <w:tcPr>
            <w:tcW w:w="170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70.1</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78.4</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84.3</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91.5</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81.4</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90.0</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1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Other</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0.0</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0.0</w:t>
            </w: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1700" w:type="dxa"/>
            <w:vAlign w:val="bottom"/>
          </w:tcPr>
          <w:p>
            <w:pPr>
              <w:ind w:left="20"/>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0.0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0.1</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0"/>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 )</w:t>
            </w:r>
          </w:p>
        </w:tc>
        <w:tc>
          <w:tcPr>
            <w:tcW w:w="0" w:type="dxa"/>
            <w:vAlign w:val="bottom"/>
          </w:tcPr>
          <w:p>
            <w:pPr>
              <w:spacing w:after="0"/>
              <w:rPr>
                <w:sz w:val="1"/>
                <w:szCs w:val="1"/>
                <w:color w:val="auto"/>
              </w:rPr>
            </w:pPr>
          </w:p>
        </w:tc>
      </w:tr>
      <w:tr>
        <w:trPr>
          <w:trHeight w:val="243"/>
        </w:trPr>
        <w:tc>
          <w:tcPr>
            <w:tcW w:w="170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0.7</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0.4</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 )</w:t>
            </w:r>
          </w:p>
        </w:tc>
        <w:tc>
          <w:tcPr>
            <w:tcW w:w="0" w:type="dxa"/>
            <w:vAlign w:val="bottom"/>
          </w:tcPr>
          <w:p>
            <w:pPr>
              <w:spacing w:after="0"/>
              <w:rPr>
                <w:sz w:val="1"/>
                <w:szCs w:val="1"/>
                <w:color w:val="auto"/>
              </w:rPr>
            </w:pPr>
          </w:p>
        </w:tc>
      </w:tr>
      <w:tr>
        <w:trPr>
          <w:trHeight w:val="20"/>
        </w:trPr>
        <w:tc>
          <w:tcPr>
            <w:tcW w:w="1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101.6</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117.1</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120.8</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131.6</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114.1</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124.4</w:t>
            </w: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1700" w:type="dxa"/>
            <w:vAlign w:val="bottom"/>
          </w:tcPr>
          <w:p>
            <w:pPr>
              <w:ind w:left="20"/>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106.1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111.2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95.2</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106.4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418.8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99.3</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111.2</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50"/>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75.7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88.8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70.2</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79.9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73.5</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85.4</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43"/>
        </w:trPr>
        <w:tc>
          <w:tcPr>
            <w:tcW w:w="170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283.4</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317.1</w:t>
            </w:r>
          </w:p>
        </w:tc>
        <w:tc>
          <w:tcPr>
            <w:tcW w:w="1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286.1</w:t>
            </w:r>
          </w:p>
        </w:tc>
        <w:tc>
          <w:tcPr>
            <w:tcW w:w="1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318.0</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1,204.6</w:t>
            </w:r>
          </w:p>
        </w:tc>
        <w:tc>
          <w:tcPr>
            <w:tcW w:w="80" w:type="dxa"/>
            <w:vAlign w:val="bottom"/>
          </w:tcPr>
          <w:p>
            <w:pPr>
              <w:spacing w:after="0"/>
              <w:rPr>
                <w:sz w:val="21"/>
                <w:szCs w:val="21"/>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287.0</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321.0</w:t>
            </w:r>
          </w:p>
        </w:tc>
        <w:tc>
          <w:tcPr>
            <w:tcW w:w="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
        </w:trPr>
        <w:tc>
          <w:tcPr>
            <w:tcW w:w="1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*Numbers may not add due to rounding</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 w:right="239" w:bottom="1440" w:gutter="0" w:footer="0" w:header="0"/>
        </w:sectPr>
      </w:pPr>
    </w:p>
    <w:bookmarkStart w:id="14" w:name="page15"/>
    <w:bookmarkEnd w:id="14"/>
    <w:p>
      <w:pPr>
        <w:ind w:left="4140"/>
        <w:spacing w:after="0"/>
        <w:rPr>
          <w:sz w:val="20"/>
          <w:szCs w:val="20"/>
          <w:color w:val="auto"/>
        </w:rPr>
      </w:pPr>
      <w:r>
        <w:rPr>
          <w:rFonts w:ascii="Arial" w:cs="Arial" w:eastAsia="Arial" w:hAnsi="Arial"/>
          <w:sz w:val="18"/>
          <w:szCs w:val="18"/>
          <w:b w:val="1"/>
          <w:bCs w:val="1"/>
          <w:color w:val="auto"/>
        </w:rPr>
        <w:t>LIVANOVA PLC</w:t>
      </w:r>
    </w:p>
    <w:p>
      <w:pPr>
        <w:ind w:left="4140"/>
        <w:spacing w:after="0" w:line="187" w:lineRule="auto"/>
        <w:rPr>
          <w:sz w:val="20"/>
          <w:szCs w:val="20"/>
          <w:color w:val="auto"/>
        </w:rPr>
      </w:pPr>
      <w:r>
        <w:rPr>
          <w:rFonts w:ascii="Arial" w:cs="Arial" w:eastAsia="Arial" w:hAnsi="Arial"/>
          <w:sz w:val="18"/>
          <w:szCs w:val="18"/>
          <w:b w:val="1"/>
          <w:bCs w:val="1"/>
          <w:color w:val="auto"/>
        </w:rPr>
        <w:t>QUARTERLY SALES</w:t>
      </w:r>
    </w:p>
    <w:p>
      <w:pPr>
        <w:spacing w:after="0" w:line="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U.S. dollar in millions</w:t>
      </w:r>
    </w:p>
    <w:p>
      <w:pPr>
        <w:spacing w:after="0" w:line="178" w:lineRule="exact"/>
        <w:rPr>
          <w:sz w:val="20"/>
          <w:szCs w:val="20"/>
          <w:color w:val="auto"/>
        </w:rPr>
      </w:pPr>
    </w:p>
    <w:tbl>
      <w:tblPr>
        <w:tblLayout w:type="fixed"/>
        <w:tblInd w:w="1900" w:type="dxa"/>
        <w:tblCellMar>
          <w:top w:w="0" w:type="dxa"/>
          <w:left w:w="0" w:type="dxa"/>
          <w:bottom w:w="0" w:type="dxa"/>
          <w:right w:w="0" w:type="dxa"/>
        </w:tblCellMar>
      </w:tblPr>
      <w:tr>
        <w:trPr>
          <w:trHeight w:val="228"/>
        </w:trPr>
        <w:tc>
          <w:tcPr>
            <w:tcW w:w="1980" w:type="dxa"/>
            <w:vAlign w:val="bottom"/>
          </w:tcPr>
          <w:p>
            <w:pPr>
              <w:spacing w:after="0"/>
              <w:rPr>
                <w:sz w:val="19"/>
                <w:szCs w:val="19"/>
                <w:color w:val="auto"/>
              </w:rPr>
            </w:pPr>
          </w:p>
        </w:tc>
        <w:tc>
          <w:tcPr>
            <w:tcW w:w="276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0"/>
              </w:rPr>
              <w:t>Three Months Ended June 30, 2016</w:t>
            </w:r>
          </w:p>
        </w:tc>
        <w:tc>
          <w:tcPr>
            <w:tcW w:w="100" w:type="dxa"/>
            <w:vAlign w:val="bottom"/>
          </w:tcPr>
          <w:p>
            <w:pPr>
              <w:spacing w:after="0"/>
              <w:rPr>
                <w:sz w:val="19"/>
                <w:szCs w:val="19"/>
                <w:color w:val="auto"/>
              </w:rPr>
            </w:pPr>
          </w:p>
        </w:tc>
        <w:tc>
          <w:tcPr>
            <w:tcW w:w="13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 Change at</w:t>
            </w:r>
          </w:p>
        </w:tc>
        <w:tc>
          <w:tcPr>
            <w:tcW w:w="100" w:type="dxa"/>
            <w:vAlign w:val="bottom"/>
          </w:tcPr>
          <w:p>
            <w:pPr>
              <w:spacing w:after="0"/>
              <w:rPr>
                <w:sz w:val="19"/>
                <w:szCs w:val="19"/>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 Change at</w:t>
            </w: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Arial" w:cs="Arial" w:eastAsia="Arial" w:hAnsi="Arial"/>
                <w:sz w:val="18"/>
                <w:szCs w:val="18"/>
                <w:b w:val="1"/>
                <w:bCs w:val="1"/>
                <w:color w:val="auto"/>
                <w:w w:val="94"/>
              </w:rPr>
              <w:t>Actual</w:t>
            </w:r>
          </w:p>
        </w:tc>
        <w:tc>
          <w:tcPr>
            <w:tcW w:w="10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Arial" w:cs="Arial" w:eastAsia="Arial" w:hAnsi="Arial"/>
                <w:sz w:val="18"/>
                <w:szCs w:val="18"/>
                <w:b w:val="1"/>
                <w:bCs w:val="1"/>
                <w:color w:val="auto"/>
                <w:w w:val="89"/>
              </w:rPr>
              <w:t>Constant</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Arial" w:cs="Arial" w:eastAsia="Arial" w:hAnsi="Arial"/>
                <w:sz w:val="18"/>
                <w:szCs w:val="18"/>
                <w:b w:val="1"/>
                <w:bCs w:val="1"/>
                <w:color w:val="auto"/>
                <w:w w:val="93"/>
              </w:rPr>
              <w:t>Currency</w:t>
            </w:r>
          </w:p>
        </w:tc>
        <w:tc>
          <w:tcPr>
            <w:tcW w:w="10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Arial" w:cs="Arial" w:eastAsia="Arial" w:hAnsi="Arial"/>
                <w:sz w:val="18"/>
                <w:szCs w:val="18"/>
                <w:b w:val="1"/>
                <w:bCs w:val="1"/>
                <w:color w:val="auto"/>
                <w:w w:val="91"/>
              </w:rPr>
              <w:t>Currency</w:t>
            </w:r>
          </w:p>
        </w:tc>
        <w:tc>
          <w:tcPr>
            <w:tcW w:w="0" w:type="dxa"/>
            <w:vAlign w:val="bottom"/>
          </w:tcPr>
          <w:p>
            <w:pPr>
              <w:spacing w:after="0"/>
              <w:rPr>
                <w:sz w:val="1"/>
                <w:szCs w:val="1"/>
                <w:color w:val="auto"/>
              </w:rPr>
            </w:pPr>
          </w:p>
        </w:tc>
      </w:tr>
      <w:tr>
        <w:trPr>
          <w:trHeight w:val="210"/>
        </w:trPr>
        <w:tc>
          <w:tcPr>
            <w:tcW w:w="1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9"/>
              </w:rPr>
              <w:t>Rates</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9"/>
              </w:rPr>
              <w:t>Rates</w:t>
            </w: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0"/>
                <w:szCs w:val="20"/>
                <w:color w:val="auto"/>
              </w:rPr>
            </w:pPr>
            <w:r>
              <w:rPr>
                <w:rFonts w:ascii="Arial" w:cs="Arial" w:eastAsia="Arial" w:hAnsi="Arial"/>
                <w:sz w:val="18"/>
                <w:szCs w:val="18"/>
                <w:b w:val="1"/>
                <w:bCs w:val="1"/>
                <w:color w:val="auto"/>
              </w:rPr>
              <w:t>Cardio Pulmonary</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39.2</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0"/>
                <w:szCs w:val="20"/>
                <w:color w:val="auto"/>
              </w:rPr>
            </w:pPr>
            <w:r>
              <w:rPr>
                <w:rFonts w:ascii="Arial" w:cs="Arial" w:eastAsia="Arial" w:hAnsi="Arial"/>
                <w:sz w:val="18"/>
                <w:szCs w:val="18"/>
                <w:color w:val="auto"/>
              </w:rPr>
              <w:t>Europe</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37.1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(5.9% )</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50"/>
        </w:trPr>
        <w:tc>
          <w:tcPr>
            <w:tcW w:w="1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 of World</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45.9</w:t>
            </w:r>
          </w:p>
        </w:tc>
        <w:tc>
          <w:tcPr>
            <w:tcW w:w="14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8.7%</w:t>
            </w:r>
          </w:p>
        </w:tc>
        <w:tc>
          <w:tcPr>
            <w:tcW w:w="14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124.0</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125.9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1"/>
        </w:trPr>
        <w:tc>
          <w:tcPr>
            <w:tcW w:w="1980" w:type="dxa"/>
            <w:vAlign w:val="bottom"/>
            <w:vMerge w:val="restart"/>
          </w:tcPr>
          <w:p>
            <w:pPr>
              <w:spacing w:after="0"/>
              <w:rPr>
                <w:sz w:val="20"/>
                <w:szCs w:val="20"/>
                <w:color w:val="auto"/>
              </w:rPr>
            </w:pPr>
            <w:r>
              <w:rPr>
                <w:rFonts w:ascii="Arial" w:cs="Arial" w:eastAsia="Arial" w:hAnsi="Arial"/>
                <w:sz w:val="18"/>
                <w:szCs w:val="18"/>
                <w:b w:val="1"/>
                <w:bCs w:val="1"/>
                <w:color w:val="auto"/>
              </w:rPr>
              <w:t>Heart Valve</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19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6.2%</w:t>
            </w:r>
          </w:p>
        </w:tc>
        <w:tc>
          <w:tcPr>
            <w:tcW w:w="1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0"/>
                <w:szCs w:val="20"/>
                <w:color w:val="auto"/>
              </w:rPr>
            </w:pPr>
            <w:r>
              <w:rPr>
                <w:rFonts w:ascii="Arial" w:cs="Arial" w:eastAsia="Arial" w:hAnsi="Arial"/>
                <w:sz w:val="18"/>
                <w:szCs w:val="18"/>
                <w:color w:val="auto"/>
              </w:rPr>
              <w:t>Europe</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(3.7% )</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50"/>
        </w:trPr>
        <w:tc>
          <w:tcPr>
            <w:tcW w:w="1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 of World</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16.8</w:t>
            </w:r>
          </w:p>
        </w:tc>
        <w:tc>
          <w:tcPr>
            <w:tcW w:w="14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4.3%</w:t>
            </w:r>
          </w:p>
        </w:tc>
        <w:tc>
          <w:tcPr>
            <w:tcW w:w="14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36.4</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1.8%</w:t>
            </w:r>
          </w:p>
        </w:tc>
        <w:tc>
          <w:tcPr>
            <w:tcW w:w="1460" w:type="dxa"/>
            <w:vAlign w:val="bottom"/>
            <w:gridSpan w:val="2"/>
          </w:tcPr>
          <w:p>
            <w:pPr>
              <w:jc w:val="right"/>
              <w:ind w:right="7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
        </w:trPr>
        <w:tc>
          <w:tcPr>
            <w:tcW w:w="1980" w:type="dxa"/>
            <w:vAlign w:val="bottom"/>
            <w:vMerge w:val="restart"/>
          </w:tcPr>
          <w:p>
            <w:pPr>
              <w:spacing w:after="0"/>
              <w:rPr>
                <w:sz w:val="20"/>
                <w:szCs w:val="20"/>
                <w:color w:val="auto"/>
              </w:rPr>
            </w:pPr>
            <w:r>
              <w:rPr>
                <w:rFonts w:ascii="Arial" w:cs="Arial" w:eastAsia="Arial" w:hAnsi="Arial"/>
                <w:sz w:val="18"/>
                <w:szCs w:val="18"/>
                <w:b w:val="1"/>
                <w:bCs w:val="1"/>
                <w:color w:val="auto"/>
              </w:rPr>
              <w:t>Cardiac Surgery</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19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0"/>
                <w:szCs w:val="20"/>
                <w:color w:val="auto"/>
              </w:rPr>
            </w:pPr>
            <w:r>
              <w:rPr>
                <w:rFonts w:ascii="Arial" w:cs="Arial" w:eastAsia="Arial" w:hAnsi="Arial"/>
                <w:sz w:val="18"/>
                <w:szCs w:val="18"/>
                <w:color w:val="auto"/>
              </w:rPr>
              <w:t>Europe</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(5.3% )</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50"/>
        </w:trPr>
        <w:tc>
          <w:tcPr>
            <w:tcW w:w="1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 of World</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62.7</w:t>
            </w:r>
          </w:p>
        </w:tc>
        <w:tc>
          <w:tcPr>
            <w:tcW w:w="14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7.5%</w:t>
            </w:r>
          </w:p>
        </w:tc>
        <w:tc>
          <w:tcPr>
            <w:tcW w:w="14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57"/>
        </w:trPr>
        <w:tc>
          <w:tcPr>
            <w:tcW w:w="198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161.1</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162.3</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 xml:space="preserve">(0.8% </w:t>
            </w: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 xml:space="preserve">(1.0%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1980" w:type="dxa"/>
            <w:vAlign w:val="bottom"/>
            <w:vMerge w:val="restart"/>
          </w:tcPr>
          <w:p>
            <w:pPr>
              <w:spacing w:after="0"/>
              <w:rPr>
                <w:sz w:val="20"/>
                <w:szCs w:val="20"/>
                <w:color w:val="auto"/>
              </w:rPr>
            </w:pPr>
            <w:r>
              <w:rPr>
                <w:rFonts w:ascii="Arial" w:cs="Arial" w:eastAsia="Arial" w:hAnsi="Arial"/>
                <w:sz w:val="18"/>
                <w:szCs w:val="18"/>
                <w:b w:val="1"/>
                <w:bCs w:val="1"/>
                <w:color w:val="auto"/>
              </w:rPr>
              <w:t>CRM</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19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 )</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 )</w:t>
            </w: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0"/>
                <w:szCs w:val="20"/>
                <w:color w:val="auto"/>
              </w:rPr>
            </w:pPr>
            <w:r>
              <w:rPr>
                <w:rFonts w:ascii="Arial" w:cs="Arial" w:eastAsia="Arial" w:hAnsi="Arial"/>
                <w:sz w:val="18"/>
                <w:szCs w:val="18"/>
                <w:color w:val="auto"/>
              </w:rPr>
              <w:t>Europe</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52.3</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4.1%</w:t>
            </w:r>
          </w:p>
        </w:tc>
        <w:tc>
          <w:tcPr>
            <w:tcW w:w="1460" w:type="dxa"/>
            <w:vAlign w:val="bottom"/>
            <w:gridSpan w:val="2"/>
          </w:tcPr>
          <w:p>
            <w:pPr>
              <w:jc w:val="right"/>
              <w:ind w:right="7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0"/>
        </w:trPr>
        <w:tc>
          <w:tcPr>
            <w:tcW w:w="1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 of World</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19.4</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(33.7% )</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(36.7% )</w:t>
            </w: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75.6</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(8.0% )</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(9.9% )</w:t>
            </w:r>
          </w:p>
        </w:tc>
        <w:tc>
          <w:tcPr>
            <w:tcW w:w="0" w:type="dxa"/>
            <w:vAlign w:val="bottom"/>
          </w:tcPr>
          <w:p>
            <w:pPr>
              <w:spacing w:after="0"/>
              <w:rPr>
                <w:sz w:val="1"/>
                <w:szCs w:val="1"/>
                <w:color w:val="auto"/>
              </w:rPr>
            </w:pPr>
          </w:p>
        </w:tc>
      </w:tr>
      <w:tr>
        <w:trPr>
          <w:trHeight w:val="21"/>
        </w:trPr>
        <w:tc>
          <w:tcPr>
            <w:tcW w:w="1980" w:type="dxa"/>
            <w:vAlign w:val="bottom"/>
            <w:vMerge w:val="restart"/>
          </w:tcPr>
          <w:p>
            <w:pPr>
              <w:spacing w:after="0"/>
              <w:rPr>
                <w:sz w:val="20"/>
                <w:szCs w:val="20"/>
                <w:color w:val="auto"/>
              </w:rPr>
            </w:pPr>
            <w:r>
              <w:rPr>
                <w:rFonts w:ascii="Arial" w:cs="Arial" w:eastAsia="Arial" w:hAnsi="Arial"/>
                <w:sz w:val="18"/>
                <w:szCs w:val="18"/>
                <w:b w:val="1"/>
                <w:bCs w:val="1"/>
                <w:color w:val="auto"/>
              </w:rPr>
              <w:t>Neuromodulation</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19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63.6</w:t>
            </w: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19.2%</w:t>
            </w:r>
          </w:p>
        </w:tc>
        <w:tc>
          <w:tcPr>
            <w:tcW w:w="1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0"/>
                <w:szCs w:val="20"/>
                <w:color w:val="auto"/>
              </w:rPr>
            </w:pPr>
            <w:r>
              <w:rPr>
                <w:rFonts w:ascii="Arial" w:cs="Arial" w:eastAsia="Arial" w:hAnsi="Arial"/>
                <w:sz w:val="18"/>
                <w:szCs w:val="18"/>
                <w:color w:val="auto"/>
              </w:rPr>
              <w:t>Europe</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8.9</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5.6%</w:t>
            </w:r>
          </w:p>
        </w:tc>
        <w:tc>
          <w:tcPr>
            <w:tcW w:w="1460" w:type="dxa"/>
            <w:vAlign w:val="bottom"/>
            <w:gridSpan w:val="2"/>
          </w:tcPr>
          <w:p>
            <w:pPr>
              <w:jc w:val="right"/>
              <w:ind w:right="7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50"/>
        </w:trPr>
        <w:tc>
          <w:tcPr>
            <w:tcW w:w="1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 of World</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(18.4% )</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(18.2% )</w:t>
            </w: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78.4</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14.8%</w:t>
            </w:r>
          </w:p>
        </w:tc>
        <w:tc>
          <w:tcPr>
            <w:tcW w:w="14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14.9%</w:t>
            </w:r>
          </w:p>
        </w:tc>
        <w:tc>
          <w:tcPr>
            <w:tcW w:w="0" w:type="dxa"/>
            <w:vAlign w:val="bottom"/>
          </w:tcPr>
          <w:p>
            <w:pPr>
              <w:spacing w:after="0"/>
              <w:rPr>
                <w:sz w:val="1"/>
                <w:szCs w:val="1"/>
                <w:color w:val="auto"/>
              </w:rPr>
            </w:pPr>
          </w:p>
        </w:tc>
      </w:tr>
      <w:tr>
        <w:trPr>
          <w:trHeight w:val="21"/>
        </w:trPr>
        <w:tc>
          <w:tcPr>
            <w:tcW w:w="1980" w:type="dxa"/>
            <w:vAlign w:val="bottom"/>
            <w:vMerge w:val="restart"/>
          </w:tcPr>
          <w:p>
            <w:pPr>
              <w:spacing w:after="0"/>
              <w:rPr>
                <w:sz w:val="20"/>
                <w:szCs w:val="20"/>
                <w:color w:val="auto"/>
              </w:rPr>
            </w:pPr>
            <w:r>
              <w:rPr>
                <w:rFonts w:ascii="Arial" w:cs="Arial" w:eastAsia="Arial" w:hAnsi="Arial"/>
                <w:sz w:val="18"/>
                <w:szCs w:val="18"/>
                <w:b w:val="1"/>
                <w:bCs w:val="1"/>
                <w:color w:val="auto"/>
              </w:rPr>
              <w:t>Other</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19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0"/>
                <w:szCs w:val="20"/>
                <w:color w:val="auto"/>
              </w:rPr>
            </w:pPr>
            <w:r>
              <w:rPr>
                <w:rFonts w:ascii="Arial" w:cs="Arial" w:eastAsia="Arial" w:hAnsi="Arial"/>
                <w:sz w:val="18"/>
                <w:szCs w:val="18"/>
                <w:color w:val="auto"/>
              </w:rPr>
              <w:t>Europe</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0"/>
        </w:trPr>
        <w:tc>
          <w:tcPr>
            <w:tcW w:w="1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 of World</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
        </w:trPr>
        <w:tc>
          <w:tcPr>
            <w:tcW w:w="198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19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117.1</w:t>
            </w: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6.2%</w:t>
            </w:r>
          </w:p>
        </w:tc>
        <w:tc>
          <w:tcPr>
            <w:tcW w:w="1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0"/>
                <w:szCs w:val="20"/>
                <w:color w:val="auto"/>
              </w:rPr>
            </w:pPr>
            <w:r>
              <w:rPr>
                <w:rFonts w:ascii="Arial" w:cs="Arial" w:eastAsia="Arial" w:hAnsi="Arial"/>
                <w:sz w:val="18"/>
                <w:szCs w:val="18"/>
                <w:color w:val="auto"/>
              </w:rPr>
              <w:t>Europe</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111.2</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50"/>
        </w:trPr>
        <w:tc>
          <w:tcPr>
            <w:tcW w:w="1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 of World</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321.0</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317.1</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1.3%</w:t>
            </w:r>
          </w:p>
        </w:tc>
        <w:tc>
          <w:tcPr>
            <w:tcW w:w="14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0.7%</w:t>
            </w:r>
          </w:p>
        </w:tc>
        <w:tc>
          <w:tcPr>
            <w:tcW w:w="0" w:type="dxa"/>
            <w:vAlign w:val="bottom"/>
          </w:tcPr>
          <w:p>
            <w:pPr>
              <w:spacing w:after="0"/>
              <w:rPr>
                <w:sz w:val="1"/>
                <w:szCs w:val="1"/>
                <w:color w:val="auto"/>
              </w:rPr>
            </w:pPr>
          </w:p>
        </w:tc>
      </w:tr>
      <w:tr>
        <w:trPr>
          <w:trHeight w:val="21"/>
        </w:trPr>
        <w:tc>
          <w:tcPr>
            <w:tcW w:w="1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*Numbers may not add due to rounding</w:t>
      </w:r>
    </w:p>
    <w:p>
      <w:pPr>
        <w:sectPr>
          <w:pgSz w:w="11900" w:h="16838" w:orient="portrait"/>
          <w:cols w:equalWidth="0" w:num="1">
            <w:col w:w="10219"/>
          </w:cols>
          <w:pgMar w:left="240" w:top="231"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231" w:right="1440" w:bottom="1440" w:gutter="0" w:footer="0" w:header="0"/>
          <w:type w:val="continuous"/>
        </w:sectPr>
      </w:pPr>
    </w:p>
    <w:bookmarkStart w:id="15" w:name="page16"/>
    <w:bookmarkEnd w:id="15"/>
    <w:p>
      <w:pPr>
        <w:ind w:left="4300"/>
        <w:spacing w:after="0"/>
        <w:rPr>
          <w:sz w:val="20"/>
          <w:szCs w:val="20"/>
          <w:color w:val="auto"/>
        </w:rPr>
      </w:pPr>
      <w:r>
        <w:rPr>
          <w:rFonts w:ascii="Arial" w:cs="Arial" w:eastAsia="Arial" w:hAnsi="Arial"/>
          <w:sz w:val="18"/>
          <w:szCs w:val="18"/>
          <w:b w:val="1"/>
          <w:bCs w:val="1"/>
          <w:color w:val="auto"/>
        </w:rPr>
        <w:t>LIVANOVA PLC</w:t>
      </w:r>
    </w:p>
    <w:p>
      <w:pPr>
        <w:ind w:left="4300"/>
        <w:spacing w:after="0" w:line="187" w:lineRule="auto"/>
        <w:rPr>
          <w:sz w:val="20"/>
          <w:szCs w:val="20"/>
          <w:color w:val="auto"/>
        </w:rPr>
      </w:pPr>
      <w:r>
        <w:rPr>
          <w:rFonts w:ascii="Arial" w:cs="Arial" w:eastAsia="Arial" w:hAnsi="Arial"/>
          <w:sz w:val="18"/>
          <w:szCs w:val="18"/>
          <w:b w:val="1"/>
          <w:bCs w:val="1"/>
          <w:color w:val="auto"/>
        </w:rPr>
        <w:t>QUARTERLY SALES</w:t>
      </w:r>
    </w:p>
    <w:p>
      <w:pPr>
        <w:spacing w:after="0" w:line="1"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U.S. dollar in millions</w:t>
      </w:r>
    </w:p>
    <w:p>
      <w:pPr>
        <w:spacing w:after="0" w:line="165" w:lineRule="exact"/>
        <w:rPr>
          <w:sz w:val="20"/>
          <w:szCs w:val="20"/>
          <w:color w:val="auto"/>
        </w:rPr>
      </w:pPr>
    </w:p>
    <w:tbl>
      <w:tblPr>
        <w:tblLayout w:type="fixed"/>
        <w:tblInd w:w="1900" w:type="dxa"/>
        <w:tblCellMar>
          <w:top w:w="0" w:type="dxa"/>
          <w:left w:w="0" w:type="dxa"/>
          <w:bottom w:w="0" w:type="dxa"/>
          <w:right w:w="0" w:type="dxa"/>
        </w:tblCellMar>
      </w:tblPr>
      <w:tr>
        <w:trPr>
          <w:trHeight w:val="214"/>
        </w:trPr>
        <w:tc>
          <w:tcPr>
            <w:tcW w:w="20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w w:val="89"/>
              </w:rPr>
              <w:t>Six Months Ended June 30, 2016</w:t>
            </w:r>
          </w:p>
        </w:tc>
        <w:tc>
          <w:tcPr>
            <w:tcW w:w="100" w:type="dxa"/>
            <w:vAlign w:val="bottom"/>
          </w:tcPr>
          <w:p>
            <w:pPr>
              <w:spacing w:after="0"/>
              <w:rPr>
                <w:sz w:val="18"/>
                <w:szCs w:val="18"/>
                <w:color w:val="auto"/>
              </w:rPr>
            </w:pPr>
          </w:p>
        </w:tc>
        <w:tc>
          <w:tcPr>
            <w:tcW w:w="13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 Change at</w:t>
            </w:r>
          </w:p>
        </w:tc>
        <w:tc>
          <w:tcPr>
            <w:tcW w:w="80" w:type="dxa"/>
            <w:vAlign w:val="bottom"/>
          </w:tcPr>
          <w:p>
            <w:pPr>
              <w:spacing w:after="0"/>
              <w:rPr>
                <w:sz w:val="18"/>
                <w:szCs w:val="18"/>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 Change at</w:t>
            </w: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8"/>
                <w:szCs w:val="18"/>
                <w:b w:val="1"/>
                <w:bCs w:val="1"/>
                <w:color w:val="auto"/>
                <w:w w:val="90"/>
              </w:rPr>
              <w:t>Actual</w:t>
            </w:r>
          </w:p>
        </w:tc>
        <w:tc>
          <w:tcPr>
            <w:tcW w:w="8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Arial" w:cs="Arial" w:eastAsia="Arial" w:hAnsi="Arial"/>
                <w:sz w:val="18"/>
                <w:szCs w:val="18"/>
                <w:b w:val="1"/>
                <w:bCs w:val="1"/>
                <w:color w:val="auto"/>
                <w:w w:val="89"/>
              </w:rPr>
              <w:t>Constant</w:t>
            </w: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8"/>
                <w:szCs w:val="18"/>
                <w:b w:val="1"/>
                <w:bCs w:val="1"/>
                <w:color w:val="auto"/>
                <w:w w:val="93"/>
              </w:rPr>
              <w:t>Currency</w:t>
            </w:r>
          </w:p>
        </w:tc>
        <w:tc>
          <w:tcPr>
            <w:tcW w:w="8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Arial" w:cs="Arial" w:eastAsia="Arial" w:hAnsi="Arial"/>
                <w:sz w:val="18"/>
                <w:szCs w:val="18"/>
                <w:b w:val="1"/>
                <w:bCs w:val="1"/>
                <w:color w:val="auto"/>
                <w:w w:val="93"/>
              </w:rPr>
              <w:t>Currency</w:t>
            </w:r>
          </w:p>
        </w:tc>
        <w:tc>
          <w:tcPr>
            <w:tcW w:w="0" w:type="dxa"/>
            <w:vAlign w:val="bottom"/>
          </w:tcPr>
          <w:p>
            <w:pPr>
              <w:spacing w:after="0"/>
              <w:rPr>
                <w:sz w:val="1"/>
                <w:szCs w:val="1"/>
                <w:color w:val="auto"/>
              </w:rPr>
            </w:pPr>
          </w:p>
        </w:tc>
      </w:tr>
      <w:tr>
        <w:trPr>
          <w:trHeight w:val="196"/>
        </w:trPr>
        <w:tc>
          <w:tcPr>
            <w:tcW w:w="20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85"/>
              </w:rPr>
              <w:t>Rates</w:t>
            </w:r>
          </w:p>
        </w:tc>
        <w:tc>
          <w:tcPr>
            <w:tcW w:w="80" w:type="dxa"/>
            <w:vAlign w:val="bottom"/>
          </w:tcPr>
          <w:p>
            <w:pPr>
              <w:spacing w:after="0"/>
              <w:rPr>
                <w:sz w:val="17"/>
                <w:szCs w:val="17"/>
                <w:color w:val="auto"/>
              </w:rPr>
            </w:pPr>
          </w:p>
        </w:tc>
        <w:tc>
          <w:tcPr>
            <w:tcW w:w="138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85"/>
              </w:rPr>
              <w:t>Rates</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b w:val="1"/>
                <w:bCs w:val="1"/>
                <w:color w:val="auto"/>
              </w:rPr>
              <w:t>Cardio Pulmonary</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73.7</w:t>
            </w:r>
          </w:p>
        </w:tc>
        <w:tc>
          <w:tcPr>
            <w:tcW w:w="3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20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Rest of World</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86.9</w:t>
            </w:r>
          </w:p>
        </w:tc>
        <w:tc>
          <w:tcPr>
            <w:tcW w:w="1420" w:type="dxa"/>
            <w:vAlign w:val="bottom"/>
            <w:tcBorders>
              <w:bottom w:val="single" w:sz="8" w:color="CCEEFF"/>
            </w:tcBorders>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9.2%</w:t>
            </w:r>
          </w:p>
        </w:tc>
        <w:tc>
          <w:tcPr>
            <w:tcW w:w="1460" w:type="dxa"/>
            <w:vAlign w:val="bottom"/>
            <w:tcBorders>
              <w:bottom w:val="single" w:sz="8" w:color="CCEEFF"/>
            </w:tcBorders>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234.9</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233.4</w:t>
            </w:r>
          </w:p>
        </w:tc>
        <w:tc>
          <w:tcPr>
            <w:tcW w:w="142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0.6%</w:t>
            </w:r>
          </w:p>
        </w:tc>
        <w:tc>
          <w:tcPr>
            <w:tcW w:w="146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
        </w:trPr>
        <w:tc>
          <w:tcPr>
            <w:tcW w:w="202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20" w:type="dxa"/>
            <w:vAlign w:val="bottom"/>
            <w:gridSpan w:val="2"/>
            <w:vMerge w:val="continue"/>
          </w:tcPr>
          <w:p>
            <w:pPr>
              <w:spacing w:after="0" w:line="20" w:lineRule="exact"/>
              <w:rPr>
                <w:sz w:val="1"/>
                <w:szCs w:val="1"/>
                <w:color w:val="auto"/>
              </w:rPr>
            </w:pPr>
          </w:p>
        </w:tc>
        <w:tc>
          <w:tcPr>
            <w:tcW w:w="146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20" w:type="dxa"/>
            <w:vAlign w:val="bottom"/>
          </w:tcPr>
          <w:p>
            <w:pPr>
              <w:spacing w:after="0"/>
              <w:rPr>
                <w:sz w:val="20"/>
                <w:szCs w:val="20"/>
                <w:color w:val="auto"/>
              </w:rPr>
            </w:pPr>
            <w:r>
              <w:rPr>
                <w:rFonts w:ascii="Arial" w:cs="Arial" w:eastAsia="Arial" w:hAnsi="Arial"/>
                <w:sz w:val="18"/>
                <w:szCs w:val="18"/>
                <w:b w:val="1"/>
                <w:bCs w:val="1"/>
                <w:color w:val="auto"/>
              </w:rPr>
              <w:t>Heart Valve</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1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20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Rest of World</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32.0</w:t>
            </w:r>
          </w:p>
        </w:tc>
        <w:tc>
          <w:tcPr>
            <w:tcW w:w="1420" w:type="dxa"/>
            <w:vAlign w:val="bottom"/>
            <w:tcBorders>
              <w:bottom w:val="single" w:sz="8" w:color="CCEEFF"/>
            </w:tcBorders>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0.6%</w:t>
            </w:r>
          </w:p>
        </w:tc>
        <w:tc>
          <w:tcPr>
            <w:tcW w:w="1460" w:type="dxa"/>
            <w:vAlign w:val="bottom"/>
            <w:tcBorders>
              <w:bottom w:val="single" w:sz="8" w:color="CCEEFF"/>
            </w:tcBorders>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0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71.1</w:t>
            </w:r>
          </w:p>
        </w:tc>
        <w:tc>
          <w:tcPr>
            <w:tcW w:w="1420" w:type="dxa"/>
            <w:vAlign w:val="bottom"/>
            <w:gridSpan w:val="2"/>
            <w:vMerge w:val="restart"/>
          </w:tcPr>
          <w:p>
            <w:pPr>
              <w:jc w:val="right"/>
              <w:spacing w:after="0"/>
              <w:rPr>
                <w:sz w:val="20"/>
                <w:szCs w:val="20"/>
                <w:color w:val="auto"/>
              </w:rPr>
            </w:pPr>
            <w:r>
              <w:rPr>
                <w:rFonts w:ascii="Arial" w:cs="Arial" w:eastAsia="Arial" w:hAnsi="Arial"/>
                <w:sz w:val="18"/>
                <w:szCs w:val="18"/>
                <w:color w:val="auto"/>
              </w:rPr>
              <w:t>(2.1%)</w:t>
            </w: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
        </w:trPr>
        <w:tc>
          <w:tcPr>
            <w:tcW w:w="202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20" w:type="dxa"/>
            <w:vAlign w:val="bottom"/>
            <w:gridSpan w:val="2"/>
            <w:vMerge w:val="continue"/>
          </w:tcPr>
          <w:p>
            <w:pPr>
              <w:spacing w:after="0" w:line="20" w:lineRule="exact"/>
              <w:rPr>
                <w:sz w:val="1"/>
                <w:szCs w:val="1"/>
                <w:color w:val="auto"/>
              </w:rPr>
            </w:pPr>
          </w:p>
        </w:tc>
        <w:tc>
          <w:tcPr>
            <w:tcW w:w="146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20" w:type="dxa"/>
            <w:vAlign w:val="bottom"/>
          </w:tcPr>
          <w:p>
            <w:pPr>
              <w:spacing w:after="0"/>
              <w:rPr>
                <w:sz w:val="20"/>
                <w:szCs w:val="20"/>
                <w:color w:val="auto"/>
              </w:rPr>
            </w:pPr>
            <w:r>
              <w:rPr>
                <w:rFonts w:ascii="Arial" w:cs="Arial" w:eastAsia="Arial" w:hAnsi="Arial"/>
                <w:sz w:val="18"/>
                <w:szCs w:val="18"/>
                <w:b w:val="1"/>
                <w:bCs w:val="1"/>
                <w:color w:val="auto"/>
              </w:rPr>
              <w:t>Cardiac Surgery</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96.4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20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Rest of World</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118.9</w:t>
            </w:r>
          </w:p>
        </w:tc>
        <w:tc>
          <w:tcPr>
            <w:tcW w:w="1420" w:type="dxa"/>
            <w:vAlign w:val="bottom"/>
            <w:tcBorders>
              <w:bottom w:val="single" w:sz="8" w:color="CCEEFF"/>
            </w:tcBorders>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6.8%</w:t>
            </w:r>
          </w:p>
        </w:tc>
        <w:tc>
          <w:tcPr>
            <w:tcW w:w="1460" w:type="dxa"/>
            <w:vAlign w:val="bottom"/>
            <w:tcBorders>
              <w:bottom w:val="single" w:sz="8" w:color="CCEEFF"/>
            </w:tcBorders>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304.5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304.5</w:t>
            </w:r>
          </w:p>
        </w:tc>
        <w:tc>
          <w:tcPr>
            <w:tcW w:w="14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(0.0%</w:t>
            </w:r>
            <w:r>
              <w:rPr>
                <w:rFonts w:ascii="Arial" w:cs="Arial" w:eastAsia="Arial" w:hAnsi="Arial"/>
                <w:sz w:val="18"/>
                <w:szCs w:val="18"/>
                <w:color w:val="auto"/>
              </w:rPr>
              <w:t>)</w:t>
            </w:r>
          </w:p>
        </w:tc>
        <w:tc>
          <w:tcPr>
            <w:tcW w:w="1460" w:type="dxa"/>
            <w:vAlign w:val="bottom"/>
            <w:gridSpan w:val="2"/>
            <w:vMerge w:val="restart"/>
          </w:tcPr>
          <w:p>
            <w:pPr>
              <w:jc w:val="right"/>
              <w:ind w:right="3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1"/>
        </w:trPr>
        <w:tc>
          <w:tcPr>
            <w:tcW w:w="202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20" w:type="dxa"/>
            <w:vAlign w:val="bottom"/>
            <w:gridSpan w:val="2"/>
            <w:vMerge w:val="continue"/>
          </w:tcPr>
          <w:p>
            <w:pPr>
              <w:spacing w:after="0" w:line="20" w:lineRule="exact"/>
              <w:rPr>
                <w:sz w:val="1"/>
                <w:szCs w:val="1"/>
                <w:color w:val="auto"/>
              </w:rPr>
            </w:pPr>
          </w:p>
        </w:tc>
        <w:tc>
          <w:tcPr>
            <w:tcW w:w="146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20" w:type="dxa"/>
            <w:vAlign w:val="bottom"/>
          </w:tcPr>
          <w:p>
            <w:pPr>
              <w:spacing w:after="0"/>
              <w:rPr>
                <w:sz w:val="20"/>
                <w:szCs w:val="20"/>
                <w:color w:val="auto"/>
              </w:rPr>
            </w:pPr>
            <w:r>
              <w:rPr>
                <w:rFonts w:ascii="Arial" w:cs="Arial" w:eastAsia="Arial" w:hAnsi="Arial"/>
                <w:sz w:val="18"/>
                <w:szCs w:val="18"/>
                <w:b w:val="1"/>
                <w:bCs w:val="1"/>
                <w:color w:val="auto"/>
              </w:rPr>
              <w:t>CRM</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103.2</w:t>
            </w:r>
          </w:p>
        </w:tc>
        <w:tc>
          <w:tcPr>
            <w:tcW w:w="1420" w:type="dxa"/>
            <w:vAlign w:val="bottom"/>
            <w:gridSpan w:val="2"/>
          </w:tcPr>
          <w:p>
            <w:pPr>
              <w:jc w:val="right"/>
              <w:ind w:right="30"/>
              <w:spacing w:after="0"/>
              <w:rPr>
                <w:sz w:val="20"/>
                <w:szCs w:val="20"/>
                <w:color w:val="auto"/>
              </w:rPr>
            </w:pPr>
            <w:r>
              <w:rPr>
                <w:rFonts w:ascii="Arial" w:cs="Arial" w:eastAsia="Arial" w:hAnsi="Arial"/>
                <w:sz w:val="18"/>
                <w:szCs w:val="18"/>
                <w:color w:val="auto"/>
              </w:rPr>
              <w:t>1.1%</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Rest of World</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34.3</w:t>
            </w:r>
          </w:p>
        </w:tc>
        <w:tc>
          <w:tcPr>
            <w:tcW w:w="142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(37.0%)</w:t>
            </w:r>
          </w:p>
        </w:tc>
        <w:tc>
          <w:tcPr>
            <w:tcW w:w="146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131.3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146.0</w:t>
            </w:r>
          </w:p>
        </w:tc>
        <w:tc>
          <w:tcPr>
            <w:tcW w:w="14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(10.1%)</w:t>
            </w: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(10.2%)</w:t>
            </w:r>
          </w:p>
        </w:tc>
        <w:tc>
          <w:tcPr>
            <w:tcW w:w="0" w:type="dxa"/>
            <w:vAlign w:val="bottom"/>
          </w:tcPr>
          <w:p>
            <w:pPr>
              <w:spacing w:after="0"/>
              <w:rPr>
                <w:sz w:val="1"/>
                <w:szCs w:val="1"/>
                <w:color w:val="auto"/>
              </w:rPr>
            </w:pPr>
          </w:p>
        </w:tc>
      </w:tr>
      <w:tr>
        <w:trPr>
          <w:trHeight w:val="21"/>
        </w:trPr>
        <w:tc>
          <w:tcPr>
            <w:tcW w:w="202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20" w:type="dxa"/>
            <w:vAlign w:val="bottom"/>
            <w:gridSpan w:val="2"/>
            <w:vMerge w:val="continue"/>
          </w:tcPr>
          <w:p>
            <w:pPr>
              <w:spacing w:after="0" w:line="20" w:lineRule="exact"/>
              <w:rPr>
                <w:sz w:val="1"/>
                <w:szCs w:val="1"/>
                <w:color w:val="auto"/>
              </w:rPr>
            </w:pPr>
          </w:p>
        </w:tc>
        <w:tc>
          <w:tcPr>
            <w:tcW w:w="146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20" w:type="dxa"/>
            <w:vAlign w:val="bottom"/>
          </w:tcPr>
          <w:p>
            <w:pPr>
              <w:spacing w:after="0"/>
              <w:rPr>
                <w:sz w:val="20"/>
                <w:szCs w:val="20"/>
                <w:color w:val="auto"/>
              </w:rPr>
            </w:pPr>
            <w:r>
              <w:rPr>
                <w:rFonts w:ascii="Arial" w:cs="Arial" w:eastAsia="Arial" w:hAnsi="Arial"/>
                <w:sz w:val="18"/>
                <w:szCs w:val="18"/>
                <w:b w:val="1"/>
                <w:bCs w:val="1"/>
                <w:color w:val="auto"/>
              </w:rPr>
              <w:t>Neuromodulation</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121.0</w:t>
            </w:r>
          </w:p>
        </w:tc>
        <w:tc>
          <w:tcPr>
            <w:tcW w:w="1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20.6%</w:t>
            </w:r>
          </w:p>
        </w:tc>
        <w:tc>
          <w:tcPr>
            <w:tcW w:w="1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20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Rest of World</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9.9</w:t>
            </w:r>
          </w:p>
        </w:tc>
        <w:tc>
          <w:tcPr>
            <w:tcW w:w="142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(2.7%)</w:t>
            </w:r>
          </w:p>
        </w:tc>
        <w:tc>
          <w:tcPr>
            <w:tcW w:w="146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171.4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148.6</w:t>
            </w:r>
          </w:p>
        </w:tc>
        <w:tc>
          <w:tcPr>
            <w:tcW w:w="1420" w:type="dxa"/>
            <w:vAlign w:val="bottom"/>
            <w:gridSpan w:val="2"/>
            <w:vMerge w:val="restart"/>
          </w:tcPr>
          <w:p>
            <w:pPr>
              <w:jc w:val="right"/>
              <w:ind w:right="30"/>
              <w:spacing w:after="0"/>
              <w:rPr>
                <w:sz w:val="20"/>
                <w:szCs w:val="20"/>
                <w:color w:val="auto"/>
              </w:rPr>
            </w:pPr>
            <w:r>
              <w:rPr>
                <w:rFonts w:ascii="Arial" w:cs="Arial" w:eastAsia="Arial" w:hAnsi="Arial"/>
                <w:sz w:val="18"/>
                <w:szCs w:val="18"/>
                <w:b w:val="1"/>
                <w:bCs w:val="1"/>
                <w:color w:val="auto"/>
              </w:rPr>
              <w:t>15.4%</w:t>
            </w:r>
          </w:p>
        </w:tc>
        <w:tc>
          <w:tcPr>
            <w:tcW w:w="1460" w:type="dxa"/>
            <w:vAlign w:val="bottom"/>
            <w:gridSpan w:val="2"/>
            <w:vMerge w:val="restart"/>
          </w:tcPr>
          <w:p>
            <w:pPr>
              <w:jc w:val="right"/>
              <w:ind w:right="30"/>
              <w:spacing w:after="0"/>
              <w:rPr>
                <w:sz w:val="20"/>
                <w:szCs w:val="20"/>
                <w:color w:val="auto"/>
              </w:rPr>
            </w:pPr>
            <w:r>
              <w:rPr>
                <w:rFonts w:ascii="Arial" w:cs="Arial" w:eastAsia="Arial" w:hAnsi="Arial"/>
                <w:sz w:val="18"/>
                <w:szCs w:val="18"/>
                <w:b w:val="1"/>
                <w:bCs w:val="1"/>
                <w:color w:val="auto"/>
              </w:rPr>
              <w:t>15.6%</w:t>
            </w:r>
          </w:p>
        </w:tc>
        <w:tc>
          <w:tcPr>
            <w:tcW w:w="0" w:type="dxa"/>
            <w:vAlign w:val="bottom"/>
          </w:tcPr>
          <w:p>
            <w:pPr>
              <w:spacing w:after="0"/>
              <w:rPr>
                <w:sz w:val="1"/>
                <w:szCs w:val="1"/>
                <w:color w:val="auto"/>
              </w:rPr>
            </w:pPr>
          </w:p>
        </w:tc>
      </w:tr>
      <w:tr>
        <w:trPr>
          <w:trHeight w:val="21"/>
        </w:trPr>
        <w:tc>
          <w:tcPr>
            <w:tcW w:w="202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20" w:type="dxa"/>
            <w:vAlign w:val="bottom"/>
            <w:gridSpan w:val="2"/>
            <w:vMerge w:val="continue"/>
          </w:tcPr>
          <w:p>
            <w:pPr>
              <w:spacing w:after="0" w:line="20" w:lineRule="exact"/>
              <w:rPr>
                <w:sz w:val="1"/>
                <w:szCs w:val="1"/>
                <w:color w:val="auto"/>
              </w:rPr>
            </w:pPr>
          </w:p>
        </w:tc>
        <w:tc>
          <w:tcPr>
            <w:tcW w:w="146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2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0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Rest of World</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n/a</w:t>
            </w:r>
          </w:p>
        </w:tc>
        <w:tc>
          <w:tcPr>
            <w:tcW w:w="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320" w:type="dxa"/>
            <w:vAlign w:val="bottom"/>
            <w:vMerge w:val="restart"/>
          </w:tcPr>
          <w:p>
            <w:pPr>
              <w:jc w:val="right"/>
              <w:ind w:right="3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8"/>
                <w:szCs w:val="18"/>
                <w:color w:val="auto"/>
              </w:rPr>
            </w:pPr>
          </w:p>
        </w:tc>
        <w:tc>
          <w:tcPr>
            <w:tcW w:w="1380" w:type="dxa"/>
            <w:vAlign w:val="bottom"/>
            <w:vMerge w:val="restart"/>
          </w:tcPr>
          <w:p>
            <w:pPr>
              <w:jc w:val="right"/>
              <w:ind w:right="3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
        </w:trPr>
        <w:tc>
          <w:tcPr>
            <w:tcW w:w="202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218.8</w:t>
            </w:r>
          </w:p>
        </w:tc>
        <w:tc>
          <w:tcPr>
            <w:tcW w:w="1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217.2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Rest of World</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159.0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164.5</w:t>
            </w:r>
          </w:p>
        </w:tc>
        <w:tc>
          <w:tcPr>
            <w:tcW w:w="142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(3.4%)</w:t>
            </w:r>
          </w:p>
        </w:tc>
        <w:tc>
          <w:tcPr>
            <w:tcW w:w="146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608.0</w:t>
            </w:r>
          </w:p>
        </w:tc>
        <w:tc>
          <w:tcPr>
            <w:tcW w:w="100" w:type="dxa"/>
            <w:vAlign w:val="bottom"/>
            <w:vMerge w:val="restart"/>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600.5</w:t>
            </w:r>
          </w:p>
        </w:tc>
        <w:tc>
          <w:tcPr>
            <w:tcW w:w="1420" w:type="dxa"/>
            <w:vAlign w:val="bottom"/>
            <w:gridSpan w:val="2"/>
            <w:vMerge w:val="restart"/>
          </w:tcPr>
          <w:p>
            <w:pPr>
              <w:jc w:val="right"/>
              <w:ind w:right="30"/>
              <w:spacing w:after="0"/>
              <w:rPr>
                <w:sz w:val="20"/>
                <w:szCs w:val="20"/>
                <w:color w:val="auto"/>
              </w:rPr>
            </w:pPr>
            <w:r>
              <w:rPr>
                <w:rFonts w:ascii="Arial" w:cs="Arial" w:eastAsia="Arial" w:hAnsi="Arial"/>
                <w:sz w:val="18"/>
                <w:szCs w:val="18"/>
                <w:b w:val="1"/>
                <w:bCs w:val="1"/>
                <w:color w:val="auto"/>
              </w:rPr>
              <w:t>1.3%</w:t>
            </w:r>
          </w:p>
        </w:tc>
        <w:tc>
          <w:tcPr>
            <w:tcW w:w="1460" w:type="dxa"/>
            <w:vAlign w:val="bottom"/>
            <w:gridSpan w:val="2"/>
            <w:vMerge w:val="restart"/>
          </w:tcPr>
          <w:p>
            <w:pPr>
              <w:jc w:val="right"/>
              <w:ind w:right="3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1"/>
        </w:trPr>
        <w:tc>
          <w:tcPr>
            <w:tcW w:w="202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20" w:type="dxa"/>
            <w:vAlign w:val="bottom"/>
            <w:gridSpan w:val="2"/>
            <w:vMerge w:val="continue"/>
          </w:tcPr>
          <w:p>
            <w:pPr>
              <w:spacing w:after="0" w:line="20" w:lineRule="exact"/>
              <w:rPr>
                <w:sz w:val="1"/>
                <w:szCs w:val="1"/>
                <w:color w:val="auto"/>
              </w:rPr>
            </w:pPr>
          </w:p>
        </w:tc>
        <w:tc>
          <w:tcPr>
            <w:tcW w:w="146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*The sales results are unaudited. Numbers may not add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231" w:right="1440" w:bottom="1440" w:gutter="0" w:footer="0" w:header="0"/>
        </w:sectPr>
      </w:pPr>
    </w:p>
    <w:bookmarkStart w:id="16" w:name="page17"/>
    <w:bookmarkEnd w:id="16"/>
    <w:tbl>
      <w:tblPr>
        <w:tblLayout w:type="fixed"/>
        <w:tblInd w:w="19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5180" w:type="dxa"/>
            <w:vAlign w:val="bottom"/>
            <w:gridSpan w:val="2"/>
          </w:tcPr>
          <w:p>
            <w:pPr>
              <w:ind w:left="500"/>
              <w:spacing w:after="0"/>
              <w:rPr>
                <w:sz w:val="20"/>
                <w:szCs w:val="20"/>
                <w:color w:val="auto"/>
              </w:rPr>
            </w:pPr>
            <w:r>
              <w:rPr>
                <w:rFonts w:ascii="Arial" w:cs="Arial" w:eastAsia="Arial" w:hAnsi="Arial"/>
                <w:sz w:val="18"/>
                <w:szCs w:val="18"/>
                <w:b w:val="1"/>
                <w:bCs w:val="1"/>
                <w:color w:val="auto"/>
              </w:rPr>
              <w:t>LIVANOVA PLC AND SUBSIDIARIES</w:t>
            </w:r>
          </w:p>
        </w:tc>
        <w:tc>
          <w:tcPr>
            <w:tcW w:w="6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5180" w:type="dxa"/>
            <w:vAlign w:val="bottom"/>
            <w:gridSpan w:val="2"/>
          </w:tcPr>
          <w:p>
            <w:pPr>
              <w:ind w:left="500"/>
              <w:spacing w:after="0" w:line="202" w:lineRule="exact"/>
              <w:rPr>
                <w:sz w:val="20"/>
                <w:szCs w:val="20"/>
                <w:color w:val="auto"/>
              </w:rPr>
            </w:pPr>
            <w:r>
              <w:rPr>
                <w:rFonts w:ascii="Arial" w:cs="Arial" w:eastAsia="Arial" w:hAnsi="Arial"/>
                <w:sz w:val="18"/>
                <w:szCs w:val="18"/>
                <w:b w:val="1"/>
                <w:bCs w:val="1"/>
                <w:color w:val="auto"/>
              </w:rPr>
              <w:t>CONSOLIDATED STATEMENTS OF INCOME</w:t>
            </w:r>
          </w:p>
        </w:tc>
        <w:tc>
          <w:tcPr>
            <w:tcW w:w="64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180" w:type="dxa"/>
            <w:vAlign w:val="bottom"/>
            <w:gridSpan w:val="2"/>
          </w:tcPr>
          <w:p>
            <w:pPr>
              <w:ind w:left="500"/>
              <w:spacing w:after="0"/>
              <w:rPr>
                <w:sz w:val="20"/>
                <w:szCs w:val="20"/>
                <w:color w:val="auto"/>
              </w:rPr>
            </w:pPr>
            <w:r>
              <w:rPr>
                <w:rFonts w:ascii="Arial" w:cs="Arial" w:eastAsia="Arial" w:hAnsi="Arial"/>
                <w:sz w:val="18"/>
                <w:szCs w:val="18"/>
                <w:b w:val="1"/>
                <w:bCs w:val="1"/>
                <w:color w:val="auto"/>
                <w:w w:val="90"/>
              </w:rPr>
              <w:t>U.S. dollars in millions, except share and per share amounts</w:t>
            </w:r>
          </w:p>
        </w:tc>
        <w:tc>
          <w:tcPr>
            <w:tcW w:w="640" w:type="dxa"/>
            <w:vAlign w:val="bottom"/>
          </w:tcPr>
          <w:p>
            <w:pPr>
              <w:spacing w:after="0"/>
              <w:rPr>
                <w:sz w:val="20"/>
                <w:szCs w:val="20"/>
                <w:color w:val="auto"/>
              </w:rPr>
            </w:pPr>
          </w:p>
        </w:tc>
      </w:tr>
      <w:tr>
        <w:trPr>
          <w:trHeight w:val="373"/>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720" w:type="dxa"/>
            <w:vAlign w:val="bottom"/>
          </w:tcPr>
          <w:p>
            <w:pPr>
              <w:jc w:val="center"/>
              <w:ind w:left="495"/>
              <w:spacing w:after="0"/>
              <w:rPr>
                <w:sz w:val="20"/>
                <w:szCs w:val="20"/>
                <w:color w:val="auto"/>
              </w:rPr>
            </w:pPr>
            <w:r>
              <w:rPr>
                <w:rFonts w:ascii="Arial" w:cs="Arial" w:eastAsia="Arial" w:hAnsi="Arial"/>
                <w:sz w:val="18"/>
                <w:szCs w:val="18"/>
                <w:b w:val="1"/>
                <w:bCs w:val="1"/>
                <w:color w:val="auto"/>
                <w:w w:val="93"/>
              </w:rPr>
              <w:t>Three Months</w:t>
            </w:r>
          </w:p>
        </w:tc>
        <w:tc>
          <w:tcPr>
            <w:tcW w:w="64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720" w:type="dxa"/>
            <w:vAlign w:val="bottom"/>
          </w:tcPr>
          <w:p>
            <w:pPr>
              <w:jc w:val="center"/>
              <w:ind w:left="495"/>
              <w:spacing w:after="0" w:line="202" w:lineRule="exact"/>
              <w:rPr>
                <w:sz w:val="20"/>
                <w:szCs w:val="20"/>
                <w:color w:val="auto"/>
              </w:rPr>
            </w:pPr>
            <w:r>
              <w:rPr>
                <w:rFonts w:ascii="Arial" w:cs="Arial" w:eastAsia="Arial" w:hAnsi="Arial"/>
                <w:sz w:val="18"/>
                <w:szCs w:val="18"/>
                <w:b w:val="1"/>
                <w:bCs w:val="1"/>
                <w:color w:val="auto"/>
                <w:w w:val="89"/>
              </w:rPr>
              <w:t>Ended June 30,</w:t>
            </w:r>
          </w:p>
        </w:tc>
        <w:tc>
          <w:tcPr>
            <w:tcW w:w="64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180" w:type="dxa"/>
            <w:vAlign w:val="bottom"/>
            <w:gridSpan w:val="2"/>
          </w:tcPr>
          <w:p>
            <w:pPr>
              <w:jc w:val="center"/>
              <w:ind w:left="2970"/>
              <w:spacing w:after="0"/>
              <w:rPr>
                <w:sz w:val="20"/>
                <w:szCs w:val="20"/>
                <w:color w:val="auto"/>
              </w:rPr>
            </w:pPr>
            <w:r>
              <w:rPr>
                <w:rFonts w:ascii="Arial" w:cs="Arial" w:eastAsia="Arial" w:hAnsi="Arial"/>
                <w:sz w:val="18"/>
                <w:szCs w:val="18"/>
                <w:b w:val="1"/>
                <w:bCs w:val="1"/>
                <w:color w:val="auto"/>
                <w:w w:val="89"/>
              </w:rPr>
              <w:t>2016</w:t>
            </w:r>
          </w:p>
        </w:tc>
        <w:tc>
          <w:tcPr>
            <w:tcW w:w="6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60" w:type="dxa"/>
            <w:vAlign w:val="bottom"/>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right"/>
              <w:ind w:right="255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321.0</w:t>
            </w:r>
          </w:p>
        </w:tc>
      </w:tr>
      <w:tr>
        <w:trPr>
          <w:trHeight w:val="223"/>
        </w:trPr>
        <w:tc>
          <w:tcPr>
            <w:tcW w:w="20" w:type="dxa"/>
            <w:vAlign w:val="bottom"/>
          </w:tcPr>
          <w:p>
            <w:pPr>
              <w:spacing w:after="0"/>
              <w:rPr>
                <w:sz w:val="19"/>
                <w:szCs w:val="19"/>
                <w:color w:val="auto"/>
              </w:rPr>
            </w:pPr>
          </w:p>
        </w:tc>
        <w:tc>
          <w:tcPr>
            <w:tcW w:w="1800" w:type="dxa"/>
            <w:vAlign w:val="bottom"/>
          </w:tcPr>
          <w:p>
            <w:pPr>
              <w:ind w:left="380"/>
              <w:spacing w:after="0"/>
              <w:rPr>
                <w:sz w:val="20"/>
                <w:szCs w:val="20"/>
                <w:color w:val="auto"/>
              </w:rPr>
            </w:pPr>
            <w:r>
              <w:rPr>
                <w:rFonts w:ascii="Arial" w:cs="Arial" w:eastAsia="Arial" w:hAnsi="Arial"/>
                <w:sz w:val="18"/>
                <w:szCs w:val="18"/>
                <w:color w:val="auto"/>
              </w:rPr>
              <w:t>Cost of sales</w:t>
            </w:r>
          </w:p>
        </w:tc>
        <w:tc>
          <w:tcPr>
            <w:tcW w:w="2460" w:type="dxa"/>
            <w:vAlign w:val="bottom"/>
          </w:tcPr>
          <w:p>
            <w:pPr>
              <w:spacing w:after="0"/>
              <w:rPr>
                <w:sz w:val="19"/>
                <w:szCs w:val="19"/>
                <w:color w:val="auto"/>
              </w:rPr>
            </w:pPr>
          </w:p>
        </w:tc>
        <w:tc>
          <w:tcPr>
            <w:tcW w:w="27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130.7</w:t>
            </w:r>
          </w:p>
        </w:tc>
      </w:tr>
      <w:tr>
        <w:trPr>
          <w:trHeight w:val="223"/>
        </w:trPr>
        <w:tc>
          <w:tcPr>
            <w:tcW w:w="20" w:type="dxa"/>
            <w:vAlign w:val="bottom"/>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6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190.4</w:t>
            </w:r>
          </w:p>
        </w:tc>
      </w:tr>
    </w:tbl>
    <w:p>
      <w:pPr>
        <w:spacing w:after="0" w:line="200" w:lineRule="exact"/>
        <w:rPr>
          <w:sz w:val="20"/>
          <w:szCs w:val="20"/>
          <w:color w:val="auto"/>
        </w:rPr>
      </w:pPr>
    </w:p>
    <w:p>
      <w:pPr>
        <w:sectPr>
          <w:pgSz w:w="11900" w:h="16838" w:orient="portrait"/>
          <w:cols w:equalWidth="0" w:num="1">
            <w:col w:w="11060"/>
          </w:cols>
          <w:pgMar w:left="240" w:top="117" w:right="599" w:bottom="1440" w:gutter="0" w:footer="0" w:header="0"/>
        </w:sectPr>
      </w:pPr>
    </w:p>
    <w:p>
      <w:pPr>
        <w:spacing w:after="0" w:line="1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6350</wp:posOffset>
            </wp:positionV>
            <wp:extent cx="485394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853940" cy="137160"/>
                    </a:xfrm>
                    <a:prstGeom prst="rect">
                      <a:avLst/>
                    </a:prstGeom>
                    <a:noFill/>
                  </pic:spPr>
                </pic:pic>
              </a:graphicData>
            </a:graphic>
          </wp:anchor>
        </w:drawing>
      </w:r>
    </w:p>
    <w:p>
      <w:pPr>
        <w:spacing w:after="0" w:line="3"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Selling, general and administrative</w:t>
      </w:r>
    </w:p>
    <w:p>
      <w:pPr>
        <w:spacing w:after="0" w:line="3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-1905</wp:posOffset>
            </wp:positionV>
            <wp:extent cx="485394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853940" cy="137160"/>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7"/>
          <w:szCs w:val="17"/>
          <w:color w:val="auto"/>
        </w:rPr>
        <w:t>Merger and integration expense</w:t>
      </w:r>
    </w:p>
    <w:p>
      <w:pPr>
        <w:spacing w:after="0" w:line="21"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Restructuring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-1905</wp:posOffset>
            </wp:positionV>
            <wp:extent cx="485394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853940" cy="137160"/>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7"/>
          <w:szCs w:val="17"/>
          <w:color w:val="auto"/>
        </w:rPr>
        <w:t>Amortization of intangible assets</w:t>
      </w:r>
    </w:p>
    <w:p>
      <w:pPr>
        <w:spacing w:after="0" w:line="3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Litigation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6350</wp:posOffset>
            </wp:positionV>
            <wp:extent cx="485394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853940" cy="154305"/>
                    </a:xfrm>
                    <a:prstGeom prst="rect">
                      <a:avLst/>
                    </a:prstGeom>
                    <a:noFill/>
                  </pic:spPr>
                </pic:pic>
              </a:graphicData>
            </a:graphic>
          </wp:anchor>
        </w:drawing>
      </w:r>
    </w:p>
    <w:p>
      <w:pPr>
        <w:spacing w:after="0" w:line="16"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Total operating expenses</w:t>
      </w:r>
    </w:p>
    <w:p>
      <w:pPr>
        <w:spacing w:after="0" w:line="36"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Income (loss) from operations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jc w:val="right"/>
        <w:ind w:right="1680"/>
        <w:spacing w:after="0"/>
        <w:rPr>
          <w:sz w:val="20"/>
          <w:szCs w:val="20"/>
          <w:color w:val="auto"/>
        </w:rPr>
      </w:pPr>
      <w:r>
        <w:rPr>
          <w:rFonts w:ascii="Arial" w:cs="Arial" w:eastAsia="Arial" w:hAnsi="Arial"/>
          <w:sz w:val="16"/>
          <w:szCs w:val="16"/>
          <w:color w:val="auto"/>
        </w:rPr>
        <w:t>120.2</w:t>
      </w:r>
    </w:p>
    <w:p>
      <w:pPr>
        <w:spacing w:after="0" w:line="46"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30.2</w:t>
      </w:r>
    </w:p>
    <w:p>
      <w:pPr>
        <w:spacing w:after="0" w:line="9"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6.2</w:t>
      </w:r>
    </w:p>
    <w:p>
      <w:pPr>
        <w:spacing w:after="0" w:line="9"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4.2</w:t>
      </w:r>
    </w:p>
    <w:p>
      <w:pPr>
        <w:spacing w:after="0" w:line="9"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6.3</w:t>
      </w:r>
    </w:p>
    <w:p>
      <w:pPr>
        <w:spacing w:after="0" w:line="9"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-1764665</wp:posOffset>
            </wp:positionH>
            <wp:positionV relativeFrom="paragraph">
              <wp:posOffset>-1905</wp:posOffset>
            </wp:positionV>
            <wp:extent cx="213550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35505" cy="17145"/>
                    </a:xfrm>
                    <a:prstGeom prst="rect">
                      <a:avLst/>
                    </a:prstGeom>
                    <a:noFill/>
                  </pic:spPr>
                </pic:pic>
              </a:graphicData>
            </a:graphic>
          </wp:anchor>
        </w:drawing>
      </w:r>
    </w:p>
    <w:p>
      <w:pPr>
        <w:spacing w:after="0" w:line="2" w:lineRule="exact"/>
        <w:rPr>
          <w:sz w:val="20"/>
          <w:szCs w:val="20"/>
          <w:color w:val="auto"/>
        </w:rPr>
      </w:pPr>
    </w:p>
    <w:p>
      <w:pPr>
        <w:jc w:val="right"/>
        <w:ind w:right="1680"/>
        <w:spacing w:after="0"/>
        <w:rPr>
          <w:sz w:val="20"/>
          <w:szCs w:val="20"/>
          <w:color w:val="auto"/>
        </w:rPr>
      </w:pPr>
      <w:r>
        <w:rPr>
          <w:rFonts w:ascii="Arial" w:cs="Arial" w:eastAsia="Arial" w:hAnsi="Arial"/>
          <w:sz w:val="16"/>
          <w:szCs w:val="16"/>
          <w:color w:val="auto"/>
        </w:rPr>
        <w:t>168.4</w:t>
      </w:r>
    </w:p>
    <w:p>
      <w:pPr>
        <w:spacing w:after="0" w:line="59"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-1764665</wp:posOffset>
            </wp:positionH>
            <wp:positionV relativeFrom="paragraph">
              <wp:posOffset>6350</wp:posOffset>
            </wp:positionV>
            <wp:extent cx="213550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35505" cy="1714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8240" w:space="720"/>
            <w:col w:w="2100"/>
          </w:cols>
          <w:pgMar w:left="240" w:top="117" w:right="599" w:bottom="1440" w:gutter="0" w:footer="0" w:header="0"/>
          <w:type w:val="continuous"/>
        </w:sectPr>
      </w:pPr>
    </w:p>
    <w:p>
      <w:pPr>
        <w:spacing w:after="0" w:line="26" w:lineRule="exact"/>
        <w:rPr>
          <w:sz w:val="20"/>
          <w:szCs w:val="20"/>
          <w:color w:val="auto"/>
        </w:rPr>
      </w:pPr>
    </w:p>
    <w:tbl>
      <w:tblPr>
        <w:tblLayout w:type="fixed"/>
        <w:tblInd w:w="1900" w:type="dxa"/>
        <w:tblCellMar>
          <w:top w:w="0" w:type="dxa"/>
          <w:left w:w="0" w:type="dxa"/>
          <w:bottom w:w="0" w:type="dxa"/>
          <w:right w:w="0" w:type="dxa"/>
        </w:tblCellMar>
      </w:tblP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ind w:left="400"/>
              <w:spacing w:after="0"/>
              <w:rPr>
                <w:sz w:val="20"/>
                <w:szCs w:val="20"/>
                <w:color w:val="auto"/>
              </w:rPr>
            </w:pPr>
            <w:r>
              <w:rPr>
                <w:rFonts w:ascii="Arial" w:cs="Arial" w:eastAsia="Arial" w:hAnsi="Arial"/>
                <w:sz w:val="18"/>
                <w:szCs w:val="18"/>
                <w:color w:val="auto"/>
              </w:rPr>
              <w:t>Interest income (expense)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36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w w:val="96"/>
              </w:rPr>
              <w:t>Foreign exchange and other – (gain) loss</w:t>
            </w:r>
          </w:p>
        </w:tc>
        <w:tc>
          <w:tcPr>
            <w:tcW w:w="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360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ind w:left="400"/>
              <w:spacing w:after="0"/>
              <w:rPr>
                <w:sz w:val="20"/>
                <w:szCs w:val="20"/>
                <w:color w:val="auto"/>
              </w:rPr>
            </w:pPr>
            <w:r>
              <w:rPr>
                <w:rFonts w:ascii="Arial" w:cs="Arial" w:eastAsia="Arial" w:hAnsi="Arial"/>
                <w:sz w:val="18"/>
                <w:szCs w:val="18"/>
                <w:color w:val="auto"/>
              </w:rPr>
              <w:t>Loss from equity method investments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36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Income tax expense (benefit)</w:t>
            </w:r>
          </w:p>
        </w:tc>
        <w:tc>
          <w:tcPr>
            <w:tcW w:w="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
        </w:trPr>
        <w:tc>
          <w:tcPr>
            <w:tcW w:w="3600" w:type="dxa"/>
            <w:vAlign w:val="bottom"/>
            <w:gridSpan w:val="2"/>
            <w:vMerge w:val="restart"/>
          </w:tcPr>
          <w:p>
            <w:pPr>
              <w:spacing w:after="0"/>
              <w:rPr>
                <w:sz w:val="20"/>
                <w:szCs w:val="20"/>
                <w:color w:val="auto"/>
              </w:rPr>
            </w:pPr>
            <w:r>
              <w:rPr>
                <w:rFonts w:ascii="Arial" w:cs="Arial" w:eastAsia="Arial" w:hAnsi="Arial"/>
                <w:sz w:val="18"/>
                <w:szCs w:val="18"/>
                <w:color w:val="auto"/>
              </w:rPr>
              <w:t>Earnings (loss) per common share:</w:t>
            </w: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60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940" w:type="dxa"/>
            <w:vAlign w:val="bottom"/>
            <w:gridSpan w:val="4"/>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30"/>
        </w:trPr>
        <w:tc>
          <w:tcPr>
            <w:tcW w:w="3600" w:type="dxa"/>
            <w:vAlign w:val="bottom"/>
            <w:gridSpan w:val="2"/>
          </w:tcPr>
          <w:p>
            <w:pPr>
              <w:ind w:left="400"/>
              <w:spacing w:after="0"/>
              <w:rPr>
                <w:sz w:val="20"/>
                <w:szCs w:val="20"/>
                <w:color w:val="auto"/>
              </w:rPr>
            </w:pPr>
            <w:r>
              <w:rPr>
                <w:rFonts w:ascii="Arial" w:cs="Arial" w:eastAsia="Arial" w:hAnsi="Arial"/>
                <w:sz w:val="18"/>
                <w:szCs w:val="18"/>
                <w:color w:val="auto"/>
              </w:rPr>
              <w:t>Diluted</w:t>
            </w:r>
          </w:p>
        </w:tc>
        <w:tc>
          <w:tcPr>
            <w:tcW w:w="940" w:type="dxa"/>
            <w:vAlign w:val="bottom"/>
            <w:gridSpan w:val="4"/>
          </w:tcPr>
          <w:p>
            <w:pPr>
              <w:jc w:val="right"/>
              <w:ind w:right="105"/>
              <w:spacing w:after="0"/>
              <w:rPr>
                <w:sz w:val="20"/>
                <w:szCs w:val="20"/>
                <w:color w:val="auto"/>
              </w:rPr>
            </w:pPr>
            <w:r>
              <w:rPr>
                <w:rFonts w:ascii="Arial" w:cs="Arial" w:eastAsia="Arial" w:hAnsi="Arial"/>
                <w:sz w:val="18"/>
                <w:szCs w:val="18"/>
                <w:color w:val="auto"/>
              </w:rPr>
              <w:t>$</w:t>
            </w:r>
          </w:p>
        </w:tc>
        <w:tc>
          <w:tcPr>
            <w:tcW w:w="1860" w:type="dxa"/>
            <w:vAlign w:val="bottom"/>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390"/>
        </w:trPr>
        <w:tc>
          <w:tcPr>
            <w:tcW w:w="3600" w:type="dxa"/>
            <w:vAlign w:val="bottom"/>
            <w:gridSpan w:val="2"/>
          </w:tcPr>
          <w:p>
            <w:pPr>
              <w:spacing w:after="0"/>
              <w:rPr>
                <w:sz w:val="20"/>
                <w:szCs w:val="20"/>
                <w:color w:val="auto"/>
              </w:rPr>
            </w:pPr>
            <w:r>
              <w:rPr>
                <w:rFonts w:ascii="Arial" w:cs="Arial" w:eastAsia="Arial" w:hAnsi="Arial"/>
                <w:sz w:val="18"/>
                <w:szCs w:val="18"/>
                <w:color w:val="auto"/>
                <w:w w:val="89"/>
              </w:rPr>
              <w:t>Weighted average common shares outstanding (in</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600" w:type="dxa"/>
            <w:vAlign w:val="bottom"/>
            <w:gridSpan w:val="2"/>
          </w:tcPr>
          <w:p>
            <w:pPr>
              <w:spacing w:after="0"/>
              <w:rPr>
                <w:sz w:val="20"/>
                <w:szCs w:val="20"/>
                <w:color w:val="auto"/>
              </w:rPr>
            </w:pPr>
            <w:r>
              <w:rPr>
                <w:rFonts w:ascii="Arial" w:cs="Arial" w:eastAsia="Arial" w:hAnsi="Arial"/>
                <w:sz w:val="18"/>
                <w:szCs w:val="18"/>
                <w:color w:val="auto"/>
              </w:rPr>
              <w:t>millions)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30"/>
        </w:trPr>
        <w:tc>
          <w:tcPr>
            <w:tcW w:w="3600" w:type="dxa"/>
            <w:vAlign w:val="bottom"/>
            <w:gridSpan w:val="2"/>
          </w:tcPr>
          <w:p>
            <w:pPr>
              <w:ind w:left="400"/>
              <w:spacing w:after="0"/>
              <w:rPr>
                <w:sz w:val="20"/>
                <w:szCs w:val="20"/>
                <w:color w:val="auto"/>
              </w:rPr>
            </w:pPr>
            <w:r>
              <w:rPr>
                <w:rFonts w:ascii="Arial" w:cs="Arial" w:eastAsia="Arial" w:hAnsi="Arial"/>
                <w:sz w:val="18"/>
                <w:szCs w:val="18"/>
                <w:color w:val="auto"/>
              </w:rPr>
              <w:t>Diluted</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404"/>
        </w:trPr>
        <w:tc>
          <w:tcPr>
            <w:tcW w:w="3600" w:type="dxa"/>
            <w:vAlign w:val="bottom"/>
            <w:gridSpan w:val="2"/>
          </w:tcPr>
          <w:p>
            <w:pPr>
              <w:spacing w:after="0"/>
              <w:rPr>
                <w:sz w:val="20"/>
                <w:szCs w:val="20"/>
                <w:color w:val="auto"/>
              </w:rPr>
            </w:pPr>
            <w:r>
              <w:rPr>
                <w:rFonts w:ascii="Arial" w:cs="Arial" w:eastAsia="Arial" w:hAnsi="Arial"/>
                <w:sz w:val="18"/>
                <w:szCs w:val="18"/>
                <w:color w:val="auto"/>
              </w:rPr>
              <w:t>Adjusted Gross Profit</w:t>
            </w:r>
            <w:r>
              <w:rPr>
                <w:rFonts w:ascii="Arial" w:cs="Arial" w:eastAsia="Arial" w:hAnsi="Arial"/>
                <w:sz w:val="30"/>
                <w:szCs w:val="30"/>
                <w:color w:val="auto"/>
                <w:vertAlign w:val="superscript"/>
              </w:rPr>
              <w:t>(1)</w:t>
            </w:r>
          </w:p>
        </w:tc>
        <w:tc>
          <w:tcPr>
            <w:tcW w:w="940" w:type="dxa"/>
            <w:vAlign w:val="bottom"/>
            <w:gridSpan w:val="4"/>
          </w:tcPr>
          <w:p>
            <w:pPr>
              <w:jc w:val="right"/>
              <w:ind w:right="105"/>
              <w:spacing w:after="0"/>
              <w:rPr>
                <w:sz w:val="20"/>
                <w:szCs w:val="20"/>
                <w:color w:val="auto"/>
              </w:rPr>
            </w:pPr>
            <w:r>
              <w:rPr>
                <w:rFonts w:ascii="Arial" w:cs="Arial" w:eastAsia="Arial" w:hAnsi="Arial"/>
                <w:sz w:val="18"/>
                <w:szCs w:val="18"/>
                <w:color w:val="auto"/>
              </w:rPr>
              <w:t>$</w:t>
            </w:r>
          </w:p>
        </w:tc>
        <w:tc>
          <w:tcPr>
            <w:tcW w:w="1860" w:type="dxa"/>
            <w:vAlign w:val="bottom"/>
          </w:tcPr>
          <w:p>
            <w:pPr>
              <w:spacing w:after="0"/>
              <w:rPr>
                <w:sz w:val="24"/>
                <w:szCs w:val="24"/>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30"/>
        </w:trPr>
        <w:tc>
          <w:tcPr>
            <w:tcW w:w="3600" w:type="dxa"/>
            <w:vAlign w:val="bottom"/>
            <w:gridSpan w:val="2"/>
          </w:tcPr>
          <w:p>
            <w:pPr>
              <w:spacing w:after="0" w:line="230" w:lineRule="exact"/>
              <w:rPr>
                <w:sz w:val="20"/>
                <w:szCs w:val="20"/>
                <w:color w:val="auto"/>
              </w:rPr>
            </w:pPr>
            <w:r>
              <w:rPr>
                <w:rFonts w:ascii="Arial" w:cs="Arial" w:eastAsia="Arial" w:hAnsi="Arial"/>
                <w:sz w:val="16"/>
                <w:szCs w:val="16"/>
                <w:color w:val="auto"/>
              </w:rPr>
              <w:t>Adjusted SG&amp;A</w:t>
            </w:r>
            <w:r>
              <w:rPr>
                <w:rFonts w:ascii="Arial" w:cs="Arial" w:eastAsia="Arial" w:hAnsi="Arial"/>
                <w:sz w:val="26"/>
                <w:szCs w:val="26"/>
                <w:color w:val="auto"/>
                <w:vertAlign w:val="superscript"/>
              </w:rPr>
              <w:t>(1)</w:t>
            </w:r>
          </w:p>
        </w:tc>
        <w:tc>
          <w:tcPr>
            <w:tcW w:w="940" w:type="dxa"/>
            <w:vAlign w:val="bottom"/>
            <w:gridSpan w:val="4"/>
          </w:tcPr>
          <w:p>
            <w:pPr>
              <w:jc w:val="right"/>
              <w:ind w:right="105"/>
              <w:spacing w:after="0"/>
              <w:rPr>
                <w:sz w:val="20"/>
                <w:szCs w:val="20"/>
                <w:color w:val="auto"/>
              </w:rPr>
            </w:pPr>
            <w:r>
              <w:rPr>
                <w:rFonts w:ascii="Arial" w:cs="Arial" w:eastAsia="Arial" w:hAnsi="Arial"/>
                <w:sz w:val="18"/>
                <w:szCs w:val="18"/>
                <w:color w:val="auto"/>
              </w:rPr>
              <w:t>$</w:t>
            </w:r>
          </w:p>
        </w:tc>
        <w:tc>
          <w:tcPr>
            <w:tcW w:w="1860" w:type="dxa"/>
            <w:vAlign w:val="bottom"/>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Adjusted R&amp;D</w:t>
            </w:r>
            <w:r>
              <w:rPr>
                <w:rFonts w:ascii="Arial" w:cs="Arial" w:eastAsia="Arial" w:hAnsi="Arial"/>
                <w:sz w:val="25"/>
                <w:szCs w:val="25"/>
                <w:color w:val="auto"/>
                <w:vertAlign w:val="superscript"/>
              </w:rPr>
              <w:t>(1)</w:t>
            </w:r>
          </w:p>
        </w:tc>
        <w:tc>
          <w:tcPr>
            <w:tcW w:w="940" w:type="dxa"/>
            <w:vAlign w:val="bottom"/>
            <w:gridSpan w:val="4"/>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line="216" w:lineRule="exact"/>
              <w:rPr>
                <w:sz w:val="20"/>
                <w:szCs w:val="20"/>
                <w:color w:val="auto"/>
              </w:rPr>
            </w:pPr>
            <w:r>
              <w:rPr>
                <w:rFonts w:ascii="Arial" w:cs="Arial" w:eastAsia="Arial" w:hAnsi="Arial"/>
                <w:sz w:val="16"/>
                <w:szCs w:val="16"/>
                <w:color w:val="auto"/>
              </w:rPr>
              <w:t>Adjusted Income (loss) from Operations</w:t>
            </w:r>
            <w:r>
              <w:rPr>
                <w:rFonts w:ascii="Arial" w:cs="Arial" w:eastAsia="Arial" w:hAnsi="Arial"/>
                <w:sz w:val="25"/>
                <w:szCs w:val="25"/>
                <w:color w:val="auto"/>
                <w:vertAlign w:val="superscript"/>
              </w:rPr>
              <w:t>(1)</w:t>
            </w:r>
          </w:p>
        </w:tc>
        <w:tc>
          <w:tcPr>
            <w:tcW w:w="940" w:type="dxa"/>
            <w:vAlign w:val="bottom"/>
            <w:gridSpan w:val="4"/>
          </w:tcPr>
          <w:p>
            <w:pPr>
              <w:jc w:val="right"/>
              <w:ind w:right="105"/>
              <w:spacing w:after="0"/>
              <w:rPr>
                <w:sz w:val="20"/>
                <w:szCs w:val="20"/>
                <w:color w:val="auto"/>
              </w:rPr>
            </w:pPr>
            <w:r>
              <w:rPr>
                <w:rFonts w:ascii="Arial" w:cs="Arial" w:eastAsia="Arial" w:hAnsi="Arial"/>
                <w:sz w:val="18"/>
                <w:szCs w:val="18"/>
                <w:color w:val="auto"/>
              </w:rPr>
              <w:t>$</w:t>
            </w:r>
          </w:p>
        </w:tc>
        <w:tc>
          <w:tcPr>
            <w:tcW w:w="186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Adjusted Net Income (loss)</w:t>
            </w:r>
            <w:r>
              <w:rPr>
                <w:rFonts w:ascii="Arial" w:cs="Arial" w:eastAsia="Arial" w:hAnsi="Arial"/>
                <w:sz w:val="25"/>
                <w:szCs w:val="25"/>
                <w:color w:val="auto"/>
                <w:vertAlign w:val="superscript"/>
              </w:rPr>
              <w:t>(1)</w:t>
            </w:r>
          </w:p>
        </w:tc>
        <w:tc>
          <w:tcPr>
            <w:tcW w:w="940" w:type="dxa"/>
            <w:vAlign w:val="bottom"/>
            <w:gridSpan w:val="4"/>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390"/>
        </w:trPr>
        <w:tc>
          <w:tcPr>
            <w:tcW w:w="3600" w:type="dxa"/>
            <w:vAlign w:val="bottom"/>
            <w:gridSpan w:val="2"/>
          </w:tcPr>
          <w:p>
            <w:pPr>
              <w:spacing w:after="0"/>
              <w:rPr>
                <w:sz w:val="20"/>
                <w:szCs w:val="20"/>
                <w:color w:val="auto"/>
              </w:rPr>
            </w:pPr>
            <w:r>
              <w:rPr>
                <w:rFonts w:ascii="Arial" w:cs="Arial" w:eastAsia="Arial" w:hAnsi="Arial"/>
                <w:sz w:val="18"/>
                <w:szCs w:val="18"/>
                <w:color w:val="auto"/>
              </w:rPr>
              <w:t>Adjusted Diluted Earnings Per Share</w:t>
            </w:r>
            <w:r>
              <w:rPr>
                <w:rFonts w:ascii="Arial" w:cs="Arial" w:eastAsia="Arial" w:hAnsi="Arial"/>
                <w:sz w:val="30"/>
                <w:szCs w:val="30"/>
                <w:color w:val="auto"/>
                <w:vertAlign w:val="superscript"/>
              </w:rPr>
              <w:t>(1)</w:t>
            </w:r>
          </w:p>
        </w:tc>
        <w:tc>
          <w:tcPr>
            <w:tcW w:w="940" w:type="dxa"/>
            <w:vAlign w:val="bottom"/>
            <w:gridSpan w:val="4"/>
          </w:tcPr>
          <w:p>
            <w:pPr>
              <w:jc w:val="right"/>
              <w:ind w:right="105"/>
              <w:spacing w:after="0"/>
              <w:rPr>
                <w:sz w:val="20"/>
                <w:szCs w:val="20"/>
                <w:color w:val="auto"/>
              </w:rPr>
            </w:pPr>
            <w:r>
              <w:rPr>
                <w:rFonts w:ascii="Arial" w:cs="Arial" w:eastAsia="Arial" w:hAnsi="Arial"/>
                <w:sz w:val="18"/>
                <w:szCs w:val="18"/>
                <w:color w:val="auto"/>
              </w:rPr>
              <w:t>$</w:t>
            </w:r>
          </w:p>
        </w:tc>
        <w:tc>
          <w:tcPr>
            <w:tcW w:w="1860" w:type="dxa"/>
            <w:vAlign w:val="bottom"/>
          </w:tcPr>
          <w:p>
            <w:pPr>
              <w:spacing w:after="0"/>
              <w:rPr>
                <w:sz w:val="24"/>
                <w:szCs w:val="24"/>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13"/>
        </w:trPr>
        <w:tc>
          <w:tcPr>
            <w:tcW w:w="4540" w:type="dxa"/>
            <w:vAlign w:val="bottom"/>
            <w:gridSpan w:val="6"/>
          </w:tcPr>
          <w:p>
            <w:pPr>
              <w:spacing w:after="0"/>
              <w:rPr>
                <w:sz w:val="20"/>
                <w:szCs w:val="20"/>
                <w:color w:val="auto"/>
              </w:rPr>
            </w:pPr>
            <w:r>
              <w:rPr>
                <w:rFonts w:ascii="Arial" w:cs="Arial" w:eastAsia="Arial" w:hAnsi="Arial"/>
                <w:sz w:val="18"/>
                <w:szCs w:val="18"/>
                <w:b w:val="1"/>
                <w:bCs w:val="1"/>
                <w:color w:val="auto"/>
              </w:rPr>
              <w:t>Statistics (as a % of net sales, except for income tax</w:t>
            </w:r>
          </w:p>
        </w:tc>
        <w:tc>
          <w:tcPr>
            <w:tcW w:w="1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rate)</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380" w:type="dxa"/>
            <w:vAlign w:val="bottom"/>
          </w:tcPr>
          <w:p>
            <w:pPr>
              <w:spacing w:after="0"/>
              <w:rPr>
                <w:sz w:val="24"/>
                <w:szCs w:val="24"/>
                <w:color w:val="auto"/>
              </w:rPr>
            </w:pPr>
          </w:p>
        </w:tc>
        <w:tc>
          <w:tcPr>
            <w:tcW w:w="2160" w:type="dxa"/>
            <w:vAlign w:val="bottom"/>
            <w:gridSpan w:val="5"/>
          </w:tcPr>
          <w:p>
            <w:pPr>
              <w:jc w:val="center"/>
              <w:ind w:right="365"/>
              <w:spacing w:after="0"/>
              <w:rPr>
                <w:sz w:val="20"/>
                <w:szCs w:val="20"/>
                <w:color w:val="auto"/>
              </w:rPr>
            </w:pPr>
            <w:r>
              <w:rPr>
                <w:rFonts w:ascii="Arial" w:cs="Arial" w:eastAsia="Arial" w:hAnsi="Arial"/>
                <w:sz w:val="18"/>
                <w:szCs w:val="18"/>
                <w:color w:val="auto"/>
                <w:w w:val="94"/>
              </w:rPr>
              <w:t>GAAP Three</w:t>
            </w:r>
          </w:p>
        </w:tc>
        <w:tc>
          <w:tcPr>
            <w:tcW w:w="3100" w:type="dxa"/>
            <w:vAlign w:val="bottom"/>
            <w:gridSpan w:val="2"/>
            <w:vMerge w:val="restart"/>
          </w:tcPr>
          <w:p>
            <w:pPr>
              <w:jc w:val="right"/>
              <w:ind w:right="450"/>
              <w:spacing w:after="0"/>
              <w:rPr>
                <w:sz w:val="20"/>
                <w:szCs w:val="20"/>
                <w:color w:val="auto"/>
              </w:rPr>
            </w:pPr>
            <w:r>
              <w:rPr>
                <w:rFonts w:ascii="Arial" w:cs="Arial" w:eastAsia="Arial" w:hAnsi="Arial"/>
                <w:sz w:val="18"/>
                <w:szCs w:val="18"/>
                <w:color w:val="auto"/>
                <w:w w:val="94"/>
              </w:rPr>
              <w:t>Adjusted</w:t>
            </w:r>
            <w:r>
              <w:rPr>
                <w:rFonts w:ascii="Arial" w:cs="Arial" w:eastAsia="Arial" w:hAnsi="Arial"/>
                <w:sz w:val="30"/>
                <w:szCs w:val="30"/>
                <w:color w:val="auto"/>
                <w:w w:val="94"/>
                <w:vertAlign w:val="superscript"/>
              </w:rPr>
              <w:t>(1)</w:t>
            </w:r>
            <w:r>
              <w:rPr>
                <w:rFonts w:ascii="Arial" w:cs="Arial" w:eastAsia="Arial" w:hAnsi="Arial"/>
                <w:sz w:val="18"/>
                <w:szCs w:val="18"/>
                <w:color w:val="auto"/>
                <w:w w:val="94"/>
              </w:rPr>
              <w:t xml:space="preserve"> Three Months Ended</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2160" w:type="dxa"/>
            <w:vAlign w:val="bottom"/>
            <w:gridSpan w:val="5"/>
          </w:tcPr>
          <w:p>
            <w:pPr>
              <w:jc w:val="center"/>
              <w:ind w:right="385"/>
              <w:spacing w:after="0" w:line="202" w:lineRule="exact"/>
              <w:rPr>
                <w:sz w:val="20"/>
                <w:szCs w:val="20"/>
                <w:color w:val="auto"/>
              </w:rPr>
            </w:pPr>
            <w:r>
              <w:rPr>
                <w:rFonts w:ascii="Arial" w:cs="Arial" w:eastAsia="Arial" w:hAnsi="Arial"/>
                <w:sz w:val="18"/>
                <w:szCs w:val="18"/>
                <w:color w:val="auto"/>
                <w:w w:val="91"/>
              </w:rPr>
              <w:t>Months Ended</w:t>
            </w:r>
          </w:p>
        </w:tc>
        <w:tc>
          <w:tcPr>
            <w:tcW w:w="3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22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86"/>
              </w:rPr>
              <w:t>June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June 30,</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122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89"/>
              </w:rPr>
              <w:t>2016</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rPr>
              <w:t>2016</w:t>
            </w:r>
          </w:p>
        </w:tc>
        <w:tc>
          <w:tcPr>
            <w:tcW w:w="12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
        </w:trPr>
        <w:tc>
          <w:tcPr>
            <w:tcW w:w="23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59.3%</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65.1%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43"/>
        </w:trPr>
        <w:tc>
          <w:tcPr>
            <w:tcW w:w="3600" w:type="dxa"/>
            <w:vAlign w:val="bottom"/>
            <w:gridSpan w:val="2"/>
          </w:tcPr>
          <w:p>
            <w:pPr>
              <w:spacing w:after="0"/>
              <w:rPr>
                <w:sz w:val="20"/>
                <w:szCs w:val="20"/>
                <w:color w:val="auto"/>
              </w:rPr>
            </w:pPr>
            <w:r>
              <w:rPr>
                <w:rFonts w:ascii="Arial" w:cs="Arial" w:eastAsia="Arial" w:hAnsi="Arial"/>
                <w:sz w:val="18"/>
                <w:szCs w:val="18"/>
                <w:color w:val="auto"/>
              </w:rPr>
              <w:t>SG&amp;A</w:t>
            </w:r>
          </w:p>
        </w:tc>
        <w:tc>
          <w:tcPr>
            <w:tcW w:w="500" w:type="dxa"/>
            <w:vAlign w:val="bottom"/>
          </w:tcPr>
          <w:p>
            <w:pPr>
              <w:jc w:val="right"/>
              <w:spacing w:after="0"/>
              <w:rPr>
                <w:sz w:val="20"/>
                <w:szCs w:val="20"/>
                <w:color w:val="auto"/>
              </w:rPr>
            </w:pPr>
            <w:r>
              <w:rPr>
                <w:rFonts w:ascii="Arial" w:cs="Arial" w:eastAsia="Arial" w:hAnsi="Arial"/>
                <w:sz w:val="18"/>
                <w:szCs w:val="18"/>
                <w:color w:val="auto"/>
                <w:w w:val="90"/>
              </w:rPr>
              <w:t>37.4%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tcPr>
          <w:p>
            <w:pPr>
              <w:jc w:val="right"/>
              <w:ind w:right="410"/>
              <w:spacing w:after="0"/>
              <w:rPr>
                <w:sz w:val="20"/>
                <w:szCs w:val="20"/>
                <w:color w:val="auto"/>
              </w:rPr>
            </w:pPr>
            <w:r>
              <w:rPr>
                <w:rFonts w:ascii="Arial" w:cs="Arial" w:eastAsia="Arial" w:hAnsi="Arial"/>
                <w:sz w:val="18"/>
                <w:szCs w:val="18"/>
                <w:color w:val="auto"/>
              </w:rPr>
              <w:t>36.2%</w:t>
            </w:r>
          </w:p>
        </w:tc>
        <w:tc>
          <w:tcPr>
            <w:tcW w:w="1240" w:type="dxa"/>
            <w:vAlign w:val="bottom"/>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43"/>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R&amp;D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9.3%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3600" w:type="dxa"/>
            <w:vAlign w:val="bottom"/>
            <w:gridSpan w:val="2"/>
          </w:tcPr>
          <w:p>
            <w:pPr>
              <w:spacing w:after="0"/>
              <w:rPr>
                <w:sz w:val="20"/>
                <w:szCs w:val="20"/>
                <w:color w:val="auto"/>
              </w:rPr>
            </w:pPr>
            <w:r>
              <w:rPr>
                <w:rFonts w:ascii="Arial" w:cs="Arial" w:eastAsia="Arial" w:hAnsi="Arial"/>
                <w:sz w:val="18"/>
                <w:szCs w:val="18"/>
                <w:color w:val="auto"/>
              </w:rPr>
              <w:t>Income from Operations (loss)</w:t>
            </w:r>
          </w:p>
        </w:tc>
        <w:tc>
          <w:tcPr>
            <w:tcW w:w="5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tcPr>
          <w:p>
            <w:pPr>
              <w:jc w:val="right"/>
              <w:ind w:right="410"/>
              <w:spacing w:after="0"/>
              <w:rPr>
                <w:sz w:val="20"/>
                <w:szCs w:val="20"/>
                <w:color w:val="auto"/>
              </w:rPr>
            </w:pPr>
            <w:r>
              <w:rPr>
                <w:rFonts w:ascii="Arial" w:cs="Arial" w:eastAsia="Arial" w:hAnsi="Arial"/>
                <w:sz w:val="18"/>
                <w:szCs w:val="18"/>
                <w:color w:val="auto"/>
              </w:rPr>
              <w:t>19.5%</w:t>
            </w:r>
          </w:p>
        </w:tc>
        <w:tc>
          <w:tcPr>
            <w:tcW w:w="124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3"/>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13.4%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3600" w:type="dxa"/>
            <w:vAlign w:val="bottom"/>
            <w:gridSpan w:val="2"/>
          </w:tcPr>
          <w:p>
            <w:pPr>
              <w:spacing w:after="0"/>
              <w:rPr>
                <w:sz w:val="20"/>
                <w:szCs w:val="20"/>
                <w:color w:val="auto"/>
              </w:rPr>
            </w:pPr>
            <w:r>
              <w:rPr>
                <w:rFonts w:ascii="Arial" w:cs="Arial" w:eastAsia="Arial" w:hAnsi="Arial"/>
                <w:sz w:val="18"/>
                <w:szCs w:val="18"/>
                <w:color w:val="auto"/>
              </w:rPr>
              <w:t>Income Tax Rate</w:t>
            </w:r>
          </w:p>
        </w:tc>
        <w:tc>
          <w:tcPr>
            <w:tcW w:w="500" w:type="dxa"/>
            <w:vAlign w:val="bottom"/>
          </w:tcPr>
          <w:p>
            <w:pPr>
              <w:jc w:val="right"/>
              <w:spacing w:after="0"/>
              <w:rPr>
                <w:sz w:val="20"/>
                <w:szCs w:val="20"/>
                <w:color w:val="auto"/>
              </w:rPr>
            </w:pPr>
            <w:r>
              <w:rPr>
                <w:rFonts w:ascii="Arial" w:cs="Arial" w:eastAsia="Arial" w:hAnsi="Arial"/>
                <w:sz w:val="18"/>
                <w:szCs w:val="18"/>
                <w:color w:val="auto"/>
                <w:w w:val="90"/>
              </w:rPr>
              <w:t>40.3%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tcPr>
          <w:p>
            <w:pPr>
              <w:jc w:val="right"/>
              <w:ind w:right="410"/>
              <w:spacing w:after="0"/>
              <w:rPr>
                <w:sz w:val="20"/>
                <w:szCs w:val="20"/>
                <w:color w:val="auto"/>
              </w:rPr>
            </w:pPr>
            <w:r>
              <w:rPr>
                <w:rFonts w:ascii="Arial" w:cs="Arial" w:eastAsia="Arial" w:hAnsi="Arial"/>
                <w:sz w:val="18"/>
                <w:szCs w:val="18"/>
                <w:color w:val="auto"/>
              </w:rPr>
              <w:t>25.9%</w:t>
            </w:r>
          </w:p>
        </w:tc>
        <w:tc>
          <w:tcPr>
            <w:tcW w:w="124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(1)Adjusted financial measures are Non-GAAP measures and exclude specified items as described and reconciled to compare GAAP financial measures in the Reconciliation of GAAP to non-GAAP Financial Measures contained in the press release</w:t>
      </w:r>
      <w:r>
        <w:rPr>
          <w:rFonts w:ascii="Arial" w:cs="Arial" w:eastAsia="Arial" w:hAnsi="Arial"/>
          <w:sz w:val="15"/>
          <w:szCs w:val="15"/>
          <w:color w:val="auto"/>
        </w:rPr>
        <w: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*Numbers may not add due to rounding. n/a is not applicable, there is no applicable adjusted net inicome or tax rate reported for 2Q15.</w:t>
      </w:r>
    </w:p>
    <w:p>
      <w:pPr>
        <w:sectPr>
          <w:pgSz w:w="11900" w:h="16838" w:orient="portrait"/>
          <w:cols w:equalWidth="0" w:num="1">
            <w:col w:w="11060"/>
          </w:cols>
          <w:pgMar w:left="240" w:top="117" w:right="599" w:bottom="1440" w:gutter="0" w:footer="0" w:header="0"/>
          <w:type w:val="continuous"/>
        </w:sectPr>
      </w:pPr>
    </w:p>
    <w:p>
      <w:pPr>
        <w:spacing w:after="0" w:line="329" w:lineRule="exact"/>
        <w:rPr>
          <w:sz w:val="20"/>
          <w:szCs w:val="20"/>
          <w:color w:val="auto"/>
        </w:rPr>
      </w:pPr>
    </w:p>
    <w:p>
      <w:pPr>
        <w:jc w:val="center"/>
        <w:ind w:right="-35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7" w:right="599" w:bottom="1440" w:gutter="0" w:footer="0" w:header="0"/>
          <w:type w:val="continuous"/>
        </w:sectPr>
      </w:pPr>
    </w:p>
    <w:bookmarkStart w:id="17" w:name="page18"/>
    <w:bookmarkEnd w:id="17"/>
    <w:tbl>
      <w:tblPr>
        <w:tblLayout w:type="fixed"/>
        <w:tblInd w:w="1900" w:type="dxa"/>
        <w:tblCellMar>
          <w:top w:w="0" w:type="dxa"/>
          <w:left w:w="0" w:type="dxa"/>
          <w:bottom w:w="0" w:type="dxa"/>
          <w:right w:w="0" w:type="dxa"/>
        </w:tblCellMar>
      </w:tblPr>
      <w:tr>
        <w:trPr>
          <w:trHeight w:val="207"/>
        </w:trPr>
        <w:tc>
          <w:tcPr>
            <w:tcW w:w="1820" w:type="dxa"/>
            <w:vAlign w:val="bottom"/>
          </w:tcPr>
          <w:p>
            <w:pPr>
              <w:spacing w:after="0"/>
              <w:rPr>
                <w:sz w:val="17"/>
                <w:szCs w:val="17"/>
                <w:color w:val="auto"/>
              </w:rPr>
            </w:pPr>
          </w:p>
        </w:tc>
        <w:tc>
          <w:tcPr>
            <w:tcW w:w="5180" w:type="dxa"/>
            <w:vAlign w:val="bottom"/>
            <w:gridSpan w:val="2"/>
          </w:tcPr>
          <w:p>
            <w:pPr>
              <w:ind w:left="500"/>
              <w:spacing w:after="0"/>
              <w:rPr>
                <w:sz w:val="20"/>
                <w:szCs w:val="20"/>
                <w:color w:val="auto"/>
              </w:rPr>
            </w:pPr>
            <w:r>
              <w:rPr>
                <w:rFonts w:ascii="Arial" w:cs="Arial" w:eastAsia="Arial" w:hAnsi="Arial"/>
                <w:sz w:val="18"/>
                <w:szCs w:val="18"/>
                <w:b w:val="1"/>
                <w:bCs w:val="1"/>
                <w:color w:val="auto"/>
              </w:rPr>
              <w:t>LIVANOVA PLC AND SUBSIDIARIES</w:t>
            </w:r>
          </w:p>
        </w:tc>
        <w:tc>
          <w:tcPr>
            <w:tcW w:w="640" w:type="dxa"/>
            <w:vAlign w:val="bottom"/>
          </w:tcPr>
          <w:p>
            <w:pPr>
              <w:spacing w:after="0"/>
              <w:rPr>
                <w:sz w:val="17"/>
                <w:szCs w:val="17"/>
                <w:color w:val="auto"/>
              </w:rPr>
            </w:pPr>
          </w:p>
        </w:tc>
      </w:tr>
      <w:tr>
        <w:trPr>
          <w:trHeight w:val="203"/>
        </w:trPr>
        <w:tc>
          <w:tcPr>
            <w:tcW w:w="1820" w:type="dxa"/>
            <w:vAlign w:val="bottom"/>
          </w:tcPr>
          <w:p>
            <w:pPr>
              <w:spacing w:after="0"/>
              <w:rPr>
                <w:sz w:val="17"/>
                <w:szCs w:val="17"/>
                <w:color w:val="auto"/>
              </w:rPr>
            </w:pPr>
          </w:p>
        </w:tc>
        <w:tc>
          <w:tcPr>
            <w:tcW w:w="5180" w:type="dxa"/>
            <w:vAlign w:val="bottom"/>
            <w:gridSpan w:val="2"/>
          </w:tcPr>
          <w:p>
            <w:pPr>
              <w:ind w:left="500"/>
              <w:spacing w:after="0" w:line="202" w:lineRule="exact"/>
              <w:rPr>
                <w:sz w:val="20"/>
                <w:szCs w:val="20"/>
                <w:color w:val="auto"/>
              </w:rPr>
            </w:pPr>
            <w:r>
              <w:rPr>
                <w:rFonts w:ascii="Arial" w:cs="Arial" w:eastAsia="Arial" w:hAnsi="Arial"/>
                <w:sz w:val="18"/>
                <w:szCs w:val="18"/>
                <w:b w:val="1"/>
                <w:bCs w:val="1"/>
                <w:color w:val="auto"/>
              </w:rPr>
              <w:t>CONSOLIDATED STATEMENTS OF INCOME</w:t>
            </w:r>
          </w:p>
        </w:tc>
        <w:tc>
          <w:tcPr>
            <w:tcW w:w="640" w:type="dxa"/>
            <w:vAlign w:val="bottom"/>
          </w:tcPr>
          <w:p>
            <w:pPr>
              <w:spacing w:after="0"/>
              <w:rPr>
                <w:sz w:val="17"/>
                <w:szCs w:val="17"/>
                <w:color w:val="auto"/>
              </w:rPr>
            </w:pPr>
          </w:p>
        </w:tc>
      </w:tr>
      <w:tr>
        <w:trPr>
          <w:trHeight w:val="234"/>
        </w:trPr>
        <w:tc>
          <w:tcPr>
            <w:tcW w:w="1820" w:type="dxa"/>
            <w:vAlign w:val="bottom"/>
          </w:tcPr>
          <w:p>
            <w:pPr>
              <w:spacing w:after="0"/>
              <w:rPr>
                <w:sz w:val="20"/>
                <w:szCs w:val="20"/>
                <w:color w:val="auto"/>
              </w:rPr>
            </w:pPr>
          </w:p>
        </w:tc>
        <w:tc>
          <w:tcPr>
            <w:tcW w:w="5180" w:type="dxa"/>
            <w:vAlign w:val="bottom"/>
            <w:gridSpan w:val="2"/>
          </w:tcPr>
          <w:p>
            <w:pPr>
              <w:ind w:left="500"/>
              <w:spacing w:after="0"/>
              <w:rPr>
                <w:sz w:val="20"/>
                <w:szCs w:val="20"/>
                <w:color w:val="auto"/>
              </w:rPr>
            </w:pPr>
            <w:r>
              <w:rPr>
                <w:rFonts w:ascii="Arial" w:cs="Arial" w:eastAsia="Arial" w:hAnsi="Arial"/>
                <w:sz w:val="18"/>
                <w:szCs w:val="18"/>
                <w:b w:val="1"/>
                <w:bCs w:val="1"/>
                <w:color w:val="auto"/>
                <w:w w:val="90"/>
              </w:rPr>
              <w:t>U.S. dollars in millions, except share and per share amounts</w:t>
            </w:r>
          </w:p>
        </w:tc>
        <w:tc>
          <w:tcPr>
            <w:tcW w:w="640" w:type="dxa"/>
            <w:vAlign w:val="bottom"/>
          </w:tcPr>
          <w:p>
            <w:pPr>
              <w:spacing w:after="0"/>
              <w:rPr>
                <w:sz w:val="20"/>
                <w:szCs w:val="20"/>
                <w:color w:val="auto"/>
              </w:rPr>
            </w:pPr>
          </w:p>
        </w:tc>
      </w:tr>
      <w:tr>
        <w:trPr>
          <w:trHeight w:val="387"/>
        </w:trPr>
        <w:tc>
          <w:tcPr>
            <w:tcW w:w="18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8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Six Months</w:t>
            </w:r>
          </w:p>
        </w:tc>
        <w:tc>
          <w:tcPr>
            <w:tcW w:w="640" w:type="dxa"/>
            <w:vAlign w:val="bottom"/>
          </w:tcPr>
          <w:p>
            <w:pPr>
              <w:spacing w:after="0"/>
              <w:rPr>
                <w:sz w:val="24"/>
                <w:szCs w:val="24"/>
                <w:color w:val="auto"/>
              </w:rPr>
            </w:pPr>
          </w:p>
        </w:tc>
      </w:tr>
      <w:tr>
        <w:trPr>
          <w:trHeight w:val="203"/>
        </w:trPr>
        <w:tc>
          <w:tcPr>
            <w:tcW w:w="18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280" w:type="dxa"/>
            <w:vAlign w:val="bottom"/>
          </w:tcPr>
          <w:p>
            <w:pPr>
              <w:jc w:val="center"/>
              <w:ind w:left="530"/>
              <w:spacing w:after="0" w:line="202" w:lineRule="exact"/>
              <w:rPr>
                <w:sz w:val="20"/>
                <w:szCs w:val="20"/>
                <w:color w:val="auto"/>
              </w:rPr>
            </w:pPr>
            <w:r>
              <w:rPr>
                <w:rFonts w:ascii="Arial" w:cs="Arial" w:eastAsia="Arial" w:hAnsi="Arial"/>
                <w:sz w:val="18"/>
                <w:szCs w:val="18"/>
                <w:b w:val="1"/>
                <w:bCs w:val="1"/>
                <w:color w:val="auto"/>
                <w:w w:val="89"/>
              </w:rPr>
              <w:t>Ended June 30,</w:t>
            </w:r>
          </w:p>
        </w:tc>
        <w:tc>
          <w:tcPr>
            <w:tcW w:w="640" w:type="dxa"/>
            <w:vAlign w:val="bottom"/>
          </w:tcPr>
          <w:p>
            <w:pPr>
              <w:spacing w:after="0"/>
              <w:rPr>
                <w:sz w:val="17"/>
                <w:szCs w:val="17"/>
                <w:color w:val="auto"/>
              </w:rPr>
            </w:pPr>
          </w:p>
        </w:tc>
      </w:tr>
      <w:tr>
        <w:trPr>
          <w:trHeight w:val="241"/>
        </w:trPr>
        <w:tc>
          <w:tcPr>
            <w:tcW w:w="18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28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b w:val="1"/>
                <w:bCs w:val="1"/>
                <w:color w:val="auto"/>
                <w:w w:val="89"/>
              </w:rPr>
              <w:t>2016</w:t>
            </w:r>
          </w:p>
        </w:tc>
        <w:tc>
          <w:tcPr>
            <w:tcW w:w="640" w:type="dxa"/>
            <w:vAlign w:val="bottom"/>
            <w:tcBorders>
              <w:bottom w:val="single" w:sz="8" w:color="auto"/>
            </w:tcBorders>
          </w:tcPr>
          <w:p>
            <w:pPr>
              <w:spacing w:after="0"/>
              <w:rPr>
                <w:sz w:val="20"/>
                <w:szCs w:val="20"/>
                <w:color w:val="auto"/>
              </w:rPr>
            </w:pPr>
          </w:p>
        </w:tc>
      </w:tr>
      <w:tr>
        <w:trPr>
          <w:trHeight w:val="243"/>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180" w:type="dxa"/>
            <w:vAlign w:val="bottom"/>
            <w:gridSpan w:val="2"/>
            <w:shd w:val="clear" w:color="auto" w:fill="CCEEFF"/>
          </w:tcPr>
          <w:p>
            <w:pPr>
              <w:jc w:val="right"/>
              <w:ind w:right="31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608.0</w:t>
            </w:r>
          </w:p>
        </w:tc>
      </w:tr>
      <w:tr>
        <w:trPr>
          <w:trHeight w:val="250"/>
        </w:trPr>
        <w:tc>
          <w:tcPr>
            <w:tcW w:w="1820" w:type="dxa"/>
            <w:vAlign w:val="bottom"/>
          </w:tcPr>
          <w:p>
            <w:pPr>
              <w:ind w:left="420"/>
              <w:spacing w:after="0"/>
              <w:rPr>
                <w:sz w:val="20"/>
                <w:szCs w:val="20"/>
                <w:color w:val="auto"/>
              </w:rPr>
            </w:pPr>
            <w:r>
              <w:rPr>
                <w:rFonts w:ascii="Arial" w:cs="Arial" w:eastAsia="Arial" w:hAnsi="Arial"/>
                <w:sz w:val="18"/>
                <w:szCs w:val="18"/>
                <w:color w:val="auto"/>
              </w:rPr>
              <w:t>Cost of sales</w:t>
            </w:r>
          </w:p>
        </w:tc>
        <w:tc>
          <w:tcPr>
            <w:tcW w:w="1900" w:type="dxa"/>
            <w:vAlign w:val="bottom"/>
          </w:tcPr>
          <w:p>
            <w:pPr>
              <w:spacing w:after="0"/>
              <w:rPr>
                <w:sz w:val="21"/>
                <w:szCs w:val="21"/>
                <w:color w:val="auto"/>
              </w:rPr>
            </w:pPr>
          </w:p>
        </w:tc>
        <w:tc>
          <w:tcPr>
            <w:tcW w:w="32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254.2</w:t>
            </w:r>
          </w:p>
        </w:tc>
      </w:tr>
      <w:tr>
        <w:trPr>
          <w:trHeight w:val="250"/>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90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353.8</w:t>
            </w:r>
          </w:p>
        </w:tc>
      </w:tr>
    </w:tbl>
    <w:p>
      <w:pPr>
        <w:spacing w:after="0" w:line="200" w:lineRule="exact"/>
        <w:rPr>
          <w:sz w:val="20"/>
          <w:szCs w:val="20"/>
          <w:color w:val="auto"/>
        </w:rPr>
      </w:pPr>
    </w:p>
    <w:p>
      <w:pPr>
        <w:sectPr>
          <w:pgSz w:w="11900" w:h="16838" w:orient="portrait"/>
          <w:cols w:equalWidth="0" w:num="1">
            <w:col w:w="11160"/>
          </w:cols>
          <w:pgMar w:left="240" w:top="319" w:right="499" w:bottom="484" w:gutter="0" w:footer="0" w:header="0"/>
        </w:sectPr>
      </w:pPr>
    </w:p>
    <w:p>
      <w:pPr>
        <w:spacing w:after="0" w:line="56"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14605</wp:posOffset>
            </wp:positionV>
            <wp:extent cx="485394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853940" cy="154305"/>
                    </a:xfrm>
                    <a:prstGeom prst="rect">
                      <a:avLst/>
                    </a:prstGeom>
                    <a:noFill/>
                  </pic:spPr>
                </pic:pic>
              </a:graphicData>
            </a:graphic>
          </wp:anchor>
        </w:drawing>
      </w:r>
    </w:p>
    <w:p>
      <w:pPr>
        <w:spacing w:after="0" w:line="16"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Selling, general and administrative</w:t>
      </w:r>
    </w:p>
    <w:p>
      <w:pPr>
        <w:spacing w:after="0" w:line="36"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14605</wp:posOffset>
            </wp:positionV>
            <wp:extent cx="485394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853940" cy="154305"/>
                    </a:xfrm>
                    <a:prstGeom prst="rect">
                      <a:avLst/>
                    </a:prstGeom>
                    <a:noFill/>
                  </pic:spPr>
                </pic:pic>
              </a:graphicData>
            </a:graphic>
          </wp:anchor>
        </w:drawing>
      </w:r>
    </w:p>
    <w:p>
      <w:pPr>
        <w:spacing w:after="0" w:line="16"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Merger and integration expense</w:t>
      </w:r>
    </w:p>
    <w:p>
      <w:pPr>
        <w:spacing w:after="0" w:line="36"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Restructuring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14605</wp:posOffset>
            </wp:positionV>
            <wp:extent cx="485394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853940" cy="154305"/>
                    </a:xfrm>
                    <a:prstGeom prst="rect">
                      <a:avLst/>
                    </a:prstGeom>
                    <a:noFill/>
                  </pic:spPr>
                </pic:pic>
              </a:graphicData>
            </a:graphic>
          </wp:anchor>
        </w:drawing>
      </w:r>
    </w:p>
    <w:p>
      <w:pPr>
        <w:spacing w:after="0" w:line="16"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Amortization of intangible assets</w:t>
      </w:r>
    </w:p>
    <w:p>
      <w:pPr>
        <w:spacing w:after="0" w:line="6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Litigation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14605</wp:posOffset>
            </wp:positionV>
            <wp:extent cx="485394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853940" cy="171450"/>
                    </a:xfrm>
                    <a:prstGeom prst="rect">
                      <a:avLst/>
                    </a:prstGeom>
                    <a:noFill/>
                  </pic:spPr>
                </pic:pic>
              </a:graphicData>
            </a:graphic>
          </wp:anchor>
        </w:drawing>
      </w:r>
    </w:p>
    <w:p>
      <w:pPr>
        <w:spacing w:after="0" w:line="4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Total operating expenses</w:t>
      </w:r>
    </w:p>
    <w:p>
      <w:pPr>
        <w:spacing w:after="0" w:line="6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Income (loss) from operations</w:t>
      </w:r>
    </w:p>
    <w:p>
      <w:pPr>
        <w:spacing w:after="0" w:line="27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14605</wp:posOffset>
            </wp:positionV>
            <wp:extent cx="485394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853940" cy="154305"/>
                    </a:xfrm>
                    <a:prstGeom prst="rect">
                      <a:avLst/>
                    </a:prstGeom>
                    <a:noFill/>
                  </pic:spPr>
                </pic:pic>
              </a:graphicData>
            </a:graphic>
          </wp:anchor>
        </w:drawing>
      </w:r>
    </w:p>
    <w:p>
      <w:pPr>
        <w:spacing w:after="0" w:line="16"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Interest income (expense)</w:t>
      </w:r>
    </w:p>
    <w:p>
      <w:pPr>
        <w:spacing w:after="0" w:line="6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Foreign exchange and other – (gain)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14605</wp:posOffset>
            </wp:positionV>
            <wp:extent cx="485394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853940" cy="171450"/>
                    </a:xfrm>
                    <a:prstGeom prst="rect">
                      <a:avLst/>
                    </a:prstGeom>
                    <a:noFill/>
                  </pic:spPr>
                </pic:pic>
              </a:graphicData>
            </a:graphic>
          </wp:anchor>
        </w:drawing>
      </w:r>
    </w:p>
    <w:p>
      <w:pPr>
        <w:spacing w:after="0" w:line="43" w:lineRule="exact"/>
        <w:rPr>
          <w:sz w:val="20"/>
          <w:szCs w:val="20"/>
          <w:color w:val="auto"/>
        </w:rPr>
      </w:pPr>
    </w:p>
    <w:tbl>
      <w:tblPr>
        <w:tblLayout w:type="fixed"/>
        <w:tblInd w:w="190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540" w:type="dxa"/>
            <w:vAlign w:val="bottom"/>
          </w:tcPr>
          <w:p>
            <w:pPr>
              <w:ind w:left="420"/>
              <w:spacing w:after="0"/>
              <w:rPr>
                <w:sz w:val="20"/>
                <w:szCs w:val="20"/>
                <w:color w:val="auto"/>
              </w:rPr>
            </w:pPr>
            <w:r>
              <w:rPr>
                <w:rFonts w:ascii="Arial" w:cs="Arial" w:eastAsia="Arial" w:hAnsi="Arial"/>
                <w:sz w:val="18"/>
                <w:szCs w:val="18"/>
                <w:color w:val="auto"/>
              </w:rPr>
              <w:t>Loss from equity method investments</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420"/>
              <w:spacing w:after="0"/>
              <w:rPr>
                <w:sz w:val="20"/>
                <w:szCs w:val="20"/>
                <w:color w:val="auto"/>
              </w:rPr>
            </w:pPr>
            <w:r>
              <w:rPr>
                <w:rFonts w:ascii="Arial" w:cs="Arial" w:eastAsia="Arial" w:hAnsi="Arial"/>
                <w:sz w:val="18"/>
                <w:szCs w:val="18"/>
                <w:color w:val="auto"/>
              </w:rPr>
              <w:t>Income tax expense (benefit)</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3540" w:type="dxa"/>
            <w:vAlign w:val="bottom"/>
          </w:tcPr>
          <w:p>
            <w:pPr>
              <w:spacing w:after="0"/>
              <w:rPr>
                <w:sz w:val="20"/>
                <w:szCs w:val="20"/>
                <w:color w:val="auto"/>
              </w:rPr>
            </w:pPr>
            <w:r>
              <w:rPr>
                <w:rFonts w:ascii="Arial" w:cs="Arial" w:eastAsia="Arial" w:hAnsi="Arial"/>
                <w:sz w:val="18"/>
                <w:szCs w:val="18"/>
                <w:color w:val="auto"/>
              </w:rPr>
              <w:t>Net (loss) income</w:t>
            </w:r>
          </w:p>
        </w:tc>
        <w:tc>
          <w:tcPr>
            <w:tcW w:w="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540" w:type="dxa"/>
            <w:vAlign w:val="bottom"/>
          </w:tcPr>
          <w:p>
            <w:pPr>
              <w:spacing w:after="0"/>
              <w:rPr>
                <w:sz w:val="20"/>
                <w:szCs w:val="20"/>
                <w:color w:val="auto"/>
              </w:rPr>
            </w:pPr>
            <w:r>
              <w:rPr>
                <w:rFonts w:ascii="Arial" w:cs="Arial" w:eastAsia="Arial" w:hAnsi="Arial"/>
                <w:sz w:val="18"/>
                <w:szCs w:val="18"/>
                <w:color w:val="auto"/>
              </w:rPr>
              <w:t>Earnings (loss) per common share:</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2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45"/>
        </w:trPr>
        <w:tc>
          <w:tcPr>
            <w:tcW w:w="3540" w:type="dxa"/>
            <w:vAlign w:val="bottom"/>
          </w:tcPr>
          <w:p>
            <w:pPr>
              <w:spacing w:after="0"/>
              <w:rPr>
                <w:sz w:val="20"/>
                <w:szCs w:val="20"/>
                <w:color w:val="auto"/>
              </w:rPr>
            </w:pPr>
            <w:r>
              <w:rPr>
                <w:rFonts w:ascii="Arial" w:cs="Arial" w:eastAsia="Arial" w:hAnsi="Arial"/>
                <w:sz w:val="18"/>
                <w:szCs w:val="18"/>
                <w:color w:val="auto"/>
                <w:w w:val="93"/>
              </w:rPr>
              <w:t>Weighted average common shares outstanding</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(in millions)</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2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5"/>
        </w:trPr>
        <w:tc>
          <w:tcPr>
            <w:tcW w:w="3540" w:type="dxa"/>
            <w:vAlign w:val="bottom"/>
          </w:tcPr>
          <w:p>
            <w:pPr>
              <w:spacing w:after="0"/>
              <w:rPr>
                <w:sz w:val="20"/>
                <w:szCs w:val="20"/>
                <w:color w:val="auto"/>
              </w:rPr>
            </w:pPr>
            <w:r>
              <w:rPr>
                <w:rFonts w:ascii="Arial" w:cs="Arial" w:eastAsia="Arial" w:hAnsi="Arial"/>
                <w:sz w:val="18"/>
                <w:szCs w:val="18"/>
                <w:color w:val="auto"/>
              </w:rPr>
              <w:t>Adjusted Gross Profit</w:t>
            </w:r>
            <w:r>
              <w:rPr>
                <w:rFonts w:ascii="Arial" w:cs="Arial" w:eastAsia="Arial" w:hAnsi="Arial"/>
                <w:sz w:val="30"/>
                <w:szCs w:val="30"/>
                <w:color w:val="auto"/>
                <w:vertAlign w:val="superscript"/>
              </w:rPr>
              <w:t>(1)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540" w:type="dxa"/>
            <w:vAlign w:val="bottom"/>
          </w:tcPr>
          <w:p>
            <w:pPr>
              <w:spacing w:after="0" w:line="256" w:lineRule="exact"/>
              <w:rPr>
                <w:sz w:val="20"/>
                <w:szCs w:val="20"/>
                <w:color w:val="auto"/>
              </w:rPr>
            </w:pPr>
            <w:r>
              <w:rPr>
                <w:rFonts w:ascii="Arial" w:cs="Arial" w:eastAsia="Arial" w:hAnsi="Arial"/>
                <w:sz w:val="18"/>
                <w:szCs w:val="18"/>
                <w:color w:val="auto"/>
              </w:rPr>
              <w:t>Adjusted SG&amp;A</w:t>
            </w:r>
            <w:r>
              <w:rPr>
                <w:rFonts w:ascii="Arial" w:cs="Arial" w:eastAsia="Arial" w:hAnsi="Arial"/>
                <w:sz w:val="29"/>
                <w:szCs w:val="29"/>
                <w:color w:val="auto"/>
                <w:vertAlign w:val="superscript"/>
              </w:rPr>
              <w:t>(1)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Arial" w:cs="Arial" w:eastAsia="Arial" w:hAnsi="Arial"/>
                <w:sz w:val="17"/>
                <w:szCs w:val="17"/>
                <w:color w:val="auto"/>
              </w:rPr>
              <w:t>Adjusted R&amp;D</w:t>
            </w:r>
            <w:r>
              <w:rPr>
                <w:rFonts w:ascii="Arial" w:cs="Arial" w:eastAsia="Arial" w:hAnsi="Arial"/>
                <w:sz w:val="28"/>
                <w:szCs w:val="28"/>
                <w:color w:val="auto"/>
                <w:vertAlign w:val="superscript"/>
              </w:rPr>
              <w:t>(1)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Arial" w:cs="Arial" w:eastAsia="Arial" w:hAnsi="Arial"/>
                <w:sz w:val="17"/>
                <w:szCs w:val="17"/>
                <w:color w:val="auto"/>
              </w:rPr>
              <w:t>Adjusted Income (loss) from Operations</w:t>
            </w:r>
            <w:r>
              <w:rPr>
                <w:rFonts w:ascii="Arial" w:cs="Arial" w:eastAsia="Arial" w:hAnsi="Arial"/>
                <w:sz w:val="28"/>
                <w:szCs w:val="28"/>
                <w:color w:val="auto"/>
                <w:vertAlign w:val="superscript"/>
              </w:rPr>
              <w:t>(1)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Arial" w:cs="Arial" w:eastAsia="Arial" w:hAnsi="Arial"/>
                <w:sz w:val="17"/>
                <w:szCs w:val="17"/>
                <w:color w:val="auto"/>
              </w:rPr>
              <w:t>Adjusted Net Income (loss)</w:t>
            </w:r>
            <w:r>
              <w:rPr>
                <w:rFonts w:ascii="Arial" w:cs="Arial" w:eastAsia="Arial" w:hAnsi="Arial"/>
                <w:sz w:val="28"/>
                <w:szCs w:val="28"/>
                <w:color w:val="auto"/>
                <w:vertAlign w:val="superscript"/>
              </w:rPr>
              <w:t>(1)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4"/>
        </w:trPr>
        <w:tc>
          <w:tcPr>
            <w:tcW w:w="3540" w:type="dxa"/>
            <w:vAlign w:val="bottom"/>
          </w:tcPr>
          <w:p>
            <w:pPr>
              <w:spacing w:after="0"/>
              <w:rPr>
                <w:sz w:val="20"/>
                <w:szCs w:val="20"/>
                <w:color w:val="auto"/>
              </w:rPr>
            </w:pPr>
            <w:r>
              <w:rPr>
                <w:rFonts w:ascii="Arial" w:cs="Arial" w:eastAsia="Arial" w:hAnsi="Arial"/>
                <w:sz w:val="18"/>
                <w:szCs w:val="18"/>
                <w:color w:val="auto"/>
              </w:rPr>
              <w:t>Adjusted Diluted Earnings Per Share</w:t>
            </w:r>
            <w:r>
              <w:rPr>
                <w:rFonts w:ascii="Arial" w:cs="Arial" w:eastAsia="Arial" w:hAnsi="Arial"/>
                <w:sz w:val="30"/>
                <w:szCs w:val="30"/>
                <w:color w:val="auto"/>
                <w:vertAlign w:val="superscript"/>
              </w:rPr>
              <w:t>(1)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-3044825</wp:posOffset>
            </wp:positionV>
            <wp:extent cx="485394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853940" cy="15430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-2719070</wp:posOffset>
            </wp:positionV>
            <wp:extent cx="4853940" cy="180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853940" cy="18034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-2230120</wp:posOffset>
            </wp:positionV>
            <wp:extent cx="485394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853940" cy="15430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-1492250</wp:posOffset>
            </wp:positionV>
            <wp:extent cx="485394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853940" cy="15430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-711835</wp:posOffset>
            </wp:positionV>
            <wp:extent cx="485394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853940" cy="15430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-403225</wp:posOffset>
            </wp:positionV>
            <wp:extent cx="485394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853940" cy="154305"/>
                    </a:xfrm>
                    <a:prstGeom prst="rect">
                      <a:avLst/>
                    </a:prstGeom>
                    <a:noFill/>
                  </pic:spPr>
                </pic:pic>
              </a:graphicData>
            </a:graphic>
          </wp:anchor>
        </w:drawing>
      </w:r>
    </w:p>
    <w:p>
      <w:pPr>
        <w:spacing w:after="0" w:line="28"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Statistics (as a % of net sales, except for</w:t>
      </w:r>
    </w:p>
    <w:p>
      <w:pPr>
        <w:spacing w:after="0" w:line="16"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income tax rate)</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jc w:val="right"/>
        <w:ind w:right="1780"/>
        <w:spacing w:after="0"/>
        <w:rPr>
          <w:sz w:val="20"/>
          <w:szCs w:val="20"/>
          <w:color w:val="auto"/>
        </w:rPr>
      </w:pPr>
      <w:r>
        <w:rPr>
          <w:rFonts w:ascii="Arial" w:cs="Arial" w:eastAsia="Arial" w:hAnsi="Arial"/>
          <w:sz w:val="16"/>
          <w:szCs w:val="16"/>
          <w:color w:val="auto"/>
        </w:rPr>
        <w:t>235.8</w:t>
      </w:r>
    </w:p>
    <w:p>
      <w:pPr>
        <w:spacing w:after="0" w:line="59"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61.9</w:t>
      </w:r>
    </w:p>
    <w:p>
      <w:pPr>
        <w:spacing w:after="0" w:line="36"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13.0</w:t>
      </w:r>
    </w:p>
    <w:p>
      <w:pPr>
        <w:spacing w:after="0" w:line="36"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32.8</w:t>
      </w:r>
    </w:p>
    <w:p>
      <w:pPr>
        <w:spacing w:after="0" w:line="36"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22.2</w:t>
      </w:r>
    </w:p>
    <w:p>
      <w:pPr>
        <w:spacing w:after="0" w:line="36"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14605</wp:posOffset>
            </wp:positionV>
            <wp:extent cx="24955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95550" cy="1714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367.9</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5"/>
          <w:szCs w:val="15"/>
          <w:color w:val="auto"/>
        </w:rPr>
        <w:t>(14.2 )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36830</wp:posOffset>
            </wp:positionV>
            <wp:extent cx="24955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95550" cy="1714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2.6</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14605</wp:posOffset>
            </wp:positionV>
            <wp:extent cx="24955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95550" cy="1714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5"/>
          <w:szCs w:val="15"/>
          <w:color w:val="auto"/>
        </w:rPr>
        <w:t>(18.0 )</w:t>
      </w:r>
    </w:p>
    <w:p>
      <w:pPr>
        <w:spacing w:after="0" w:line="34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6.3</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14605</wp:posOffset>
            </wp:positionV>
            <wp:extent cx="24955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95550" cy="17145"/>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5"/>
          <w:szCs w:val="15"/>
          <w:color w:val="auto"/>
        </w:rPr>
        <w:t>(31.4 )</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Arial" w:cs="Arial" w:eastAsia="Arial" w:hAnsi="Arial"/>
          <w:sz w:val="15"/>
          <w:szCs w:val="15"/>
          <w:color w:val="auto"/>
        </w:rPr>
        <w:t>(0.64 )</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5"/>
          <w:szCs w:val="15"/>
          <w:color w:val="auto"/>
        </w:rPr>
        <w:t>(0.64 )</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49.0</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49.1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394.1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226.5</w:t>
      </w:r>
    </w:p>
    <w:p>
      <w:pPr>
        <w:spacing w:after="0" w:line="36"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61.3</w:t>
      </w:r>
    </w:p>
    <w:p>
      <w:pPr>
        <w:spacing w:after="0" w:line="36" w:lineRule="exact"/>
        <w:rPr>
          <w:sz w:val="20"/>
          <w:szCs w:val="20"/>
          <w:color w:val="auto"/>
        </w:rPr>
      </w:pPr>
    </w:p>
    <w:p>
      <w:pPr>
        <w:jc w:val="right"/>
        <w:ind w:right="1780"/>
        <w:spacing w:after="0"/>
        <w:rPr>
          <w:sz w:val="20"/>
          <w:szCs w:val="20"/>
          <w:color w:val="auto"/>
        </w:rPr>
      </w:pPr>
      <w:r>
        <w:rPr>
          <w:rFonts w:ascii="Arial" w:cs="Arial" w:eastAsia="Arial" w:hAnsi="Arial"/>
          <w:sz w:val="16"/>
          <w:szCs w:val="16"/>
          <w:color w:val="auto"/>
        </w:rPr>
        <w:t>106.3</w:t>
      </w:r>
    </w:p>
    <w:p>
      <w:pPr>
        <w:spacing w:after="0" w:line="59"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69.5</w:t>
      </w:r>
    </w:p>
    <w:p>
      <w:pPr>
        <w:spacing w:after="0" w:line="36"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1.42</w:t>
      </w:r>
    </w:p>
    <w:p>
      <w:pPr>
        <w:spacing w:after="0" w:line="850" w:lineRule="exact"/>
        <w:rPr>
          <w:sz w:val="20"/>
          <w:szCs w:val="20"/>
          <w:color w:val="auto"/>
        </w:rPr>
      </w:pPr>
    </w:p>
    <w:p>
      <w:pPr>
        <w:sectPr>
          <w:pgSz w:w="11900" w:h="16838" w:orient="portrait"/>
          <w:cols w:equalWidth="0" w:num="2">
            <w:col w:w="8240" w:space="720"/>
            <w:col w:w="2200"/>
          </w:cols>
          <w:pgMar w:left="240" w:top="319" w:right="499" w:bottom="484" w:gutter="0" w:footer="0" w:header="0"/>
          <w:type w:val="continuous"/>
        </w:sectPr>
      </w:pPr>
    </w:p>
    <w:p>
      <w:pPr>
        <w:spacing w:after="0" w:line="23" w:lineRule="exact"/>
        <w:rPr>
          <w:sz w:val="20"/>
          <w:szCs w:val="20"/>
          <w:color w:val="auto"/>
        </w:rPr>
      </w:pPr>
    </w:p>
    <w:tbl>
      <w:tblPr>
        <w:tblLayout w:type="fixed"/>
        <w:tblInd w:w="1900" w:type="dxa"/>
        <w:tblCellMar>
          <w:top w:w="0" w:type="dxa"/>
          <w:left w:w="0" w:type="dxa"/>
          <w:bottom w:w="0" w:type="dxa"/>
          <w:right w:w="0" w:type="dxa"/>
        </w:tblCellMar>
      </w:tblPr>
      <w:tr>
        <w:trPr>
          <w:trHeight w:val="230"/>
        </w:trPr>
        <w:tc>
          <w:tcPr>
            <w:tcW w:w="2380" w:type="dxa"/>
            <w:vAlign w:val="bottom"/>
          </w:tcPr>
          <w:p>
            <w:pPr>
              <w:spacing w:after="0"/>
              <w:rPr>
                <w:sz w:val="19"/>
                <w:szCs w:val="19"/>
                <w:color w:val="auto"/>
              </w:rPr>
            </w:pPr>
          </w:p>
        </w:tc>
        <w:tc>
          <w:tcPr>
            <w:tcW w:w="1840" w:type="dxa"/>
            <w:vAlign w:val="bottom"/>
            <w:gridSpan w:val="2"/>
          </w:tcPr>
          <w:p>
            <w:pPr>
              <w:jc w:val="center"/>
              <w:ind w:right="180"/>
              <w:spacing w:after="0"/>
              <w:rPr>
                <w:sz w:val="20"/>
                <w:szCs w:val="20"/>
                <w:color w:val="auto"/>
              </w:rPr>
            </w:pPr>
            <w:r>
              <w:rPr>
                <w:rFonts w:ascii="Arial" w:cs="Arial" w:eastAsia="Arial" w:hAnsi="Arial"/>
                <w:sz w:val="18"/>
                <w:szCs w:val="18"/>
                <w:color w:val="auto"/>
                <w:w w:val="97"/>
              </w:rPr>
              <w:t>GAAP Six</w:t>
            </w:r>
          </w:p>
        </w:tc>
        <w:tc>
          <w:tcPr>
            <w:tcW w:w="3420" w:type="dxa"/>
            <w:vAlign w:val="bottom"/>
            <w:gridSpan w:val="2"/>
            <w:vMerge w:val="restart"/>
          </w:tcPr>
          <w:p>
            <w:pPr>
              <w:jc w:val="right"/>
              <w:ind w:right="510"/>
              <w:spacing w:after="0"/>
              <w:rPr>
                <w:sz w:val="20"/>
                <w:szCs w:val="20"/>
                <w:color w:val="auto"/>
              </w:rPr>
            </w:pPr>
            <w:r>
              <w:rPr>
                <w:rFonts w:ascii="Arial" w:cs="Arial" w:eastAsia="Arial" w:hAnsi="Arial"/>
                <w:sz w:val="18"/>
                <w:szCs w:val="18"/>
                <w:color w:val="auto"/>
              </w:rPr>
              <w:t>Adjusted</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Six Months Ended</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84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w w:val="91"/>
              </w:rPr>
              <w:t>Months Ended</w:t>
            </w:r>
          </w:p>
        </w:tc>
        <w:tc>
          <w:tcPr>
            <w:tcW w:w="34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84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June 30,</w:t>
            </w:r>
          </w:p>
        </w:tc>
        <w:tc>
          <w:tcPr>
            <w:tcW w:w="2200" w:type="dxa"/>
            <w:vAlign w:val="bottom"/>
          </w:tcPr>
          <w:p>
            <w:pPr>
              <w:jc w:val="right"/>
              <w:ind w:right="110"/>
              <w:spacing w:after="0"/>
              <w:rPr>
                <w:sz w:val="20"/>
                <w:szCs w:val="20"/>
                <w:color w:val="auto"/>
              </w:rPr>
            </w:pPr>
            <w:r>
              <w:rPr>
                <w:rFonts w:ascii="Arial" w:cs="Arial" w:eastAsia="Arial" w:hAnsi="Arial"/>
                <w:sz w:val="18"/>
                <w:szCs w:val="18"/>
                <w:color w:val="auto"/>
              </w:rPr>
              <w:t>June 30,</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2016</w:t>
            </w:r>
          </w:p>
        </w:tc>
        <w:tc>
          <w:tcPr>
            <w:tcW w:w="160" w:type="dxa"/>
            <w:vAlign w:val="bottom"/>
          </w:tcPr>
          <w:p>
            <w:pPr>
              <w:spacing w:after="0"/>
              <w:rPr>
                <w:sz w:val="19"/>
                <w:szCs w:val="19"/>
                <w:color w:val="auto"/>
              </w:rPr>
            </w:pPr>
          </w:p>
        </w:tc>
        <w:tc>
          <w:tcPr>
            <w:tcW w:w="220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rPr>
              <w:t>2016</w:t>
            </w:r>
          </w:p>
        </w:tc>
        <w:tc>
          <w:tcPr>
            <w:tcW w:w="12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
        </w:trPr>
        <w:tc>
          <w:tcPr>
            <w:tcW w:w="23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60" w:type="dxa"/>
            <w:vAlign w:val="bottom"/>
            <w:shd w:val="clear" w:color="auto" w:fill="CCEEFF"/>
          </w:tcPr>
          <w:p>
            <w:pPr>
              <w:spacing w:after="0"/>
              <w:rPr>
                <w:sz w:val="20"/>
                <w:szCs w:val="20"/>
                <w:color w:val="auto"/>
              </w:rPr>
            </w:pPr>
          </w:p>
        </w:tc>
        <w:tc>
          <w:tcPr>
            <w:tcW w:w="22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64.8%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Arial" w:cs="Arial" w:eastAsia="Arial" w:hAnsi="Arial"/>
                <w:sz w:val="18"/>
                <w:szCs w:val="18"/>
                <w:color w:val="auto"/>
              </w:rPr>
              <w:t>SG&amp;A</w:t>
            </w:r>
          </w:p>
        </w:tc>
        <w:tc>
          <w:tcPr>
            <w:tcW w:w="1680" w:type="dxa"/>
            <w:vAlign w:val="bottom"/>
          </w:tcPr>
          <w:p>
            <w:pPr>
              <w:jc w:val="right"/>
              <w:spacing w:after="0"/>
              <w:rPr>
                <w:sz w:val="20"/>
                <w:szCs w:val="20"/>
                <w:color w:val="auto"/>
              </w:rPr>
            </w:pPr>
            <w:r>
              <w:rPr>
                <w:rFonts w:ascii="Arial" w:cs="Arial" w:eastAsia="Arial" w:hAnsi="Arial"/>
                <w:sz w:val="18"/>
                <w:szCs w:val="18"/>
                <w:color w:val="auto"/>
              </w:rPr>
              <w:t>38.8%</w:t>
            </w:r>
          </w:p>
        </w:tc>
        <w:tc>
          <w:tcPr>
            <w:tcW w:w="160" w:type="dxa"/>
            <w:vAlign w:val="bottom"/>
          </w:tcPr>
          <w:p>
            <w:pPr>
              <w:spacing w:after="0"/>
              <w:rPr>
                <w:sz w:val="21"/>
                <w:szCs w:val="21"/>
                <w:color w:val="auto"/>
              </w:rPr>
            </w:pPr>
          </w:p>
        </w:tc>
        <w:tc>
          <w:tcPr>
            <w:tcW w:w="2200" w:type="dxa"/>
            <w:vAlign w:val="bottom"/>
          </w:tcPr>
          <w:p>
            <w:pPr>
              <w:jc w:val="right"/>
              <w:ind w:right="430"/>
              <w:spacing w:after="0"/>
              <w:rPr>
                <w:sz w:val="20"/>
                <w:szCs w:val="20"/>
                <w:color w:val="auto"/>
              </w:rPr>
            </w:pPr>
            <w:r>
              <w:rPr>
                <w:rFonts w:ascii="Arial" w:cs="Arial" w:eastAsia="Arial" w:hAnsi="Arial"/>
                <w:sz w:val="18"/>
                <w:szCs w:val="18"/>
                <w:color w:val="auto"/>
              </w:rPr>
              <w:t>37.3%</w:t>
            </w:r>
          </w:p>
        </w:tc>
        <w:tc>
          <w:tcPr>
            <w:tcW w:w="1220" w:type="dxa"/>
            <w:vAlign w:val="bottom"/>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R&amp;D</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21"/>
                <w:szCs w:val="21"/>
                <w:color w:val="auto"/>
              </w:rPr>
            </w:pPr>
          </w:p>
        </w:tc>
        <w:tc>
          <w:tcPr>
            <w:tcW w:w="22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10.1%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Arial" w:cs="Arial" w:eastAsia="Arial" w:hAnsi="Arial"/>
                <w:sz w:val="18"/>
                <w:szCs w:val="18"/>
                <w:color w:val="auto"/>
                <w:w w:val="97"/>
              </w:rPr>
              <w:t>Income from Operations (loss)</w:t>
            </w: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(2.3% )</w:t>
            </w:r>
          </w:p>
        </w:tc>
        <w:tc>
          <w:tcPr>
            <w:tcW w:w="2200" w:type="dxa"/>
            <w:vAlign w:val="bottom"/>
          </w:tcPr>
          <w:p>
            <w:pPr>
              <w:jc w:val="right"/>
              <w:ind w:right="430"/>
              <w:spacing w:after="0"/>
              <w:rPr>
                <w:sz w:val="20"/>
                <w:szCs w:val="20"/>
                <w:color w:val="auto"/>
              </w:rPr>
            </w:pPr>
            <w:r>
              <w:rPr>
                <w:rFonts w:ascii="Arial" w:cs="Arial" w:eastAsia="Arial" w:hAnsi="Arial"/>
                <w:sz w:val="18"/>
                <w:szCs w:val="18"/>
                <w:color w:val="auto"/>
              </w:rPr>
              <w:t>17.5%</w:t>
            </w:r>
          </w:p>
        </w:tc>
        <w:tc>
          <w:tcPr>
            <w:tcW w:w="122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 )</w:t>
            </w:r>
          </w:p>
        </w:tc>
        <w:tc>
          <w:tcPr>
            <w:tcW w:w="22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11.4%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Arial" w:cs="Arial" w:eastAsia="Arial" w:hAnsi="Arial"/>
                <w:sz w:val="18"/>
                <w:szCs w:val="18"/>
                <w:color w:val="auto"/>
              </w:rPr>
              <w:t>Income Tax Rate</w:t>
            </w: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(39.8% )</w:t>
            </w:r>
          </w:p>
        </w:tc>
        <w:tc>
          <w:tcPr>
            <w:tcW w:w="2200" w:type="dxa"/>
            <w:vAlign w:val="bottom"/>
          </w:tcPr>
          <w:p>
            <w:pPr>
              <w:jc w:val="right"/>
              <w:ind w:right="430"/>
              <w:spacing w:after="0"/>
              <w:rPr>
                <w:sz w:val="20"/>
                <w:szCs w:val="20"/>
                <w:color w:val="auto"/>
              </w:rPr>
            </w:pPr>
            <w:r>
              <w:rPr>
                <w:rFonts w:ascii="Arial" w:cs="Arial" w:eastAsia="Arial" w:hAnsi="Arial"/>
                <w:sz w:val="18"/>
                <w:szCs w:val="18"/>
                <w:color w:val="auto"/>
              </w:rPr>
              <w:t>26.8%</w:t>
            </w:r>
          </w:p>
        </w:tc>
        <w:tc>
          <w:tcPr>
            <w:tcW w:w="12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(1)Adjusted financial measures are Non-GAAP measures and exclude specified items as described and reconciled to compare GAAP financial measures in the Reconciliation of GAAP to non-GAAP Financial Measures contained in the press release.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*Numbers may not add due to rounding. n/a is not applicable, there is no applicable adjusted net inicome or tax rate reported for 2Q15.</w:t>
      </w:r>
    </w:p>
    <w:p>
      <w:pPr>
        <w:sectPr>
          <w:pgSz w:w="11900" w:h="16838" w:orient="portrait"/>
          <w:cols w:equalWidth="0" w:num="1">
            <w:col w:w="11160"/>
          </w:cols>
          <w:pgMar w:left="240" w:top="319" w:right="499" w:bottom="484" w:gutter="0" w:footer="0" w:header="0"/>
          <w:type w:val="continuous"/>
        </w:sectPr>
      </w:pPr>
    </w:p>
    <w:p>
      <w:pPr>
        <w:spacing w:after="0" w:line="329" w:lineRule="exact"/>
        <w:rPr>
          <w:sz w:val="20"/>
          <w:szCs w:val="20"/>
          <w:color w:val="auto"/>
        </w:rPr>
      </w:pPr>
    </w:p>
    <w:p>
      <w:pPr>
        <w:jc w:val="center"/>
        <w:ind w:right="-25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240" w:top="319" w:right="499" w:bottom="484"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LIVANOVA PLC AND SUBSIDIARIES</w:t>
      </w:r>
    </w:p>
    <w:p>
      <w:pPr>
        <w:spacing w:after="0" w:line="187" w:lineRule="auto"/>
        <w:rPr>
          <w:sz w:val="20"/>
          <w:szCs w:val="20"/>
          <w:color w:val="auto"/>
        </w:rPr>
      </w:pPr>
      <w:r>
        <w:rPr>
          <w:rFonts w:ascii="Arial" w:cs="Arial" w:eastAsia="Arial" w:hAnsi="Arial"/>
          <w:sz w:val="18"/>
          <w:szCs w:val="18"/>
          <w:b w:val="1"/>
          <w:bCs w:val="1"/>
          <w:color w:val="auto"/>
        </w:rPr>
        <w:t>RECONCILIATION OF GAAP TO NON-GAAP FINANCIAL MEASURES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millions, except share and per share amounts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Three Months Ended June 30,</w:t>
            </w:r>
          </w:p>
        </w:tc>
        <w:tc>
          <w:tcPr>
            <w:tcW w:w="320" w:type="dxa"/>
            <w:vAlign w:val="bottom"/>
          </w:tcPr>
          <w:p>
            <w:pPr>
              <w:spacing w:after="0"/>
              <w:rPr>
                <w:sz w:val="17"/>
                <w:szCs w:val="17"/>
                <w:color w:val="auto"/>
              </w:rPr>
            </w:pPr>
          </w:p>
        </w:tc>
        <w:tc>
          <w:tcPr>
            <w:tcW w:w="122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Sales</w:t>
            </w: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1"/>
              </w:rPr>
              <w:t>Income</w:t>
            </w: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6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Pr>
          <w:p>
            <w:pPr>
              <w:spacing w:after="0"/>
              <w:rPr>
                <w:sz w:val="14"/>
                <w:szCs w:val="14"/>
                <w:color w:val="auto"/>
              </w:rPr>
            </w:pPr>
          </w:p>
        </w:tc>
        <w:tc>
          <w:tcPr>
            <w:tcW w:w="1580" w:type="dxa"/>
            <w:vAlign w:val="bottom"/>
          </w:tcPr>
          <w:p>
            <w:pPr>
              <w:jc w:val="center"/>
              <w:spacing w:after="0" w:line="162" w:lineRule="exact"/>
              <w:rPr>
                <w:sz w:val="20"/>
                <w:szCs w:val="20"/>
                <w:color w:val="auto"/>
              </w:rPr>
            </w:pPr>
            <w:r>
              <w:rPr>
                <w:rFonts w:ascii="Arial" w:cs="Arial" w:eastAsia="Arial" w:hAnsi="Arial"/>
                <w:sz w:val="18"/>
                <w:szCs w:val="18"/>
                <w:b w:val="1"/>
                <w:bCs w:val="1"/>
                <w:color w:val="auto"/>
                <w:w w:val="93"/>
              </w:rPr>
              <w:t>From</w:t>
            </w:r>
          </w:p>
        </w:tc>
        <w:tc>
          <w:tcPr>
            <w:tcW w:w="280" w:type="dxa"/>
            <w:vAlign w:val="bottom"/>
          </w:tcPr>
          <w:p>
            <w:pPr>
              <w:spacing w:after="0"/>
              <w:rPr>
                <w:sz w:val="14"/>
                <w:szCs w:val="14"/>
                <w:color w:val="auto"/>
              </w:rPr>
            </w:pPr>
          </w:p>
        </w:tc>
        <w:tc>
          <w:tcPr>
            <w:tcW w:w="138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Pr>
          <w:p>
            <w:pPr>
              <w:spacing w:after="0"/>
              <w:rPr>
                <w:sz w:val="14"/>
                <w:szCs w:val="14"/>
                <w:color w:val="auto"/>
              </w:rPr>
            </w:pPr>
          </w:p>
        </w:tc>
        <w:tc>
          <w:tcPr>
            <w:tcW w:w="158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Diluted EPS</w:t>
            </w:r>
          </w:p>
        </w:tc>
        <w:tc>
          <w:tcPr>
            <w:tcW w:w="0" w:type="dxa"/>
            <w:vAlign w:val="bottom"/>
          </w:tcPr>
          <w:p>
            <w:pPr>
              <w:spacing w:after="0"/>
              <w:rPr>
                <w:sz w:val="1"/>
                <w:szCs w:val="1"/>
                <w:color w:val="auto"/>
              </w:rPr>
            </w:pPr>
          </w:p>
        </w:tc>
      </w:tr>
      <w:tr>
        <w:trPr>
          <w:trHeight w:val="210"/>
        </w:trPr>
        <w:tc>
          <w:tcPr>
            <w:tcW w:w="2680" w:type="dxa"/>
            <w:vAlign w:val="bottom"/>
            <w:tcBorders>
              <w:bottom w:val="single" w:sz="8" w:color="auto"/>
            </w:tcBorders>
          </w:tcPr>
          <w:p>
            <w:pPr>
              <w:jc w:val="right"/>
              <w:ind w:right="1070"/>
              <w:spacing w:after="0" w:line="202" w:lineRule="exact"/>
              <w:rPr>
                <w:sz w:val="20"/>
                <w:szCs w:val="20"/>
                <w:color w:val="auto"/>
              </w:rPr>
            </w:pPr>
            <w:r>
              <w:rPr>
                <w:rFonts w:ascii="Arial" w:cs="Arial" w:eastAsia="Arial" w:hAnsi="Arial"/>
                <w:sz w:val="18"/>
                <w:szCs w:val="18"/>
                <w:b w:val="1"/>
                <w:bCs w:val="1"/>
                <w:color w:val="auto"/>
              </w:rPr>
              <w:t>2016</w:t>
            </w:r>
          </w:p>
        </w:tc>
        <w:tc>
          <w:tcPr>
            <w:tcW w:w="32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0"/>
              </w:rPr>
              <w:t>Operations</w:t>
            </w:r>
          </w:p>
        </w:tc>
        <w:tc>
          <w:tcPr>
            <w:tcW w:w="280" w:type="dxa"/>
            <w:vAlign w:val="bottom"/>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9" w:right="239" w:bottom="1440" w:gutter="0" w:footer="0" w:header="0"/>
        </w:sectPr>
      </w:pPr>
    </w:p>
    <w:p>
      <w:pPr>
        <w:spacing w:after="0" w:line="69" w:lineRule="exact"/>
        <w:rPr>
          <w:sz w:val="20"/>
          <w:szCs w:val="20"/>
          <w:color w:val="auto"/>
        </w:rPr>
      </w:pPr>
    </w:p>
    <w:p>
      <w:pPr>
        <w:ind w:left="20"/>
        <w:spacing w:after="0"/>
        <w:tabs>
          <w:tab w:leader="none" w:pos="2860" w:val="left"/>
        </w:tabs>
        <w:rPr>
          <w:sz w:val="20"/>
          <w:szCs w:val="20"/>
          <w:color w:val="auto"/>
        </w:rPr>
      </w:pPr>
      <w:r>
        <w:rPr>
          <w:rFonts w:ascii="Arial" w:cs="Arial" w:eastAsia="Arial" w:hAnsi="Arial"/>
          <w:sz w:val="18"/>
          <w:szCs w:val="18"/>
          <w:color w:val="auto"/>
        </w:rPr>
        <w:t>GAAP Financial Measures</w:t>
      </w:r>
      <w:r>
        <w:rPr>
          <w:sz w:val="20"/>
          <w:szCs w:val="20"/>
          <w:color w:val="auto"/>
        </w:rPr>
        <w:tab/>
      </w:r>
      <w:r>
        <w:rPr>
          <w:rFonts w:ascii="Arial" w:cs="Arial" w:eastAsia="Arial" w:hAnsi="Arial"/>
          <w:sz w:val="14"/>
          <w:szCs w:val="14"/>
          <w:color w:val="auto"/>
        </w:rPr>
        <w:t>$</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Specified Items</w:t>
      </w:r>
    </w:p>
    <w:p>
      <w:pPr>
        <w:ind w:left="20" w:right="960" w:firstLine="446"/>
        <w:spacing w:after="0" w:line="181" w:lineRule="auto"/>
        <w:rPr>
          <w:sz w:val="20"/>
          <w:szCs w:val="20"/>
          <w:color w:val="auto"/>
        </w:rPr>
      </w:pPr>
      <w:r>
        <w:rPr>
          <w:rFonts w:ascii="Arial" w:cs="Arial" w:eastAsia="Arial" w:hAnsi="Arial"/>
          <w:sz w:val="18"/>
          <w:szCs w:val="18"/>
          <w:color w:val="auto"/>
        </w:rPr>
        <w:t>Merger and integration expense</w:t>
      </w:r>
      <w:r>
        <w:rPr>
          <w:rFonts w:ascii="Arial" w:cs="Arial" w:eastAsia="Arial" w:hAnsi="Arial"/>
          <w:sz w:val="30"/>
          <w:szCs w:val="30"/>
          <w:color w:val="auto"/>
          <w:vertAlign w:val="superscript"/>
        </w:rPr>
        <w:t>(A)</w:t>
      </w:r>
    </w:p>
    <w:p>
      <w:pPr>
        <w:ind w:left="460"/>
        <w:spacing w:after="0" w:line="186" w:lineRule="auto"/>
        <w:rPr>
          <w:sz w:val="20"/>
          <w:szCs w:val="20"/>
          <w:color w:val="auto"/>
        </w:rPr>
      </w:pPr>
      <w:r>
        <w:rPr>
          <w:rFonts w:ascii="Arial" w:cs="Arial" w:eastAsia="Arial" w:hAnsi="Arial"/>
          <w:sz w:val="15"/>
          <w:szCs w:val="15"/>
          <w:color w:val="auto"/>
        </w:rPr>
        <w:t>Restructuring expense</w:t>
      </w:r>
      <w:r>
        <w:rPr>
          <w:rFonts w:ascii="Arial" w:cs="Arial" w:eastAsia="Arial" w:hAnsi="Arial"/>
          <w:sz w:val="23"/>
          <w:szCs w:val="23"/>
          <w:color w:val="auto"/>
          <w:vertAlign w:val="superscript"/>
        </w:rPr>
        <w:t>(B)</w:t>
      </w:r>
    </w:p>
    <w:p>
      <w:pPr>
        <w:ind w:left="20" w:right="700" w:firstLine="446"/>
        <w:spacing w:after="0" w:line="187" w:lineRule="auto"/>
        <w:rPr>
          <w:sz w:val="20"/>
          <w:szCs w:val="20"/>
          <w:color w:val="auto"/>
        </w:rPr>
      </w:pPr>
      <w:r>
        <w:rPr>
          <w:rFonts w:ascii="Arial" w:cs="Arial" w:eastAsia="Arial" w:hAnsi="Arial"/>
          <w:sz w:val="16"/>
          <w:szCs w:val="16"/>
          <w:color w:val="auto"/>
        </w:rPr>
        <w:t>Amortization of intangible assets</w:t>
      </w:r>
      <w:r>
        <w:rPr>
          <w:rFonts w:ascii="Arial" w:cs="Arial" w:eastAsia="Arial" w:hAnsi="Arial"/>
          <w:sz w:val="26"/>
          <w:szCs w:val="26"/>
          <w:color w:val="auto"/>
          <w:vertAlign w:val="superscript"/>
        </w:rPr>
        <w:t>(C)</w:t>
      </w:r>
    </w:p>
    <w:p>
      <w:pPr>
        <w:spacing w:after="0" w:line="2" w:lineRule="exact"/>
        <w:rPr>
          <w:sz w:val="20"/>
          <w:szCs w:val="20"/>
          <w:color w:val="auto"/>
        </w:rPr>
      </w:pPr>
    </w:p>
    <w:p>
      <w:pPr>
        <w:ind w:left="20" w:right="700" w:firstLine="446"/>
        <w:spacing w:after="0" w:line="181" w:lineRule="auto"/>
        <w:rPr>
          <w:sz w:val="20"/>
          <w:szCs w:val="20"/>
          <w:color w:val="auto"/>
        </w:rPr>
      </w:pPr>
      <w:r>
        <w:rPr>
          <w:rFonts w:ascii="Arial" w:cs="Arial" w:eastAsia="Arial" w:hAnsi="Arial"/>
          <w:sz w:val="18"/>
          <w:szCs w:val="18"/>
          <w:color w:val="auto"/>
        </w:rPr>
        <w:t>Other Income Expenses &amp; Litigations</w:t>
      </w:r>
      <w:r>
        <w:rPr>
          <w:rFonts w:ascii="Arial" w:cs="Arial" w:eastAsia="Arial" w:hAnsi="Arial"/>
          <w:sz w:val="30"/>
          <w:szCs w:val="30"/>
          <w:color w:val="auto"/>
          <w:vertAlign w:val="superscript"/>
        </w:rPr>
        <w:t>(D)</w:t>
      </w:r>
    </w:p>
    <w:p>
      <w:pPr>
        <w:ind w:left="460"/>
        <w:spacing w:after="0" w:line="182" w:lineRule="auto"/>
        <w:rPr>
          <w:sz w:val="20"/>
          <w:szCs w:val="20"/>
          <w:color w:val="auto"/>
        </w:rPr>
      </w:pPr>
      <w:r>
        <w:rPr>
          <w:rFonts w:ascii="Arial" w:cs="Arial" w:eastAsia="Arial" w:hAnsi="Arial"/>
          <w:sz w:val="17"/>
          <w:szCs w:val="17"/>
          <w:color w:val="auto"/>
        </w:rPr>
        <w:t>Impact of inventory step-up</w:t>
      </w:r>
      <w:r>
        <w:rPr>
          <w:rFonts w:ascii="Arial" w:cs="Arial" w:eastAsia="Arial" w:hAnsi="Arial"/>
          <w:sz w:val="28"/>
          <w:szCs w:val="28"/>
          <w:color w:val="auto"/>
          <w:vertAlign w:val="superscript"/>
        </w:rPr>
        <w:t>(E)</w:t>
      </w:r>
    </w:p>
    <w:p>
      <w:pPr>
        <w:ind w:left="460"/>
        <w:spacing w:after="0" w:line="188" w:lineRule="auto"/>
        <w:rPr>
          <w:sz w:val="20"/>
          <w:szCs w:val="20"/>
          <w:color w:val="auto"/>
        </w:rPr>
      </w:pPr>
      <w:r>
        <w:rPr>
          <w:rFonts w:ascii="Arial" w:cs="Arial" w:eastAsia="Arial" w:hAnsi="Arial"/>
          <w:sz w:val="18"/>
          <w:szCs w:val="18"/>
          <w:color w:val="auto"/>
        </w:rPr>
        <w:t>Equity compensation</w:t>
      </w:r>
      <w:r>
        <w:rPr>
          <w:rFonts w:ascii="Arial" w:cs="Arial" w:eastAsia="Arial" w:hAnsi="Arial"/>
          <w:sz w:val="30"/>
          <w:szCs w:val="30"/>
          <w:color w:val="auto"/>
          <w:vertAlign w:val="superscript"/>
        </w:rPr>
        <w:t>(F)</w:t>
      </w:r>
    </w:p>
    <w:p>
      <w:pPr>
        <w:ind w:left="460"/>
        <w:spacing w:after="0" w:line="185" w:lineRule="auto"/>
        <w:rPr>
          <w:sz w:val="20"/>
          <w:szCs w:val="20"/>
          <w:color w:val="auto"/>
        </w:rPr>
      </w:pPr>
      <w:r>
        <w:rPr>
          <w:rFonts w:ascii="Arial" w:cs="Arial" w:eastAsia="Arial" w:hAnsi="Arial"/>
          <w:sz w:val="18"/>
          <w:szCs w:val="18"/>
          <w:color w:val="auto"/>
        </w:rPr>
        <w:t>Certain tax adjustments</w:t>
      </w:r>
      <w:r>
        <w:rPr>
          <w:rFonts w:ascii="Arial" w:cs="Arial" w:eastAsia="Arial" w:hAnsi="Arial"/>
          <w:sz w:val="29"/>
          <w:szCs w:val="29"/>
          <w:color w:val="auto"/>
          <w:vertAlign w:val="superscript"/>
        </w:rPr>
        <w:t>(G)</w:t>
      </w:r>
    </w:p>
    <w:p>
      <w:pPr>
        <w:spacing w:after="0" w:line="1" w:lineRule="exact"/>
        <w:rPr>
          <w:sz w:val="20"/>
          <w:szCs w:val="20"/>
          <w:color w:val="auto"/>
        </w:rPr>
      </w:pPr>
    </w:p>
    <w:p>
      <w:pPr>
        <w:ind w:left="20"/>
        <w:spacing w:after="0"/>
        <w:tabs>
          <w:tab w:leader="none" w:pos="2860" w:val="left"/>
        </w:tabs>
        <w:rPr>
          <w:sz w:val="20"/>
          <w:szCs w:val="20"/>
          <w:color w:val="auto"/>
        </w:rPr>
      </w:pPr>
      <w:r>
        <w:rPr>
          <w:rFonts w:ascii="Arial" w:cs="Arial" w:eastAsia="Arial" w:hAnsi="Arial"/>
          <w:sz w:val="18"/>
          <w:szCs w:val="18"/>
          <w:color w:val="auto"/>
        </w:rPr>
        <w:t>Adjusted financial measures</w:t>
      </w:r>
      <w:r>
        <w:rPr>
          <w:sz w:val="20"/>
          <w:szCs w:val="20"/>
          <w:color w:val="auto"/>
        </w:rPr>
        <w:tab/>
      </w:r>
      <w:r>
        <w:rPr>
          <w:rFonts w:ascii="Arial" w:cs="Arial" w:eastAsia="Arial" w:hAnsi="Arial"/>
          <w:sz w:val="21"/>
          <w:szCs w:val="21"/>
          <w:color w:val="auto"/>
          <w:vertAlign w:val="superscript"/>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4"/>
        </w:trPr>
        <w:tc>
          <w:tcPr>
            <w:tcW w:w="620" w:type="dxa"/>
            <w:vAlign w:val="bottom"/>
          </w:tcPr>
          <w:p>
            <w:pPr>
              <w:jc w:val="right"/>
              <w:ind w:right="130"/>
              <w:spacing w:after="0"/>
              <w:rPr>
                <w:sz w:val="20"/>
                <w:szCs w:val="20"/>
                <w:color w:val="auto"/>
              </w:rPr>
            </w:pPr>
            <w:r>
              <w:rPr>
                <w:rFonts w:ascii="Arial" w:cs="Arial" w:eastAsia="Arial" w:hAnsi="Arial"/>
                <w:sz w:val="18"/>
                <w:szCs w:val="18"/>
                <w:color w:val="auto"/>
                <w:w w:val="84"/>
              </w:rPr>
              <w:t>321.0</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190.4</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22.0</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9.0</w:t>
            </w:r>
          </w:p>
        </w:tc>
        <w:tc>
          <w:tcPr>
            <w:tcW w:w="6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621"/>
        </w:trPr>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378"/>
        </w:trPr>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378"/>
        </w:trPr>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(0.3 )</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13.7</w:t>
            </w: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13.7</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7"/>
        </w:trPr>
        <w:tc>
          <w:tcPr>
            <w:tcW w:w="620" w:type="dxa"/>
            <w:vAlign w:val="bottom"/>
            <w:vMerge w:val="restart"/>
          </w:tcPr>
          <w:p>
            <w:pPr>
              <w:jc w:val="right"/>
              <w:ind w:right="130"/>
              <w:spacing w:after="0"/>
              <w:rPr>
                <w:sz w:val="20"/>
                <w:szCs w:val="20"/>
                <w:color w:val="auto"/>
              </w:rPr>
            </w:pPr>
            <w:r>
              <w:rPr>
                <w:rFonts w:ascii="Arial" w:cs="Arial" w:eastAsia="Arial" w:hAnsi="Arial"/>
                <w:sz w:val="18"/>
                <w:szCs w:val="18"/>
                <w:color w:val="auto"/>
                <w:w w:val="84"/>
              </w:rPr>
              <w:t>321.0</w:t>
            </w:r>
          </w:p>
        </w:tc>
        <w:tc>
          <w:tcPr>
            <w:tcW w:w="5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43"/>
        </w:trPr>
        <w:tc>
          <w:tcPr>
            <w:tcW w:w="620" w:type="dxa"/>
            <w:vAlign w:val="bottom"/>
            <w:vMerge w:val="continue"/>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209.0</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62.8</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43.0</w:t>
            </w:r>
          </w:p>
        </w:tc>
        <w:tc>
          <w:tcPr>
            <w:tcW w:w="6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-1851660</wp:posOffset>
            </wp:positionV>
            <wp:extent cx="72466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-1543050</wp:posOffset>
            </wp:positionV>
            <wp:extent cx="7246620" cy="2400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-1148715</wp:posOffset>
            </wp:positionV>
            <wp:extent cx="7246620" cy="2400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-668020</wp:posOffset>
            </wp:positionV>
            <wp:extent cx="72466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-359410</wp:posOffset>
            </wp:positionV>
            <wp:extent cx="72466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-33655</wp:posOffset>
            </wp:positionV>
            <wp:extent cx="8661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-8255</wp:posOffset>
            </wp:positionV>
            <wp:extent cx="8661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80" w:space="720"/>
            <w:col w:w="7620"/>
          </w:cols>
          <w:pgMar w:left="240" w:top="69" w:right="239" w:bottom="1440" w:gutter="0" w:footer="0" w:header="0"/>
          <w:type w:val="continuous"/>
        </w:sectPr>
      </w:pP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GAAP results for the three months ended June 30, 2016 include</w:t>
      </w:r>
      <w:r>
        <w:rPr>
          <w:rFonts w:ascii="Arial" w:cs="Arial" w:eastAsia="Arial" w:hAnsi="Arial"/>
          <w:sz w:val="18"/>
          <w:szCs w:val="18"/>
          <w:b w:val="1"/>
          <w:bCs w:val="1"/>
          <w:color w:val="auto"/>
        </w:rPr>
        <w:t>:</w:t>
      </w:r>
    </w:p>
    <w:p>
      <w:pPr>
        <w:ind w:left="120"/>
        <w:spacing w:after="0" w:line="189" w:lineRule="auto"/>
        <w:rPr>
          <w:sz w:val="20"/>
          <w:szCs w:val="20"/>
          <w:color w:val="auto"/>
        </w:rPr>
      </w:pPr>
      <w:r>
        <w:rPr>
          <w:rFonts w:ascii="Arial" w:cs="Arial" w:eastAsia="Arial" w:hAnsi="Arial"/>
          <w:sz w:val="30"/>
          <w:szCs w:val="30"/>
          <w:color w:val="auto"/>
          <w:vertAlign w:val="superscript"/>
        </w:rPr>
        <w:t>(A)</w:t>
      </w:r>
      <w:r>
        <w:rPr>
          <w:rFonts w:ascii="Arial" w:cs="Arial" w:eastAsia="Arial" w:hAnsi="Arial"/>
          <w:sz w:val="18"/>
          <w:szCs w:val="18"/>
          <w:color w:val="auto"/>
        </w:rPr>
        <w:t>Expenses related to merger and integration activities; includes $0.3 of equity compensation based on the merger.</w:t>
      </w:r>
    </w:p>
    <w:p>
      <w:pPr>
        <w:ind w:left="120"/>
        <w:spacing w:after="0" w:line="206" w:lineRule="auto"/>
        <w:rPr>
          <w:sz w:val="20"/>
          <w:szCs w:val="20"/>
          <w:color w:val="auto"/>
        </w:rPr>
      </w:pPr>
      <w:r>
        <w:rPr>
          <w:rFonts w:ascii="Arial" w:cs="Arial" w:eastAsia="Arial" w:hAnsi="Arial"/>
          <w:sz w:val="26"/>
          <w:szCs w:val="26"/>
          <w:color w:val="auto"/>
          <w:vertAlign w:val="superscript"/>
        </w:rPr>
        <w:t>(B)</w:t>
      </w:r>
      <w:r>
        <w:rPr>
          <w:rFonts w:ascii="Arial" w:cs="Arial" w:eastAsia="Arial" w:hAnsi="Arial"/>
          <w:sz w:val="16"/>
          <w:szCs w:val="16"/>
          <w:color w:val="auto"/>
        </w:rPr>
        <w:t>Restructuring expenses, including CRM restructuring announced March 10, 2016 and severance related to Corporate and shared service synergies.</w:t>
      </w:r>
    </w:p>
    <w:p>
      <w:pPr>
        <w:ind w:left="120"/>
        <w:spacing w:after="0" w:line="184" w:lineRule="auto"/>
        <w:rPr>
          <w:sz w:val="20"/>
          <w:szCs w:val="20"/>
          <w:color w:val="auto"/>
        </w:rPr>
      </w:pPr>
      <w:r>
        <w:rPr>
          <w:rFonts w:ascii="Arial" w:cs="Arial" w:eastAsia="Arial" w:hAnsi="Arial"/>
          <w:sz w:val="29"/>
          <w:szCs w:val="29"/>
          <w:color w:val="auto"/>
          <w:vertAlign w:val="superscript"/>
        </w:rPr>
        <w:t>(C)</w:t>
      </w:r>
      <w:r>
        <w:rPr>
          <w:rFonts w:ascii="Arial" w:cs="Arial" w:eastAsia="Arial" w:hAnsi="Arial"/>
          <w:sz w:val="18"/>
          <w:szCs w:val="18"/>
          <w:color w:val="auto"/>
        </w:rPr>
        <w:t>Includes amortization associated with final purchase price accounting.</w:t>
      </w:r>
    </w:p>
    <w:p>
      <w:pPr>
        <w:spacing w:after="0" w:line="1" w:lineRule="exact"/>
        <w:rPr>
          <w:sz w:val="20"/>
          <w:szCs w:val="20"/>
          <w:color w:val="auto"/>
        </w:rPr>
      </w:pPr>
    </w:p>
    <w:p>
      <w:pPr>
        <w:ind w:left="120" w:right="120"/>
        <w:spacing w:after="0" w:line="187" w:lineRule="auto"/>
        <w:rPr>
          <w:sz w:val="20"/>
          <w:szCs w:val="20"/>
          <w:color w:val="auto"/>
        </w:rPr>
      </w:pPr>
      <w:r>
        <w:rPr>
          <w:rFonts w:ascii="Arial" w:cs="Arial" w:eastAsia="Arial" w:hAnsi="Arial"/>
          <w:sz w:val="26"/>
          <w:szCs w:val="26"/>
          <w:color w:val="auto"/>
          <w:vertAlign w:val="superscript"/>
        </w:rPr>
        <w:t>(D)</w:t>
      </w:r>
      <w:r>
        <w:rPr>
          <w:rFonts w:ascii="Arial" w:cs="Arial" w:eastAsia="Arial" w:hAnsi="Arial"/>
          <w:sz w:val="16"/>
          <w:szCs w:val="16"/>
          <w:color w:val="auto"/>
        </w:rPr>
        <w:t>Includes a $4.7 million reimbursement of damages related to 2012 earthquake that happened in Mirandola (Italy), a $5.0 million write-off of receivables vs Greece distributors, and a $1.3 million expense associated with litigation</w:t>
      </w:r>
    </w:p>
    <w:p>
      <w:pPr>
        <w:ind w:left="300"/>
        <w:spacing w:after="0" w:line="221" w:lineRule="auto"/>
        <w:rPr>
          <w:sz w:val="20"/>
          <w:szCs w:val="20"/>
          <w:color w:val="auto"/>
        </w:rPr>
      </w:pPr>
      <w:r>
        <w:rPr>
          <w:rFonts w:ascii="Arial" w:cs="Arial" w:eastAsia="Arial" w:hAnsi="Arial"/>
          <w:sz w:val="18"/>
          <w:szCs w:val="18"/>
          <w:color w:val="auto"/>
        </w:rPr>
        <w:t>related to 3T heater/cooler.</w:t>
      </w:r>
    </w:p>
    <w:p>
      <w:pPr>
        <w:ind w:left="120"/>
        <w:spacing w:after="0" w:line="184" w:lineRule="auto"/>
        <w:rPr>
          <w:sz w:val="20"/>
          <w:szCs w:val="20"/>
          <w:color w:val="auto"/>
        </w:rPr>
      </w:pPr>
      <w:r>
        <w:rPr>
          <w:rFonts w:ascii="Arial" w:cs="Arial" w:eastAsia="Arial" w:hAnsi="Arial"/>
          <w:sz w:val="29"/>
          <w:szCs w:val="29"/>
          <w:color w:val="auto"/>
          <w:vertAlign w:val="superscript"/>
        </w:rPr>
        <w:t>(E)</w:t>
      </w:r>
      <w:r>
        <w:rPr>
          <w:rFonts w:ascii="Arial" w:cs="Arial" w:eastAsia="Arial" w:hAnsi="Arial"/>
          <w:sz w:val="18"/>
          <w:szCs w:val="18"/>
          <w:color w:val="auto"/>
        </w:rPr>
        <w:t>Includes the amortization of inventory step-up associated with final purchase price accounting.</w:t>
      </w:r>
    </w:p>
    <w:p>
      <w:pPr>
        <w:ind w:left="120"/>
        <w:spacing w:after="0" w:line="185" w:lineRule="auto"/>
        <w:rPr>
          <w:sz w:val="20"/>
          <w:szCs w:val="20"/>
          <w:color w:val="auto"/>
        </w:rPr>
      </w:pPr>
      <w:r>
        <w:rPr>
          <w:rFonts w:ascii="Arial" w:cs="Arial" w:eastAsia="Arial" w:hAnsi="Arial"/>
          <w:sz w:val="29"/>
          <w:szCs w:val="29"/>
          <w:color w:val="auto"/>
          <w:vertAlign w:val="superscript"/>
        </w:rPr>
        <w:t>(F)</w:t>
      </w:r>
      <w:r>
        <w:rPr>
          <w:rFonts w:ascii="Arial" w:cs="Arial" w:eastAsia="Arial" w:hAnsi="Arial"/>
          <w:sz w:val="18"/>
          <w:szCs w:val="18"/>
          <w:color w:val="auto"/>
        </w:rPr>
        <w:t>Includes $3.6 million related to SG&amp;A and $0.2 million related to R&amp;D.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30"/>
          <w:szCs w:val="30"/>
          <w:color w:val="auto"/>
          <w:vertAlign w:val="superscript"/>
        </w:rPr>
        <w:t>(G)</w:t>
      </w:r>
      <w:r>
        <w:rPr>
          <w:rFonts w:ascii="Arial" w:cs="Arial" w:eastAsia="Arial" w:hAnsi="Arial"/>
          <w:sz w:val="18"/>
          <w:szCs w:val="18"/>
          <w:color w:val="auto"/>
        </w:rPr>
        <w:t>Relates to the impact of restrucring initiatives and including IP migration.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4"/>
          </w:tcPr>
          <w:p>
            <w:pPr>
              <w:spacing w:after="0"/>
              <w:rPr>
                <w:sz w:val="20"/>
                <w:szCs w:val="20"/>
                <w:color w:val="auto"/>
              </w:rPr>
            </w:pPr>
            <w:r>
              <w:rPr>
                <w:rFonts w:ascii="Arial" w:cs="Arial" w:eastAsia="Arial" w:hAnsi="Arial"/>
                <w:sz w:val="18"/>
                <w:szCs w:val="18"/>
                <w:color w:val="auto"/>
                <w:w w:val="96"/>
              </w:rPr>
              <w:t>Please see "Use of Non-GAAP Financial Measures" above</w:t>
            </w:r>
          </w:p>
        </w:tc>
        <w:tc>
          <w:tcPr>
            <w:tcW w:w="1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2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Three Months Ended June 30,</w:t>
            </w:r>
          </w:p>
        </w:tc>
        <w:tc>
          <w:tcPr>
            <w:tcW w:w="180" w:type="dxa"/>
            <w:vAlign w:val="bottom"/>
          </w:tcPr>
          <w:p>
            <w:pPr>
              <w:spacing w:after="0"/>
              <w:rPr>
                <w:sz w:val="24"/>
                <w:szCs w:val="24"/>
                <w:color w:val="auto"/>
              </w:rPr>
            </w:pPr>
          </w:p>
        </w:tc>
        <w:tc>
          <w:tcPr>
            <w:tcW w:w="1680" w:type="dxa"/>
            <w:vAlign w:val="bottom"/>
            <w:gridSpan w:val="2"/>
            <w:vMerge w:val="restart"/>
          </w:tcPr>
          <w:p>
            <w:pPr>
              <w:ind w:left="560"/>
              <w:spacing w:after="0"/>
              <w:rPr>
                <w:sz w:val="20"/>
                <w:szCs w:val="20"/>
                <w:color w:val="auto"/>
              </w:rPr>
            </w:pPr>
            <w:r>
              <w:rPr>
                <w:rFonts w:ascii="Arial" w:cs="Arial" w:eastAsia="Arial" w:hAnsi="Arial"/>
                <w:sz w:val="18"/>
                <w:szCs w:val="18"/>
                <w:b w:val="1"/>
                <w:bCs w:val="1"/>
                <w:color w:val="auto"/>
              </w:rPr>
              <w:t>Sales</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1"/>
              </w:rPr>
              <w:t>Income</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60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Pr>
          <w:p>
            <w:pPr>
              <w:spacing w:after="0"/>
              <w:rPr>
                <w:sz w:val="14"/>
                <w:szCs w:val="14"/>
                <w:color w:val="auto"/>
              </w:rPr>
            </w:pPr>
          </w:p>
        </w:tc>
        <w:tc>
          <w:tcPr>
            <w:tcW w:w="1580" w:type="dxa"/>
            <w:vAlign w:val="bottom"/>
          </w:tcPr>
          <w:p>
            <w:pPr>
              <w:jc w:val="center"/>
              <w:spacing w:after="0" w:line="162" w:lineRule="exact"/>
              <w:rPr>
                <w:sz w:val="20"/>
                <w:szCs w:val="20"/>
                <w:color w:val="auto"/>
              </w:rPr>
            </w:pPr>
            <w:r>
              <w:rPr>
                <w:rFonts w:ascii="Arial" w:cs="Arial" w:eastAsia="Arial" w:hAnsi="Arial"/>
                <w:sz w:val="18"/>
                <w:szCs w:val="18"/>
                <w:b w:val="1"/>
                <w:bCs w:val="1"/>
                <w:color w:val="auto"/>
                <w:w w:val="93"/>
              </w:rPr>
              <w:t>From</w:t>
            </w:r>
          </w:p>
        </w:tc>
        <w:tc>
          <w:tcPr>
            <w:tcW w:w="280" w:type="dxa"/>
            <w:vAlign w:val="bottom"/>
          </w:tcPr>
          <w:p>
            <w:pPr>
              <w:spacing w:after="0"/>
              <w:rPr>
                <w:sz w:val="14"/>
                <w:szCs w:val="14"/>
                <w:color w:val="auto"/>
              </w:rPr>
            </w:pPr>
          </w:p>
        </w:tc>
        <w:tc>
          <w:tcPr>
            <w:tcW w:w="138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Pr>
          <w:p>
            <w:pPr>
              <w:spacing w:after="0"/>
              <w:rPr>
                <w:sz w:val="14"/>
                <w:szCs w:val="14"/>
                <w:color w:val="auto"/>
              </w:rPr>
            </w:pPr>
          </w:p>
        </w:tc>
        <w:tc>
          <w:tcPr>
            <w:tcW w:w="158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Diluted EPS</w:t>
            </w:r>
          </w:p>
        </w:tc>
        <w:tc>
          <w:tcPr>
            <w:tcW w:w="0" w:type="dxa"/>
            <w:vAlign w:val="bottom"/>
          </w:tcPr>
          <w:p>
            <w:pPr>
              <w:spacing w:after="0"/>
              <w:rPr>
                <w:sz w:val="1"/>
                <w:szCs w:val="1"/>
                <w:color w:val="auto"/>
              </w:rPr>
            </w:pPr>
          </w:p>
        </w:tc>
      </w:tr>
      <w:tr>
        <w:trPr>
          <w:trHeight w:val="210"/>
        </w:trPr>
        <w:tc>
          <w:tcPr>
            <w:tcW w:w="2680" w:type="dxa"/>
            <w:vAlign w:val="bottom"/>
            <w:tcBorders>
              <w:bottom w:val="single" w:sz="8" w:color="auto"/>
            </w:tcBorders>
          </w:tcPr>
          <w:p>
            <w:pPr>
              <w:jc w:val="right"/>
              <w:ind w:right="1070"/>
              <w:spacing w:after="0" w:line="202" w:lineRule="exact"/>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0"/>
              </w:rPr>
              <w:t>Operations</w:t>
            </w:r>
          </w:p>
        </w:tc>
        <w:tc>
          <w:tcPr>
            <w:tcW w:w="280" w:type="dxa"/>
            <w:vAlign w:val="bottom"/>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9" w:right="239" w:bottom="1440" w:gutter="0" w:footer="0" w:header="0"/>
          <w:type w:val="continuous"/>
        </w:sectPr>
      </w:pPr>
    </w:p>
    <w:p>
      <w:pPr>
        <w:spacing w:after="0" w:line="69" w:lineRule="exact"/>
        <w:rPr>
          <w:sz w:val="20"/>
          <w:szCs w:val="20"/>
          <w:color w:val="auto"/>
        </w:rPr>
      </w:pPr>
    </w:p>
    <w:p>
      <w:pPr>
        <w:ind w:left="20"/>
        <w:spacing w:after="0"/>
        <w:tabs>
          <w:tab w:leader="none" w:pos="2860" w:val="left"/>
        </w:tabs>
        <w:rPr>
          <w:sz w:val="20"/>
          <w:szCs w:val="20"/>
          <w:color w:val="auto"/>
        </w:rPr>
      </w:pPr>
      <w:r>
        <w:rPr>
          <w:rFonts w:ascii="Arial" w:cs="Arial" w:eastAsia="Arial" w:hAnsi="Arial"/>
          <w:sz w:val="18"/>
          <w:szCs w:val="18"/>
          <w:color w:val="auto"/>
        </w:rPr>
        <w:t>GAAP Financial Measures</w:t>
      </w:r>
      <w:r>
        <w:rPr>
          <w:sz w:val="20"/>
          <w:szCs w:val="20"/>
          <w:color w:val="auto"/>
        </w:rPr>
        <w:tab/>
      </w:r>
      <w:r>
        <w:rPr>
          <w:rFonts w:ascii="Arial" w:cs="Arial" w:eastAsia="Arial" w:hAnsi="Arial"/>
          <w:sz w:val="14"/>
          <w:szCs w:val="14"/>
          <w:color w:val="auto"/>
        </w:rPr>
        <w:t>$</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Specified Items</w:t>
      </w:r>
    </w:p>
    <w:p>
      <w:pPr>
        <w:ind w:left="20" w:right="960" w:firstLine="446"/>
        <w:spacing w:after="0" w:line="181" w:lineRule="auto"/>
        <w:rPr>
          <w:sz w:val="20"/>
          <w:szCs w:val="20"/>
          <w:color w:val="auto"/>
        </w:rPr>
      </w:pPr>
      <w:r>
        <w:rPr>
          <w:rFonts w:ascii="Arial" w:cs="Arial" w:eastAsia="Arial" w:hAnsi="Arial"/>
          <w:sz w:val="18"/>
          <w:szCs w:val="18"/>
          <w:color w:val="auto"/>
        </w:rPr>
        <w:t>Merger and integration expense</w:t>
      </w:r>
      <w:r>
        <w:rPr>
          <w:rFonts w:ascii="Arial" w:cs="Arial" w:eastAsia="Arial" w:hAnsi="Arial"/>
          <w:sz w:val="30"/>
          <w:szCs w:val="30"/>
          <w:color w:val="auto"/>
          <w:vertAlign w:val="superscript"/>
        </w:rPr>
        <w:t>(A)</w:t>
      </w:r>
    </w:p>
    <w:p>
      <w:pPr>
        <w:ind w:left="460"/>
        <w:spacing w:after="0" w:line="186" w:lineRule="auto"/>
        <w:rPr>
          <w:sz w:val="20"/>
          <w:szCs w:val="20"/>
          <w:color w:val="auto"/>
        </w:rPr>
      </w:pPr>
      <w:r>
        <w:rPr>
          <w:rFonts w:ascii="Arial" w:cs="Arial" w:eastAsia="Arial" w:hAnsi="Arial"/>
          <w:sz w:val="15"/>
          <w:szCs w:val="15"/>
          <w:color w:val="auto"/>
        </w:rPr>
        <w:t>Restructuring expense</w:t>
      </w:r>
      <w:r>
        <w:rPr>
          <w:rFonts w:ascii="Arial" w:cs="Arial" w:eastAsia="Arial" w:hAnsi="Arial"/>
          <w:sz w:val="23"/>
          <w:szCs w:val="23"/>
          <w:color w:val="auto"/>
          <w:vertAlign w:val="superscript"/>
        </w:rPr>
        <w:t>(B)</w:t>
      </w:r>
    </w:p>
    <w:p>
      <w:pPr>
        <w:ind w:left="20" w:right="700" w:firstLine="446"/>
        <w:spacing w:after="0" w:line="187" w:lineRule="auto"/>
        <w:rPr>
          <w:sz w:val="20"/>
          <w:szCs w:val="20"/>
          <w:color w:val="auto"/>
        </w:rPr>
      </w:pPr>
      <w:r>
        <w:rPr>
          <w:rFonts w:ascii="Arial" w:cs="Arial" w:eastAsia="Arial" w:hAnsi="Arial"/>
          <w:sz w:val="16"/>
          <w:szCs w:val="16"/>
          <w:color w:val="auto"/>
        </w:rPr>
        <w:t>Amortization of intangible assets</w:t>
      </w:r>
      <w:r>
        <w:rPr>
          <w:rFonts w:ascii="Arial" w:cs="Arial" w:eastAsia="Arial" w:hAnsi="Arial"/>
          <w:sz w:val="26"/>
          <w:szCs w:val="26"/>
          <w:color w:val="auto"/>
          <w:vertAlign w:val="superscript"/>
        </w:rPr>
        <w:t>(C)</w:t>
      </w:r>
    </w:p>
    <w:p>
      <w:pPr>
        <w:spacing w:after="0" w:line="2" w:lineRule="exact"/>
        <w:rPr>
          <w:sz w:val="20"/>
          <w:szCs w:val="20"/>
          <w:color w:val="auto"/>
        </w:rPr>
      </w:pPr>
    </w:p>
    <w:p>
      <w:pPr>
        <w:ind w:left="20" w:right="700" w:firstLine="446"/>
        <w:spacing w:after="0" w:line="181" w:lineRule="auto"/>
        <w:rPr>
          <w:sz w:val="20"/>
          <w:szCs w:val="20"/>
          <w:color w:val="auto"/>
        </w:rPr>
      </w:pPr>
      <w:r>
        <w:rPr>
          <w:rFonts w:ascii="Arial" w:cs="Arial" w:eastAsia="Arial" w:hAnsi="Arial"/>
          <w:sz w:val="18"/>
          <w:szCs w:val="18"/>
          <w:color w:val="auto"/>
        </w:rPr>
        <w:t>Other Income Expenses &amp; Litigations</w:t>
      </w:r>
      <w:r>
        <w:rPr>
          <w:rFonts w:ascii="Arial" w:cs="Arial" w:eastAsia="Arial" w:hAnsi="Arial"/>
          <w:sz w:val="30"/>
          <w:szCs w:val="30"/>
          <w:color w:val="auto"/>
          <w:vertAlign w:val="superscript"/>
        </w:rPr>
        <w:t>(D)</w:t>
      </w:r>
    </w:p>
    <w:p>
      <w:pPr>
        <w:ind w:left="460"/>
        <w:spacing w:after="0" w:line="182" w:lineRule="auto"/>
        <w:rPr>
          <w:sz w:val="20"/>
          <w:szCs w:val="20"/>
          <w:color w:val="auto"/>
        </w:rPr>
      </w:pPr>
      <w:r>
        <w:rPr>
          <w:rFonts w:ascii="Arial" w:cs="Arial" w:eastAsia="Arial" w:hAnsi="Arial"/>
          <w:sz w:val="17"/>
          <w:szCs w:val="17"/>
          <w:color w:val="auto"/>
        </w:rPr>
        <w:t>Impact of inventory step-up</w:t>
      </w:r>
      <w:r>
        <w:rPr>
          <w:rFonts w:ascii="Arial" w:cs="Arial" w:eastAsia="Arial" w:hAnsi="Arial"/>
          <w:sz w:val="28"/>
          <w:szCs w:val="28"/>
          <w:color w:val="auto"/>
          <w:vertAlign w:val="superscript"/>
        </w:rPr>
        <w:t>(E)</w:t>
      </w:r>
    </w:p>
    <w:p>
      <w:pPr>
        <w:ind w:left="460"/>
        <w:spacing w:after="0" w:line="188" w:lineRule="auto"/>
        <w:rPr>
          <w:sz w:val="20"/>
          <w:szCs w:val="20"/>
          <w:color w:val="auto"/>
        </w:rPr>
      </w:pPr>
      <w:r>
        <w:rPr>
          <w:rFonts w:ascii="Arial" w:cs="Arial" w:eastAsia="Arial" w:hAnsi="Arial"/>
          <w:sz w:val="18"/>
          <w:szCs w:val="18"/>
          <w:color w:val="auto"/>
        </w:rPr>
        <w:t>Equity compensation</w:t>
      </w:r>
      <w:r>
        <w:rPr>
          <w:rFonts w:ascii="Arial" w:cs="Arial" w:eastAsia="Arial" w:hAnsi="Arial"/>
          <w:sz w:val="30"/>
          <w:szCs w:val="30"/>
          <w:color w:val="auto"/>
          <w:vertAlign w:val="superscript"/>
        </w:rPr>
        <w:t>(F)</w:t>
      </w:r>
    </w:p>
    <w:p>
      <w:pPr>
        <w:ind w:left="460"/>
        <w:spacing w:after="0" w:line="185" w:lineRule="auto"/>
        <w:rPr>
          <w:sz w:val="20"/>
          <w:szCs w:val="20"/>
          <w:color w:val="auto"/>
        </w:rPr>
      </w:pPr>
      <w:r>
        <w:rPr>
          <w:rFonts w:ascii="Arial" w:cs="Arial" w:eastAsia="Arial" w:hAnsi="Arial"/>
          <w:sz w:val="18"/>
          <w:szCs w:val="18"/>
          <w:color w:val="auto"/>
        </w:rPr>
        <w:t>Certain tax adjustments</w:t>
      </w:r>
      <w:r>
        <w:rPr>
          <w:rFonts w:ascii="Arial" w:cs="Arial" w:eastAsia="Arial" w:hAnsi="Arial"/>
          <w:sz w:val="29"/>
          <w:szCs w:val="29"/>
          <w:color w:val="auto"/>
          <w:vertAlign w:val="superscript"/>
        </w:rPr>
        <w:t>(G)</w:t>
      </w:r>
    </w:p>
    <w:p>
      <w:pPr>
        <w:spacing w:after="0" w:line="1" w:lineRule="exact"/>
        <w:rPr>
          <w:sz w:val="20"/>
          <w:szCs w:val="20"/>
          <w:color w:val="auto"/>
        </w:rPr>
      </w:pPr>
    </w:p>
    <w:p>
      <w:pPr>
        <w:ind w:left="20"/>
        <w:spacing w:after="0"/>
        <w:tabs>
          <w:tab w:leader="none" w:pos="2860" w:val="left"/>
        </w:tabs>
        <w:rPr>
          <w:sz w:val="20"/>
          <w:szCs w:val="20"/>
          <w:color w:val="auto"/>
        </w:rPr>
      </w:pPr>
      <w:r>
        <w:rPr>
          <w:rFonts w:ascii="Arial" w:cs="Arial" w:eastAsia="Arial" w:hAnsi="Arial"/>
          <w:sz w:val="18"/>
          <w:szCs w:val="18"/>
          <w:color w:val="auto"/>
        </w:rPr>
        <w:t>Adjusted financial measures</w:t>
      </w:r>
      <w:r>
        <w:rPr>
          <w:sz w:val="20"/>
          <w:szCs w:val="20"/>
          <w:color w:val="auto"/>
        </w:rPr>
        <w:tab/>
      </w:r>
      <w:r>
        <w:rPr>
          <w:rFonts w:ascii="Arial" w:cs="Arial" w:eastAsia="Arial" w:hAnsi="Arial"/>
          <w:sz w:val="21"/>
          <w:szCs w:val="21"/>
          <w:color w:val="auto"/>
          <w:vertAlign w:val="superscript"/>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4"/>
        </w:trPr>
        <w:tc>
          <w:tcPr>
            <w:tcW w:w="740" w:type="dxa"/>
            <w:vAlign w:val="bottom"/>
          </w:tcPr>
          <w:p>
            <w:pPr>
              <w:jc w:val="right"/>
              <w:ind w:right="250"/>
              <w:spacing w:after="0"/>
              <w:rPr>
                <w:sz w:val="20"/>
                <w:szCs w:val="20"/>
                <w:color w:val="auto"/>
              </w:rPr>
            </w:pPr>
            <w:r>
              <w:rPr>
                <w:rFonts w:ascii="Arial" w:cs="Arial" w:eastAsia="Arial" w:hAnsi="Arial"/>
                <w:sz w:val="18"/>
                <w:szCs w:val="18"/>
                <w:color w:val="auto"/>
                <w:w w:val="84"/>
              </w:rPr>
              <w:t>608.0</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353.8</w:t>
            </w: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(14.2 )</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(31.4 )</w:t>
            </w:r>
          </w:p>
        </w:tc>
        <w:tc>
          <w:tcPr>
            <w:tcW w:w="7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(0.64 )</w:t>
            </w:r>
          </w:p>
        </w:tc>
        <w:tc>
          <w:tcPr>
            <w:tcW w:w="0" w:type="dxa"/>
            <w:vAlign w:val="bottom"/>
          </w:tcPr>
          <w:p>
            <w:pPr>
              <w:spacing w:after="0"/>
              <w:rPr>
                <w:sz w:val="1"/>
                <w:szCs w:val="1"/>
                <w:color w:val="auto"/>
              </w:rPr>
            </w:pPr>
          </w:p>
        </w:tc>
      </w:tr>
      <w:tr>
        <w:trPr>
          <w:trHeight w:val="621"/>
        </w:trPr>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13.0</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43"/>
        </w:trPr>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32.8</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30.5</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378"/>
        </w:trPr>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26.8</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378"/>
        </w:trPr>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3"/>
        </w:trPr>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35.0</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35.0</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43"/>
        </w:trPr>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37"/>
        </w:trPr>
        <w:tc>
          <w:tcPr>
            <w:tcW w:w="740" w:type="dxa"/>
            <w:vAlign w:val="bottom"/>
            <w:vMerge w:val="restart"/>
          </w:tcPr>
          <w:p>
            <w:pPr>
              <w:jc w:val="right"/>
              <w:ind w:right="250"/>
              <w:spacing w:after="0"/>
              <w:rPr>
                <w:sz w:val="20"/>
                <w:szCs w:val="20"/>
                <w:color w:val="auto"/>
              </w:rPr>
            </w:pPr>
            <w:r>
              <w:rPr>
                <w:rFonts w:ascii="Arial" w:cs="Arial" w:eastAsia="Arial" w:hAnsi="Arial"/>
                <w:sz w:val="18"/>
                <w:szCs w:val="18"/>
                <w:color w:val="auto"/>
                <w:w w:val="84"/>
              </w:rPr>
              <w:t>608.0</w:t>
            </w: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43"/>
        </w:trPr>
        <w:tc>
          <w:tcPr>
            <w:tcW w:w="740" w:type="dxa"/>
            <w:vAlign w:val="bottom"/>
            <w:vMerge w:val="continue"/>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394.1</w:t>
            </w: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106.3</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69.5</w:t>
            </w:r>
          </w:p>
        </w:tc>
        <w:tc>
          <w:tcPr>
            <w:tcW w:w="7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
        </w:trPr>
        <w:tc>
          <w:tcPr>
            <w:tcW w:w="7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-1851660</wp:posOffset>
            </wp:positionV>
            <wp:extent cx="72466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-1543050</wp:posOffset>
            </wp:positionV>
            <wp:extent cx="7246620" cy="2400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-1148715</wp:posOffset>
            </wp:positionV>
            <wp:extent cx="7246620" cy="2400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-668020</wp:posOffset>
            </wp:positionV>
            <wp:extent cx="724662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-359410</wp:posOffset>
            </wp:positionV>
            <wp:extent cx="72466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-33655</wp:posOffset>
            </wp:positionV>
            <wp:extent cx="8661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-8255</wp:posOffset>
            </wp:positionV>
            <wp:extent cx="8661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80" w:space="720"/>
            <w:col w:w="7620"/>
          </w:cols>
          <w:pgMar w:left="240" w:top="69" w:right="239" w:bottom="1440" w:gutter="0" w:footer="0" w:header="0"/>
          <w:type w:val="continuous"/>
        </w:sectPr>
      </w:pPr>
    </w:p>
    <w:p>
      <w:pPr>
        <w:spacing w:after="0" w:line="162" w:lineRule="exact"/>
        <w:rPr>
          <w:sz w:val="20"/>
          <w:szCs w:val="20"/>
          <w:color w:val="auto"/>
        </w:rPr>
      </w:pPr>
    </w:p>
    <w:p>
      <w:pPr>
        <w:ind w:left="100"/>
        <w:spacing w:after="0"/>
        <w:rPr>
          <w:sz w:val="20"/>
          <w:szCs w:val="20"/>
          <w:color w:val="auto"/>
        </w:rPr>
      </w:pPr>
      <w:r>
        <w:rPr>
          <w:rFonts w:ascii="Arial" w:cs="Arial" w:eastAsia="Arial" w:hAnsi="Arial"/>
          <w:sz w:val="18"/>
          <w:szCs w:val="18"/>
          <w:b w:val="1"/>
          <w:bCs w:val="1"/>
          <w:u w:val="single" w:color="auto"/>
          <w:color w:val="auto"/>
        </w:rPr>
        <w:t>GAAP results for the three months ended June 30, 2016 include</w:t>
      </w:r>
      <w:r>
        <w:rPr>
          <w:rFonts w:ascii="Arial" w:cs="Arial" w:eastAsia="Arial" w:hAnsi="Arial"/>
          <w:sz w:val="18"/>
          <w:szCs w:val="18"/>
          <w:b w:val="1"/>
          <w:bCs w:val="1"/>
          <w:color w:val="auto"/>
        </w:rPr>
        <w:t>:</w:t>
      </w:r>
    </w:p>
    <w:p>
      <w:pPr>
        <w:ind w:left="100"/>
        <w:spacing w:after="0" w:line="181" w:lineRule="auto"/>
        <w:rPr>
          <w:sz w:val="20"/>
          <w:szCs w:val="20"/>
          <w:color w:val="auto"/>
        </w:rPr>
      </w:pPr>
      <w:r>
        <w:rPr>
          <w:rFonts w:ascii="Arial" w:cs="Arial" w:eastAsia="Arial" w:hAnsi="Arial"/>
          <w:sz w:val="28"/>
          <w:szCs w:val="28"/>
          <w:color w:val="auto"/>
          <w:vertAlign w:val="superscript"/>
        </w:rPr>
        <w:t>(A)</w:t>
      </w:r>
      <w:r>
        <w:rPr>
          <w:rFonts w:ascii="Arial" w:cs="Arial" w:eastAsia="Arial" w:hAnsi="Arial"/>
          <w:sz w:val="17"/>
          <w:szCs w:val="17"/>
          <w:color w:val="auto"/>
        </w:rPr>
        <w:t>Expenses related to merger and integration activities.</w:t>
      </w:r>
    </w:p>
    <w:p>
      <w:pPr>
        <w:ind w:left="100"/>
        <w:spacing w:after="0" w:line="195" w:lineRule="auto"/>
        <w:rPr>
          <w:sz w:val="20"/>
          <w:szCs w:val="20"/>
          <w:color w:val="auto"/>
        </w:rPr>
      </w:pPr>
      <w:r>
        <w:rPr>
          <w:rFonts w:ascii="Arial" w:cs="Arial" w:eastAsia="Arial" w:hAnsi="Arial"/>
          <w:sz w:val="26"/>
          <w:szCs w:val="26"/>
          <w:color w:val="auto"/>
          <w:vertAlign w:val="superscript"/>
        </w:rPr>
        <w:t>(B)</w:t>
      </w:r>
      <w:r>
        <w:rPr>
          <w:rFonts w:ascii="Arial" w:cs="Arial" w:eastAsia="Arial" w:hAnsi="Arial"/>
          <w:sz w:val="16"/>
          <w:szCs w:val="16"/>
          <w:color w:val="auto"/>
        </w:rPr>
        <w:t>Restructuring expenses, including CRM restructuring announced March 10, 2016 and severance related to Corporate and shared service synergies.</w:t>
      </w:r>
    </w:p>
    <w:p>
      <w:pPr>
        <w:ind w:left="100"/>
        <w:spacing w:after="0" w:line="181" w:lineRule="auto"/>
        <w:rPr>
          <w:sz w:val="20"/>
          <w:szCs w:val="20"/>
          <w:color w:val="auto"/>
        </w:rPr>
      </w:pPr>
      <w:r>
        <w:rPr>
          <w:rFonts w:ascii="Arial" w:cs="Arial" w:eastAsia="Arial" w:hAnsi="Arial"/>
          <w:sz w:val="28"/>
          <w:szCs w:val="28"/>
          <w:color w:val="auto"/>
          <w:vertAlign w:val="superscript"/>
        </w:rPr>
        <w:t>(C)</w:t>
      </w:r>
      <w:r>
        <w:rPr>
          <w:rFonts w:ascii="Arial" w:cs="Arial" w:eastAsia="Arial" w:hAnsi="Arial"/>
          <w:sz w:val="17"/>
          <w:szCs w:val="17"/>
          <w:color w:val="auto"/>
        </w:rPr>
        <w:t>Includes amortization associated with final purchase price accounting.</w:t>
      </w:r>
    </w:p>
    <w:p>
      <w:pPr>
        <w:spacing w:after="0" w:line="1" w:lineRule="exact"/>
        <w:rPr>
          <w:sz w:val="20"/>
          <w:szCs w:val="20"/>
          <w:color w:val="auto"/>
        </w:rPr>
      </w:pPr>
    </w:p>
    <w:p>
      <w:pPr>
        <w:ind w:left="100" w:right="960"/>
        <w:spacing w:after="0" w:line="187" w:lineRule="auto"/>
        <w:rPr>
          <w:sz w:val="20"/>
          <w:szCs w:val="20"/>
          <w:color w:val="auto"/>
        </w:rPr>
      </w:pPr>
      <w:r>
        <w:rPr>
          <w:rFonts w:ascii="Arial" w:cs="Arial" w:eastAsia="Arial" w:hAnsi="Arial"/>
          <w:sz w:val="26"/>
          <w:szCs w:val="26"/>
          <w:color w:val="auto"/>
          <w:vertAlign w:val="superscript"/>
        </w:rPr>
        <w:t>(D)</w:t>
      </w:r>
      <w:r>
        <w:rPr>
          <w:rFonts w:ascii="Arial" w:cs="Arial" w:eastAsia="Arial" w:hAnsi="Arial"/>
          <w:sz w:val="16"/>
          <w:szCs w:val="16"/>
          <w:color w:val="auto"/>
        </w:rPr>
        <w:t>Includes a $4.7 million reimbursement of damages related to 2012 earthquake that happened in Mirandola (Italy), a $ 5.0 million write-off of receivables in relation to Greece distributors, and a $2.3 million expense primarily associated</w:t>
      </w:r>
    </w:p>
    <w:p>
      <w:pPr>
        <w:ind w:left="280"/>
        <w:spacing w:after="0" w:line="205" w:lineRule="auto"/>
        <w:rPr>
          <w:sz w:val="20"/>
          <w:szCs w:val="20"/>
          <w:color w:val="auto"/>
        </w:rPr>
      </w:pPr>
      <w:r>
        <w:rPr>
          <w:rFonts w:ascii="Arial" w:cs="Arial" w:eastAsia="Arial" w:hAnsi="Arial"/>
          <w:sz w:val="18"/>
          <w:szCs w:val="18"/>
          <w:color w:val="auto"/>
        </w:rPr>
        <w:t>with litigation related to 3T heater/cooler.</w:t>
      </w:r>
    </w:p>
    <w:p>
      <w:pPr>
        <w:ind w:left="100"/>
        <w:spacing w:after="0" w:line="181" w:lineRule="auto"/>
        <w:rPr>
          <w:sz w:val="20"/>
          <w:szCs w:val="20"/>
          <w:color w:val="auto"/>
        </w:rPr>
      </w:pPr>
      <w:r>
        <w:rPr>
          <w:rFonts w:ascii="Arial" w:cs="Arial" w:eastAsia="Arial" w:hAnsi="Arial"/>
          <w:sz w:val="28"/>
          <w:szCs w:val="28"/>
          <w:color w:val="auto"/>
          <w:vertAlign w:val="superscript"/>
        </w:rPr>
        <w:t>(E)</w:t>
      </w:r>
      <w:r>
        <w:rPr>
          <w:rFonts w:ascii="Arial" w:cs="Arial" w:eastAsia="Arial" w:hAnsi="Arial"/>
          <w:sz w:val="17"/>
          <w:szCs w:val="17"/>
          <w:color w:val="auto"/>
        </w:rPr>
        <w:t>Includes the amortization of inventory step-up associated with final purchase price accounting.</w:t>
      </w:r>
    </w:p>
    <w:p>
      <w:pPr>
        <w:ind w:left="100"/>
        <w:spacing w:after="0" w:line="181" w:lineRule="auto"/>
        <w:rPr>
          <w:sz w:val="20"/>
          <w:szCs w:val="20"/>
          <w:color w:val="auto"/>
        </w:rPr>
      </w:pPr>
      <w:r>
        <w:rPr>
          <w:rFonts w:ascii="Arial" w:cs="Arial" w:eastAsia="Arial" w:hAnsi="Arial"/>
          <w:sz w:val="28"/>
          <w:szCs w:val="28"/>
          <w:color w:val="auto"/>
          <w:vertAlign w:val="superscript"/>
        </w:rPr>
        <w:t>(F)</w:t>
      </w:r>
      <w:r>
        <w:rPr>
          <w:rFonts w:ascii="Arial" w:cs="Arial" w:eastAsia="Arial" w:hAnsi="Arial"/>
          <w:sz w:val="17"/>
          <w:szCs w:val="17"/>
          <w:color w:val="auto"/>
        </w:rPr>
        <w:t>Includes $9.0 million related to SG&amp;A and $0.6 million related to R&amp;D.</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30"/>
          <w:szCs w:val="30"/>
          <w:color w:val="auto"/>
          <w:vertAlign w:val="superscript"/>
        </w:rPr>
        <w:t>(G)</w:t>
      </w:r>
      <w:r>
        <w:rPr>
          <w:rFonts w:ascii="Arial" w:cs="Arial" w:eastAsia="Arial" w:hAnsi="Arial"/>
          <w:sz w:val="18"/>
          <w:szCs w:val="18"/>
          <w:color w:val="auto"/>
        </w:rPr>
        <w:t>Relates to the impact of restrucring initiatives and including IP migration.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Please see "Use of Non-GAAP Financial Measures" above</w:t>
      </w:r>
    </w:p>
    <w:p>
      <w:pPr>
        <w:sectPr>
          <w:pgSz w:w="11900" w:h="16838" w:orient="portrait"/>
          <w:cols w:equalWidth="0" w:num="1">
            <w:col w:w="11420"/>
          </w:cols>
          <w:pgMar w:left="240" w:top="69" w:right="239" w:bottom="1440" w:gutter="0" w:footer="0" w:header="0"/>
          <w:type w:val="continuous"/>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 w:right="239" w:bottom="1440" w:gutter="0" w:footer="0" w:header="0"/>
          <w:type w:val="continuous"/>
        </w:sectPr>
      </w:pPr>
    </w:p>
    <w:bookmarkStart w:id="19" w:name="page20"/>
    <w:bookmarkEnd w:id="19"/>
    <w:p>
      <w:pPr>
        <w:ind w:left="4220"/>
        <w:spacing w:after="0"/>
        <w:rPr>
          <w:sz w:val="20"/>
          <w:szCs w:val="20"/>
          <w:color w:val="auto"/>
        </w:rPr>
      </w:pPr>
      <w:r>
        <w:rPr>
          <w:rFonts w:ascii="Arial" w:cs="Arial" w:eastAsia="Arial" w:hAnsi="Arial"/>
          <w:sz w:val="18"/>
          <w:szCs w:val="18"/>
          <w:b w:val="1"/>
          <w:bCs w:val="1"/>
          <w:color w:val="auto"/>
        </w:rPr>
        <w:t>LIVANOVA PLC AND SUBSIDIARIES</w:t>
      </w:r>
    </w:p>
    <w:p>
      <w:pPr>
        <w:spacing w:after="0" w:line="11"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CONDENSED CONSOLIDATED BALANCE SHEETS</w:t>
      </w:r>
    </w:p>
    <w:p>
      <w:pPr>
        <w:ind w:left="4220"/>
        <w:spacing w:after="0"/>
        <w:rPr>
          <w:sz w:val="20"/>
          <w:szCs w:val="20"/>
          <w:color w:val="auto"/>
        </w:rPr>
      </w:pPr>
      <w:r>
        <w:rPr>
          <w:rFonts w:ascii="Arial" w:cs="Arial" w:eastAsia="Arial" w:hAnsi="Arial"/>
          <w:sz w:val="18"/>
          <w:szCs w:val="18"/>
          <w:b w:val="1"/>
          <w:bCs w:val="1"/>
          <w:color w:val="auto"/>
        </w:rPr>
        <w:t>U.S. dollars in millions</w:t>
      </w:r>
    </w:p>
    <w:p>
      <w:pPr>
        <w:spacing w:after="0" w:line="187" w:lineRule="exact"/>
        <w:rPr>
          <w:sz w:val="20"/>
          <w:szCs w:val="20"/>
          <w:color w:val="auto"/>
        </w:rPr>
      </w:pPr>
    </w:p>
    <w:tbl>
      <w:tblPr>
        <w:tblLayout w:type="fixed"/>
        <w:tblInd w:w="1900" w:type="dxa"/>
        <w:tblCellMar>
          <w:top w:w="0" w:type="dxa"/>
          <w:left w:w="0" w:type="dxa"/>
          <w:bottom w:w="0" w:type="dxa"/>
          <w:right w:w="0" w:type="dxa"/>
        </w:tblCellMar>
      </w:tblPr>
      <w:tr>
        <w:trPr>
          <w:trHeight w:val="207"/>
        </w:trPr>
        <w:tc>
          <w:tcPr>
            <w:tcW w:w="4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June 30, 2016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41"/>
        </w:trPr>
        <w:tc>
          <w:tcPr>
            <w:tcW w:w="4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360" w:type="dxa"/>
            <w:vAlign w:val="bottom"/>
          </w:tcPr>
          <w:p>
            <w:pPr>
              <w:ind w:left="42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36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43"/>
        </w:trPr>
        <w:tc>
          <w:tcPr>
            <w:tcW w:w="4360" w:type="dxa"/>
            <w:vAlign w:val="bottom"/>
          </w:tcPr>
          <w:p>
            <w:pPr>
              <w:ind w:left="30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0" w:type="dxa"/>
            <w:vAlign w:val="bottom"/>
          </w:tcPr>
          <w:p>
            <w:pPr>
              <w:spacing w:after="0"/>
              <w:rPr>
                <w:sz w:val="1"/>
                <w:szCs w:val="1"/>
                <w:color w:val="auto"/>
              </w:rPr>
            </w:pPr>
          </w:p>
        </w:tc>
      </w:tr>
      <w:tr>
        <w:trPr>
          <w:trHeight w:val="243"/>
        </w:trPr>
        <w:tc>
          <w:tcPr>
            <w:tcW w:w="4360" w:type="dxa"/>
            <w:vAlign w:val="bottom"/>
          </w:tcPr>
          <w:p>
            <w:pPr>
              <w:ind w:left="30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Prepaid taxes</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50"/>
        </w:trPr>
        <w:tc>
          <w:tcPr>
            <w:tcW w:w="4360" w:type="dxa"/>
            <w:vAlign w:val="bottom"/>
          </w:tcPr>
          <w:p>
            <w:pPr>
              <w:ind w:left="30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662.3</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673.4</w:t>
            </w:r>
          </w:p>
        </w:tc>
        <w:tc>
          <w:tcPr>
            <w:tcW w:w="0" w:type="dxa"/>
            <w:vAlign w:val="bottom"/>
          </w:tcPr>
          <w:p>
            <w:pPr>
              <w:spacing w:after="0"/>
              <w:rPr>
                <w:sz w:val="1"/>
                <w:szCs w:val="1"/>
                <w:color w:val="auto"/>
              </w:rPr>
            </w:pPr>
          </w:p>
        </w:tc>
      </w:tr>
      <w:tr>
        <w:trPr>
          <w:trHeight w:val="243"/>
        </w:trPr>
        <w:tc>
          <w:tcPr>
            <w:tcW w:w="4360" w:type="dxa"/>
            <w:vAlign w:val="bottom"/>
          </w:tcPr>
          <w:p>
            <w:pPr>
              <w:ind w:left="30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745.4</w:t>
            </w:r>
          </w:p>
        </w:tc>
        <w:tc>
          <w:tcPr>
            <w:tcW w:w="0" w:type="dxa"/>
            <w:vAlign w:val="bottom"/>
          </w:tcPr>
          <w:p>
            <w:pPr>
              <w:spacing w:after="0"/>
              <w:rPr>
                <w:sz w:val="1"/>
                <w:szCs w:val="1"/>
                <w:color w:val="auto"/>
              </w:rPr>
            </w:pPr>
          </w:p>
        </w:tc>
      </w:tr>
      <w:tr>
        <w:trPr>
          <w:trHeight w:val="243"/>
        </w:trPr>
        <w:tc>
          <w:tcPr>
            <w:tcW w:w="4360" w:type="dxa"/>
            <w:vAlign w:val="bottom"/>
          </w:tcPr>
          <w:p>
            <w:pPr>
              <w:ind w:left="30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658.9</w:t>
            </w: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Investments</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43"/>
        </w:trPr>
        <w:tc>
          <w:tcPr>
            <w:tcW w:w="4360" w:type="dxa"/>
            <w:vAlign w:val="bottom"/>
          </w:tcPr>
          <w:p>
            <w:pPr>
              <w:ind w:left="300"/>
              <w:spacing w:after="0"/>
              <w:rPr>
                <w:sz w:val="20"/>
                <w:szCs w:val="20"/>
                <w:color w:val="auto"/>
              </w:rPr>
            </w:pPr>
            <w:r>
              <w:rPr>
                <w:rFonts w:ascii="Arial" w:cs="Arial" w:eastAsia="Arial" w:hAnsi="Arial"/>
                <w:sz w:val="18"/>
                <w:szCs w:val="18"/>
                <w:color w:val="auto"/>
              </w:rPr>
              <w:t>Deferred tax assets, net</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2,524.9</w:t>
            </w:r>
          </w:p>
        </w:tc>
        <w:tc>
          <w:tcPr>
            <w:tcW w:w="100" w:type="dxa"/>
            <w:vAlign w:val="bottom"/>
          </w:tcPr>
          <w:p>
            <w:pPr>
              <w:spacing w:after="0"/>
              <w:rPr>
                <w:sz w:val="21"/>
                <w:szCs w:val="21"/>
                <w:color w:val="auto"/>
              </w:rPr>
            </w:pP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2,558.7</w:t>
            </w:r>
          </w:p>
        </w:tc>
        <w:tc>
          <w:tcPr>
            <w:tcW w:w="0" w:type="dxa"/>
            <w:vAlign w:val="bottom"/>
          </w:tcPr>
          <w:p>
            <w:pPr>
              <w:spacing w:after="0"/>
              <w:rPr>
                <w:sz w:val="1"/>
                <w:szCs w:val="1"/>
                <w:color w:val="auto"/>
              </w:rPr>
            </w:pPr>
          </w:p>
        </w:tc>
      </w:tr>
      <w:tr>
        <w:trPr>
          <w:trHeight w:val="21"/>
        </w:trPr>
        <w:tc>
          <w:tcPr>
            <w:tcW w:w="436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43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36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Current debt obligations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43"/>
        </w:trPr>
        <w:tc>
          <w:tcPr>
            <w:tcW w:w="4360" w:type="dxa"/>
            <w:vAlign w:val="bottom"/>
          </w:tcPr>
          <w:p>
            <w:pPr>
              <w:ind w:left="30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43"/>
        </w:trPr>
        <w:tc>
          <w:tcPr>
            <w:tcW w:w="4360" w:type="dxa"/>
            <w:vAlign w:val="bottom"/>
          </w:tcPr>
          <w:p>
            <w:pPr>
              <w:ind w:left="30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2"/>
        </w:trPr>
        <w:tc>
          <w:tcPr>
            <w:tcW w:w="436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4"/>
              </w:rPr>
              <w:t>Accrued employee compensation and related benefits</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shd w:val="clear" w:color="auto" w:fill="CCEEFF"/>
          </w:tcPr>
          <w:p>
            <w:pPr>
              <w:ind w:left="300"/>
              <w:spacing w:after="0" w:line="203" w:lineRule="exact"/>
              <w:rPr>
                <w:sz w:val="20"/>
                <w:szCs w:val="20"/>
                <w:color w:val="auto"/>
              </w:rPr>
            </w:pPr>
            <w:r>
              <w:rPr>
                <w:rFonts w:ascii="Arial" w:cs="Arial" w:eastAsia="Arial" w:hAnsi="Arial"/>
                <w:sz w:val="18"/>
                <w:szCs w:val="18"/>
                <w:color w:val="auto"/>
              </w:rPr>
              <w:t>liability</w:t>
            </w: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359.1</w:t>
            </w: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Long-term debt obligations</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43"/>
        </w:trPr>
        <w:tc>
          <w:tcPr>
            <w:tcW w:w="4360" w:type="dxa"/>
            <w:vAlign w:val="bottom"/>
          </w:tcPr>
          <w:p>
            <w:pPr>
              <w:ind w:left="300"/>
              <w:spacing w:after="0"/>
              <w:rPr>
                <w:sz w:val="20"/>
                <w:szCs w:val="20"/>
                <w:color w:val="auto"/>
              </w:rPr>
            </w:pPr>
            <w:r>
              <w:rPr>
                <w:rFonts w:ascii="Arial" w:cs="Arial" w:eastAsia="Arial" w:hAnsi="Arial"/>
                <w:sz w:val="18"/>
                <w:szCs w:val="18"/>
                <w:color w:val="auto"/>
              </w:rPr>
              <w:t>Long-term deferred income taxes liability</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02"/>
        </w:trPr>
        <w:tc>
          <w:tcPr>
            <w:tcW w:w="436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Long-term employee compensation and related</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benefits liability</w:t>
            </w: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50"/>
        </w:trPr>
        <w:tc>
          <w:tcPr>
            <w:tcW w:w="4360" w:type="dxa"/>
            <w:vAlign w:val="bottom"/>
          </w:tcPr>
          <w:p>
            <w:pPr>
              <w:ind w:left="30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701.0</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747.3</w:t>
            </w:r>
          </w:p>
        </w:tc>
        <w:tc>
          <w:tcPr>
            <w:tcW w:w="0" w:type="dxa"/>
            <w:vAlign w:val="bottom"/>
          </w:tcPr>
          <w:p>
            <w:pPr>
              <w:spacing w:after="0"/>
              <w:rPr>
                <w:sz w:val="1"/>
                <w:szCs w:val="1"/>
                <w:color w:val="auto"/>
              </w:rPr>
            </w:pPr>
          </w:p>
        </w:tc>
      </w:tr>
      <w:tr>
        <w:trPr>
          <w:trHeight w:val="250"/>
        </w:trPr>
        <w:tc>
          <w:tcPr>
            <w:tcW w:w="43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1,823.8</w:t>
            </w:r>
          </w:p>
        </w:tc>
        <w:tc>
          <w:tcPr>
            <w:tcW w:w="1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1,811.5</w:t>
            </w:r>
          </w:p>
        </w:tc>
        <w:tc>
          <w:tcPr>
            <w:tcW w:w="0" w:type="dxa"/>
            <w:vAlign w:val="bottom"/>
          </w:tcPr>
          <w:p>
            <w:pPr>
              <w:spacing w:after="0"/>
              <w:rPr>
                <w:sz w:val="1"/>
                <w:szCs w:val="1"/>
                <w:color w:val="auto"/>
              </w:rPr>
            </w:pPr>
          </w:p>
        </w:tc>
      </w:tr>
      <w:tr>
        <w:trPr>
          <w:trHeight w:val="28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2,524.9</w:t>
            </w: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*Numbers may not add due to rounding.</w:t>
      </w:r>
    </w:p>
    <w:p>
      <w:pPr>
        <w:spacing w:after="0" w:line="153"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0" w:name="page21"/>
    <w:bookmarkEnd w:id="20"/>
    <w:tbl>
      <w:tblPr>
        <w:tblLayout w:type="fixed"/>
        <w:tblInd w:w="1560" w:type="dxa"/>
        <w:tblCellMar>
          <w:top w:w="0" w:type="dxa"/>
          <w:left w:w="0" w:type="dxa"/>
          <w:bottom w:w="0" w:type="dxa"/>
          <w:right w:w="0" w:type="dxa"/>
        </w:tblCellMar>
      </w:tblPr>
      <w:tr>
        <w:trPr>
          <w:trHeight w:val="207"/>
        </w:trPr>
        <w:tc>
          <w:tcPr>
            <w:tcW w:w="6900" w:type="dxa"/>
            <w:vAlign w:val="bottom"/>
            <w:gridSpan w:val="2"/>
          </w:tcPr>
          <w:p>
            <w:pPr>
              <w:ind w:left="2320"/>
              <w:spacing w:after="0"/>
              <w:rPr>
                <w:sz w:val="20"/>
                <w:szCs w:val="20"/>
                <w:color w:val="auto"/>
              </w:rPr>
            </w:pPr>
            <w:r>
              <w:rPr>
                <w:rFonts w:ascii="Arial" w:cs="Arial" w:eastAsia="Arial" w:hAnsi="Arial"/>
                <w:sz w:val="18"/>
                <w:szCs w:val="18"/>
                <w:b w:val="1"/>
                <w:bCs w:val="1"/>
                <w:color w:val="auto"/>
              </w:rPr>
              <w:t>LIVANOVA PLC AND SUBSIDIARIES</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gridSpan w:val="2"/>
          </w:tcPr>
          <w:p>
            <w:pPr>
              <w:ind w:left="2320"/>
              <w:spacing w:after="0" w:line="202" w:lineRule="exact"/>
              <w:rPr>
                <w:sz w:val="20"/>
                <w:szCs w:val="20"/>
                <w:color w:val="auto"/>
              </w:rPr>
            </w:pPr>
            <w:r>
              <w:rPr>
                <w:rFonts w:ascii="Arial" w:cs="Arial" w:eastAsia="Arial" w:hAnsi="Arial"/>
                <w:sz w:val="18"/>
                <w:szCs w:val="18"/>
                <w:b w:val="1"/>
                <w:bCs w:val="1"/>
                <w:color w:val="auto"/>
              </w:rPr>
              <w:t>CONSOLIDATED STATEMENTS OF CASH FLOWS</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2320"/>
              <w:spacing w:after="0" w:line="202" w:lineRule="exact"/>
              <w:rPr>
                <w:sz w:val="20"/>
                <w:szCs w:val="20"/>
                <w:color w:val="auto"/>
              </w:rPr>
            </w:pPr>
            <w:r>
              <w:rPr>
                <w:rFonts w:ascii="Arial" w:cs="Arial" w:eastAsia="Arial" w:hAnsi="Arial"/>
                <w:sz w:val="18"/>
                <w:szCs w:val="18"/>
                <w:b w:val="1"/>
                <w:bCs w:val="1"/>
                <w:color w:val="auto"/>
              </w:rPr>
              <w:t>U.S. dollars in millions</w:t>
            </w:r>
          </w:p>
        </w:tc>
        <w:tc>
          <w:tcPr>
            <w:tcW w:w="2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tcPr>
          <w:p>
            <w:pPr>
              <w:ind w:left="2320"/>
              <w:spacing w:after="0"/>
              <w:rPr>
                <w:sz w:val="20"/>
                <w:szCs w:val="20"/>
                <w:color w:val="auto"/>
              </w:rPr>
            </w:pPr>
            <w:r>
              <w:rPr>
                <w:rFonts w:ascii="Arial" w:cs="Arial" w:eastAsia="Arial" w:hAnsi="Arial"/>
                <w:sz w:val="18"/>
                <w:szCs w:val="18"/>
                <w:b w:val="1"/>
                <w:bCs w:val="1"/>
                <w:color w:val="auto"/>
              </w:rPr>
              <w:t>(Unaudited)</w:t>
            </w:r>
          </w:p>
        </w:tc>
        <w:tc>
          <w:tcPr>
            <w:tcW w:w="2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4500" w:type="dxa"/>
            <w:vAlign w:val="bottom"/>
          </w:tcPr>
          <w:p>
            <w:pPr>
              <w:spacing w:after="0"/>
              <w:rPr>
                <w:sz w:val="24"/>
                <w:szCs w:val="24"/>
                <w:color w:val="auto"/>
              </w:rPr>
            </w:pPr>
          </w:p>
        </w:tc>
        <w:tc>
          <w:tcPr>
            <w:tcW w:w="2400" w:type="dxa"/>
            <w:vAlign w:val="bottom"/>
          </w:tcPr>
          <w:p>
            <w:pPr>
              <w:jc w:val="right"/>
              <w:ind w:right="50"/>
              <w:spacing w:after="0"/>
              <w:rPr>
                <w:sz w:val="20"/>
                <w:szCs w:val="20"/>
                <w:color w:val="auto"/>
              </w:rPr>
            </w:pPr>
            <w:r>
              <w:rPr>
                <w:rFonts w:ascii="Arial" w:cs="Arial" w:eastAsia="Arial" w:hAnsi="Arial"/>
                <w:sz w:val="18"/>
                <w:szCs w:val="18"/>
                <w:b w:val="1"/>
                <w:bCs w:val="1"/>
                <w:color w:val="auto"/>
              </w:rPr>
              <w:t>Six Months Ended</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24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June 30, 2016</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450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(loss)</w:t>
            </w:r>
          </w:p>
        </w:tc>
        <w:tc>
          <w:tcPr>
            <w:tcW w:w="2400" w:type="dxa"/>
            <w:vAlign w:val="bottom"/>
            <w:shd w:val="clear" w:color="auto" w:fill="CCEEFF"/>
          </w:tcPr>
          <w:p>
            <w:pPr>
              <w:jc w:val="right"/>
              <w:ind w:right="22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(31.4 )</w:t>
            </w:r>
          </w:p>
        </w:tc>
        <w:tc>
          <w:tcPr>
            <w:tcW w:w="0" w:type="dxa"/>
            <w:vAlign w:val="bottom"/>
          </w:tcPr>
          <w:p>
            <w:pPr>
              <w:spacing w:after="0"/>
              <w:rPr>
                <w:sz w:val="1"/>
                <w:szCs w:val="1"/>
                <w:color w:val="auto"/>
              </w:rPr>
            </w:pPr>
          </w:p>
        </w:tc>
      </w:tr>
      <w:tr>
        <w:trPr>
          <w:trHeight w:val="243"/>
        </w:trPr>
        <w:tc>
          <w:tcPr>
            <w:tcW w:w="4500" w:type="dxa"/>
            <w:vAlign w:val="bottom"/>
          </w:tcPr>
          <w:p>
            <w:pPr>
              <w:ind w:left="160"/>
              <w:spacing w:after="0"/>
              <w:rPr>
                <w:sz w:val="20"/>
                <w:szCs w:val="20"/>
                <w:color w:val="auto"/>
              </w:rPr>
            </w:pPr>
            <w:r>
              <w:rPr>
                <w:rFonts w:ascii="Arial" w:cs="Arial" w:eastAsia="Arial" w:hAnsi="Arial"/>
                <w:sz w:val="18"/>
                <w:szCs w:val="18"/>
                <w:color w:val="auto"/>
              </w:rPr>
              <w:t>Non-cash items included in net income (loss):</w:t>
            </w:r>
          </w:p>
        </w:tc>
        <w:tc>
          <w:tcPr>
            <w:tcW w:w="2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w:t>
            </w:r>
          </w:p>
        </w:tc>
        <w:tc>
          <w:tcPr>
            <w:tcW w:w="24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3"/>
        </w:trPr>
        <w:tc>
          <w:tcPr>
            <w:tcW w:w="4500" w:type="dxa"/>
            <w:vAlign w:val="bottom"/>
          </w:tcPr>
          <w:p>
            <w:pPr>
              <w:ind w:left="420"/>
              <w:spacing w:after="0"/>
              <w:rPr>
                <w:sz w:val="20"/>
                <w:szCs w:val="20"/>
                <w:color w:val="auto"/>
              </w:rPr>
            </w:pPr>
            <w:r>
              <w:rPr>
                <w:rFonts w:ascii="Arial" w:cs="Arial" w:eastAsia="Arial" w:hAnsi="Arial"/>
                <w:sz w:val="18"/>
                <w:szCs w:val="18"/>
                <w:color w:val="auto"/>
              </w:rPr>
              <w:t>Amortization</w:t>
            </w:r>
          </w:p>
        </w:tc>
        <w:tc>
          <w:tcPr>
            <w:tcW w:w="240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43"/>
        </w:trPr>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24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4500" w:type="dxa"/>
            <w:vAlign w:val="bottom"/>
          </w:tcPr>
          <w:p>
            <w:pPr>
              <w:ind w:left="420"/>
              <w:spacing w:after="0"/>
              <w:rPr>
                <w:sz w:val="20"/>
                <w:szCs w:val="20"/>
                <w:color w:val="auto"/>
              </w:rPr>
            </w:pPr>
            <w:r>
              <w:rPr>
                <w:rFonts w:ascii="Arial" w:cs="Arial" w:eastAsia="Arial" w:hAnsi="Arial"/>
                <w:sz w:val="18"/>
                <w:szCs w:val="18"/>
                <w:color w:val="auto"/>
              </w:rPr>
              <w:t>Deferred income tax expense (benefit)</w:t>
            </w:r>
          </w:p>
        </w:tc>
        <w:tc>
          <w:tcPr>
            <w:tcW w:w="2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43"/>
        </w:trPr>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intangible assets</w:t>
            </w:r>
          </w:p>
        </w:tc>
        <w:tc>
          <w:tcPr>
            <w:tcW w:w="24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4500" w:type="dxa"/>
            <w:vAlign w:val="bottom"/>
          </w:tcPr>
          <w:p>
            <w:pPr>
              <w:ind w:left="420"/>
              <w:spacing w:after="0"/>
              <w:rPr>
                <w:sz w:val="20"/>
                <w:szCs w:val="20"/>
                <w:color w:val="auto"/>
              </w:rPr>
            </w:pPr>
            <w:r>
              <w:rPr>
                <w:rFonts w:ascii="Arial" w:cs="Arial" w:eastAsia="Arial" w:hAnsi="Arial"/>
                <w:sz w:val="18"/>
                <w:szCs w:val="18"/>
                <w:color w:val="auto"/>
              </w:rPr>
              <w:t>Gain on disposal of assets</w:t>
            </w:r>
          </w:p>
        </w:tc>
        <w:tc>
          <w:tcPr>
            <w:tcW w:w="2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43"/>
        </w:trPr>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equity method investments</w:t>
            </w:r>
          </w:p>
        </w:tc>
        <w:tc>
          <w:tcPr>
            <w:tcW w:w="24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4500" w:type="dxa"/>
            <w:vAlign w:val="bottom"/>
          </w:tcPr>
          <w:p>
            <w:pPr>
              <w:ind w:left="420"/>
              <w:spacing w:after="0"/>
              <w:rPr>
                <w:sz w:val="20"/>
                <w:szCs w:val="20"/>
                <w:color w:val="auto"/>
              </w:rPr>
            </w:pPr>
            <w:r>
              <w:rPr>
                <w:rFonts w:ascii="Arial" w:cs="Arial" w:eastAsia="Arial" w:hAnsi="Arial"/>
                <w:sz w:val="18"/>
                <w:szCs w:val="18"/>
                <w:color w:val="auto"/>
              </w:rPr>
              <w:t>Other</w:t>
            </w:r>
          </w:p>
        </w:tc>
        <w:tc>
          <w:tcPr>
            <w:tcW w:w="240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450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2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24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(27.2 )</w:t>
            </w:r>
          </w:p>
        </w:tc>
        <w:tc>
          <w:tcPr>
            <w:tcW w:w="0" w:type="dxa"/>
            <w:vAlign w:val="bottom"/>
          </w:tcPr>
          <w:p>
            <w:pPr>
              <w:spacing w:after="0"/>
              <w:rPr>
                <w:sz w:val="1"/>
                <w:szCs w:val="1"/>
                <w:color w:val="auto"/>
              </w:rPr>
            </w:pPr>
          </w:p>
        </w:tc>
      </w:tr>
      <w:tr>
        <w:trPr>
          <w:trHeight w:val="243"/>
        </w:trPr>
        <w:tc>
          <w:tcPr>
            <w:tcW w:w="45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240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3"/>
        </w:trPr>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and non-current assets</w:t>
            </w:r>
          </w:p>
        </w:tc>
        <w:tc>
          <w:tcPr>
            <w:tcW w:w="24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(15.7 )</w:t>
            </w:r>
          </w:p>
        </w:tc>
        <w:tc>
          <w:tcPr>
            <w:tcW w:w="0" w:type="dxa"/>
            <w:vAlign w:val="bottom"/>
          </w:tcPr>
          <w:p>
            <w:pPr>
              <w:spacing w:after="0"/>
              <w:rPr>
                <w:sz w:val="1"/>
                <w:szCs w:val="1"/>
                <w:color w:val="auto"/>
              </w:rPr>
            </w:pPr>
          </w:p>
        </w:tc>
      </w:tr>
      <w:tr>
        <w:trPr>
          <w:trHeight w:val="243"/>
        </w:trPr>
        <w:tc>
          <w:tcPr>
            <w:tcW w:w="4500" w:type="dxa"/>
            <w:vAlign w:val="bottom"/>
          </w:tcPr>
          <w:p>
            <w:pPr>
              <w:ind w:left="420"/>
              <w:spacing w:after="0"/>
              <w:rPr>
                <w:sz w:val="20"/>
                <w:szCs w:val="20"/>
                <w:color w:val="auto"/>
              </w:rPr>
            </w:pPr>
            <w:r>
              <w:rPr>
                <w:rFonts w:ascii="Arial" w:cs="Arial" w:eastAsia="Arial" w:hAnsi="Arial"/>
                <w:sz w:val="18"/>
                <w:szCs w:val="18"/>
                <w:color w:val="auto"/>
              </w:rPr>
              <w:t>Restructuring reserve</w:t>
            </w:r>
          </w:p>
        </w:tc>
        <w:tc>
          <w:tcPr>
            <w:tcW w:w="240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2"/>
        </w:trPr>
        <w:tc>
          <w:tcPr>
            <w:tcW w:w="450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w w:val="92"/>
              </w:rPr>
              <w:t>Accounts payable and accrued current and non-current</w:t>
            </w:r>
          </w:p>
        </w:tc>
        <w:tc>
          <w:tcPr>
            <w:tcW w:w="24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17"/>
        </w:trPr>
        <w:tc>
          <w:tcPr>
            <w:tcW w:w="45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liabilities</w:t>
            </w:r>
          </w:p>
        </w:tc>
        <w:tc>
          <w:tcPr>
            <w:tcW w:w="2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660"/>
              <w:spacing w:after="0"/>
              <w:rPr>
                <w:sz w:val="20"/>
                <w:szCs w:val="20"/>
                <w:color w:val="auto"/>
              </w:rPr>
            </w:pPr>
            <w:r>
              <w:rPr>
                <w:rFonts w:ascii="Arial" w:cs="Arial" w:eastAsia="Arial" w:hAnsi="Arial"/>
                <w:sz w:val="18"/>
                <w:szCs w:val="18"/>
                <w:color w:val="auto"/>
                <w:w w:val="95"/>
              </w:rPr>
              <w:t>Net cash provided by (used in) operating activities</w:t>
            </w:r>
          </w:p>
        </w:tc>
        <w:tc>
          <w:tcPr>
            <w:tcW w:w="2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480"/>
        </w:trPr>
        <w:tc>
          <w:tcPr>
            <w:tcW w:w="4500" w:type="dxa"/>
            <w:vAlign w:val="bottom"/>
          </w:tcPr>
          <w:p>
            <w:pPr>
              <w:spacing w:after="0"/>
              <w:rPr>
                <w:sz w:val="20"/>
                <w:szCs w:val="20"/>
                <w:color w:val="auto"/>
              </w:rPr>
            </w:pPr>
            <w:r>
              <w:rPr>
                <w:rFonts w:ascii="Arial" w:cs="Arial" w:eastAsia="Arial" w:hAnsi="Arial"/>
                <w:sz w:val="18"/>
                <w:szCs w:val="18"/>
                <w:color w:val="auto"/>
              </w:rPr>
              <w:t>Cash Flow From Investing Activities</w:t>
            </w:r>
          </w:p>
        </w:tc>
        <w:tc>
          <w:tcPr>
            <w:tcW w:w="2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short-term investments</w:t>
            </w:r>
          </w:p>
        </w:tc>
        <w:tc>
          <w:tcPr>
            <w:tcW w:w="24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43"/>
        </w:trPr>
        <w:tc>
          <w:tcPr>
            <w:tcW w:w="4500" w:type="dxa"/>
            <w:vAlign w:val="bottom"/>
          </w:tcPr>
          <w:p>
            <w:pPr>
              <w:ind w:left="160"/>
              <w:spacing w:after="0"/>
              <w:rPr>
                <w:sz w:val="20"/>
                <w:szCs w:val="20"/>
                <w:color w:val="auto"/>
              </w:rPr>
            </w:pPr>
            <w:r>
              <w:rPr>
                <w:rFonts w:ascii="Arial" w:cs="Arial" w:eastAsia="Arial" w:hAnsi="Arial"/>
                <w:sz w:val="18"/>
                <w:szCs w:val="18"/>
                <w:color w:val="auto"/>
              </w:rPr>
              <w:t>Maturities of short-term investments</w:t>
            </w:r>
          </w:p>
        </w:tc>
        <w:tc>
          <w:tcPr>
            <w:tcW w:w="240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property, plant and equipment and other</w:t>
            </w:r>
          </w:p>
        </w:tc>
        <w:tc>
          <w:tcPr>
            <w:tcW w:w="24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(15.8 )</w:t>
            </w:r>
          </w:p>
        </w:tc>
        <w:tc>
          <w:tcPr>
            <w:tcW w:w="0" w:type="dxa"/>
            <w:vAlign w:val="bottom"/>
          </w:tcPr>
          <w:p>
            <w:pPr>
              <w:spacing w:after="0"/>
              <w:rPr>
                <w:sz w:val="1"/>
                <w:szCs w:val="1"/>
                <w:color w:val="auto"/>
              </w:rPr>
            </w:pPr>
          </w:p>
        </w:tc>
      </w:tr>
      <w:tr>
        <w:trPr>
          <w:trHeight w:val="243"/>
        </w:trPr>
        <w:tc>
          <w:tcPr>
            <w:tcW w:w="4500" w:type="dxa"/>
            <w:vAlign w:val="bottom"/>
          </w:tcPr>
          <w:p>
            <w:pPr>
              <w:ind w:left="160"/>
              <w:spacing w:after="0"/>
              <w:rPr>
                <w:sz w:val="20"/>
                <w:szCs w:val="20"/>
                <w:color w:val="auto"/>
              </w:rPr>
            </w:pPr>
            <w:r>
              <w:rPr>
                <w:rFonts w:ascii="Arial" w:cs="Arial" w:eastAsia="Arial" w:hAnsi="Arial"/>
                <w:sz w:val="18"/>
                <w:szCs w:val="18"/>
                <w:color w:val="auto"/>
              </w:rPr>
              <w:t>Intangible assets purchases</w:t>
            </w:r>
          </w:p>
        </w:tc>
        <w:tc>
          <w:tcPr>
            <w:tcW w:w="2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43"/>
        </w:trPr>
        <w:tc>
          <w:tcPr>
            <w:tcW w:w="4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assets sales</w:t>
            </w:r>
          </w:p>
        </w:tc>
        <w:tc>
          <w:tcPr>
            <w:tcW w:w="2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4500" w:type="dxa"/>
            <w:vAlign w:val="bottom"/>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2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(16.0 )</w:t>
            </w:r>
          </w:p>
        </w:tc>
        <w:tc>
          <w:tcPr>
            <w:tcW w:w="0" w:type="dxa"/>
            <w:vAlign w:val="bottom"/>
          </w:tcPr>
          <w:p>
            <w:pPr>
              <w:spacing w:after="0"/>
              <w:rPr>
                <w:sz w:val="1"/>
                <w:szCs w:val="1"/>
                <w:color w:val="auto"/>
              </w:rPr>
            </w:pPr>
          </w:p>
        </w:tc>
      </w:tr>
      <w:tr>
        <w:trPr>
          <w:trHeight w:val="480"/>
        </w:trPr>
        <w:tc>
          <w:tcPr>
            <w:tcW w:w="45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w:t>
            </w:r>
          </w:p>
        </w:tc>
        <w:tc>
          <w:tcPr>
            <w:tcW w:w="24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4500" w:type="dxa"/>
            <w:vAlign w:val="bottom"/>
          </w:tcPr>
          <w:p>
            <w:pPr>
              <w:ind w:left="160"/>
              <w:spacing w:after="0"/>
              <w:rPr>
                <w:sz w:val="20"/>
                <w:szCs w:val="20"/>
                <w:color w:val="auto"/>
              </w:rPr>
            </w:pPr>
            <w:r>
              <w:rPr>
                <w:rFonts w:ascii="Arial" w:cs="Arial" w:eastAsia="Arial" w:hAnsi="Arial"/>
                <w:sz w:val="18"/>
                <w:szCs w:val="18"/>
                <w:color w:val="auto"/>
              </w:rPr>
              <w:t>Short-term repayments</w:t>
            </w:r>
          </w:p>
        </w:tc>
        <w:tc>
          <w:tcPr>
            <w:tcW w:w="2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43"/>
        </w:trPr>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long-term debt obligations</w:t>
            </w:r>
          </w:p>
        </w:tc>
        <w:tc>
          <w:tcPr>
            <w:tcW w:w="24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r>
        <w:trPr>
          <w:trHeight w:val="243"/>
        </w:trPr>
        <w:tc>
          <w:tcPr>
            <w:tcW w:w="4500" w:type="dxa"/>
            <w:vAlign w:val="bottom"/>
          </w:tcPr>
          <w:p>
            <w:pPr>
              <w:ind w:left="160"/>
              <w:spacing w:after="0"/>
              <w:rPr>
                <w:sz w:val="20"/>
                <w:szCs w:val="20"/>
                <w:color w:val="auto"/>
              </w:rPr>
            </w:pPr>
            <w:r>
              <w:rPr>
                <w:rFonts w:ascii="Arial" w:cs="Arial" w:eastAsia="Arial" w:hAnsi="Arial"/>
                <w:sz w:val="18"/>
                <w:szCs w:val="18"/>
                <w:color w:val="auto"/>
              </w:rPr>
              <w:t>Repayment of trade receivable advances</w:t>
            </w:r>
          </w:p>
        </w:tc>
        <w:tc>
          <w:tcPr>
            <w:tcW w:w="240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 to associates</w:t>
            </w:r>
          </w:p>
        </w:tc>
        <w:tc>
          <w:tcPr>
            <w:tcW w:w="24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43"/>
        </w:trPr>
        <w:tc>
          <w:tcPr>
            <w:tcW w:w="4500" w:type="dxa"/>
            <w:vAlign w:val="bottom"/>
          </w:tcPr>
          <w:p>
            <w:pPr>
              <w:ind w:left="160"/>
              <w:spacing w:after="0"/>
              <w:rPr>
                <w:sz w:val="20"/>
                <w:szCs w:val="20"/>
                <w:color w:val="auto"/>
              </w:rPr>
            </w:pPr>
            <w:r>
              <w:rPr>
                <w:rFonts w:ascii="Arial" w:cs="Arial" w:eastAsia="Arial" w:hAnsi="Arial"/>
                <w:sz w:val="18"/>
                <w:szCs w:val="18"/>
                <w:color w:val="auto"/>
              </w:rPr>
              <w:t>Proceeds from exercise of options for common stock</w:t>
            </w:r>
          </w:p>
        </w:tc>
        <w:tc>
          <w:tcPr>
            <w:tcW w:w="240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Realized excess tax benefits - stock-based compensation</w:t>
            </w:r>
          </w:p>
        </w:tc>
        <w:tc>
          <w:tcPr>
            <w:tcW w:w="24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4500" w:type="dxa"/>
            <w:vAlign w:val="bottom"/>
          </w:tcPr>
          <w:p>
            <w:pPr>
              <w:ind w:left="160"/>
              <w:spacing w:after="0"/>
              <w:rPr>
                <w:sz w:val="20"/>
                <w:szCs w:val="20"/>
                <w:color w:val="auto"/>
              </w:rPr>
            </w:pPr>
            <w:r>
              <w:rPr>
                <w:rFonts w:ascii="Arial" w:cs="Arial" w:eastAsia="Arial" w:hAnsi="Arial"/>
                <w:sz w:val="18"/>
                <w:szCs w:val="18"/>
                <w:color w:val="auto"/>
              </w:rPr>
              <w:t>Purchase of treasury stock</w:t>
            </w:r>
          </w:p>
        </w:tc>
        <w:tc>
          <w:tcPr>
            <w:tcW w:w="240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43"/>
        </w:trPr>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settlement of compensation-based stock units</w:t>
            </w:r>
          </w:p>
        </w:tc>
        <w:tc>
          <w:tcPr>
            <w:tcW w:w="24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43"/>
        </w:trPr>
        <w:tc>
          <w:tcPr>
            <w:tcW w:w="4500" w:type="dxa"/>
            <w:vAlign w:val="bottom"/>
          </w:tcPr>
          <w:p>
            <w:pPr>
              <w:ind w:left="160"/>
              <w:spacing w:after="0"/>
              <w:rPr>
                <w:sz w:val="20"/>
                <w:szCs w:val="20"/>
                <w:color w:val="auto"/>
              </w:rPr>
            </w:pPr>
            <w:r>
              <w:rPr>
                <w:rFonts w:ascii="Arial" w:cs="Arial" w:eastAsia="Arial" w:hAnsi="Arial"/>
                <w:sz w:val="18"/>
                <w:szCs w:val="18"/>
                <w:color w:val="auto"/>
              </w:rPr>
              <w:t>Other financial assets and liabilities</w:t>
            </w:r>
          </w:p>
        </w:tc>
        <w:tc>
          <w:tcPr>
            <w:tcW w:w="2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45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used in financing activities</w:t>
            </w:r>
          </w:p>
        </w:tc>
        <w:tc>
          <w:tcPr>
            <w:tcW w:w="24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(46.2 )</w:t>
            </w: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Effect  of  exchange  rate  changes  on  cash  and  cash</w:t>
            </w:r>
          </w:p>
        </w:tc>
        <w:tc>
          <w:tcPr>
            <w:tcW w:w="24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7"/>
        </w:trPr>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equivalents</w:t>
            </w:r>
          </w:p>
        </w:tc>
        <w:tc>
          <w:tcPr>
            <w:tcW w:w="2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500" w:type="dxa"/>
            <w:vAlign w:val="bottom"/>
          </w:tcPr>
          <w:p>
            <w:pPr>
              <w:ind w:left="660"/>
              <w:spacing w:after="0" w:line="195" w:lineRule="exact"/>
              <w:rPr>
                <w:sz w:val="20"/>
                <w:szCs w:val="20"/>
                <w:color w:val="auto"/>
              </w:rPr>
            </w:pPr>
            <w:r>
              <w:rPr>
                <w:rFonts w:ascii="Arial" w:cs="Arial" w:eastAsia="Arial" w:hAnsi="Arial"/>
                <w:sz w:val="18"/>
                <w:szCs w:val="18"/>
                <w:color w:val="auto"/>
              </w:rPr>
              <w:t>Net  increase  (decrease)  in  cash  and  cash</w:t>
            </w:r>
          </w:p>
        </w:tc>
        <w:tc>
          <w:tcPr>
            <w:tcW w:w="2400" w:type="dxa"/>
            <w:vAlign w:val="bottom"/>
          </w:tcPr>
          <w:p>
            <w:pPr>
              <w:spacing w:after="0"/>
              <w:rPr>
                <w:sz w:val="16"/>
                <w:szCs w:val="16"/>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8"/>
                <w:szCs w:val="18"/>
                <w:color w:val="auto"/>
              </w:rPr>
              <w:t>(48.7 )</w:t>
            </w:r>
          </w:p>
        </w:tc>
        <w:tc>
          <w:tcPr>
            <w:tcW w:w="0" w:type="dxa"/>
            <w:vAlign w:val="bottom"/>
          </w:tcPr>
          <w:p>
            <w:pPr>
              <w:spacing w:after="0"/>
              <w:rPr>
                <w:sz w:val="1"/>
                <w:szCs w:val="1"/>
                <w:color w:val="auto"/>
              </w:rPr>
            </w:pPr>
          </w:p>
        </w:tc>
      </w:tr>
      <w:tr>
        <w:trPr>
          <w:trHeight w:val="230"/>
        </w:trPr>
        <w:tc>
          <w:tcPr>
            <w:tcW w:w="4500" w:type="dxa"/>
            <w:vAlign w:val="bottom"/>
          </w:tcPr>
          <w:p>
            <w:pPr>
              <w:ind w:left="660"/>
              <w:spacing w:after="0"/>
              <w:rPr>
                <w:sz w:val="20"/>
                <w:szCs w:val="20"/>
                <w:color w:val="auto"/>
              </w:rPr>
            </w:pPr>
            <w:r>
              <w:rPr>
                <w:rFonts w:ascii="Arial" w:cs="Arial" w:eastAsia="Arial" w:hAnsi="Arial"/>
                <w:sz w:val="18"/>
                <w:szCs w:val="18"/>
                <w:color w:val="auto"/>
              </w:rPr>
              <w:t>equivalents</w:t>
            </w:r>
          </w:p>
        </w:tc>
        <w:tc>
          <w:tcPr>
            <w:tcW w:w="240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400" w:type="dxa"/>
            <w:vAlign w:val="bottom"/>
            <w:tcBorders>
              <w:bottom w:val="single" w:sz="8" w:color="auto"/>
            </w:tcBorders>
          </w:tcPr>
          <w:p>
            <w:pPr>
              <w:jc w:val="right"/>
              <w:ind w:right="2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
        </w:trPr>
        <w:tc>
          <w:tcPr>
            <w:tcW w:w="450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Numbers may not add due to rounding.</w:t>
      </w:r>
    </w:p>
    <w:p>
      <w:pPr>
        <w:sectPr>
          <w:pgSz w:w="11900" w:h="16838" w:orient="portrait"/>
          <w:cols w:equalWidth="0" w:num="1">
            <w:col w:w="9879"/>
          </w:cols>
          <w:pgMar w:left="580" w:top="117" w:right="1440" w:bottom="99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300"/>
        <w:spacing w:after="0"/>
        <w:rPr>
          <w:sz w:val="20"/>
          <w:szCs w:val="20"/>
          <w:color w:val="auto"/>
        </w:rPr>
      </w:pPr>
      <w:r>
        <w:rPr>
          <w:rFonts w:ascii="Arial" w:cs="Arial" w:eastAsia="Arial" w:hAnsi="Arial"/>
          <w:sz w:val="12"/>
          <w:szCs w:val="12"/>
          <w:color w:val="auto"/>
        </w:rPr>
        <w:t>17</w:t>
      </w:r>
    </w:p>
    <w:sectPr>
      <w:pgSz w:w="11900" w:h="16838" w:orient="portrait"/>
      <w:cols w:equalWidth="0" w:num="1">
        <w:col w:w="9879"/>
      </w:cols>
      <w:pgMar w:left="580" w:top="117" w:right="1440" w:bottom="99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3"/>
      <w:numFmt w:val="bullet"/>
      <w:start w:val="1"/>
    </w:lvl>
  </w:abstractNum>
  <w:abstractNum w:abstractNumId="5">
    <w:nsid w:val="2EB141F2"/>
    <w:multiLevelType w:val="hybridMultilevel"/>
    <w:lvl w:ilvl="0">
      <w:lvlJc w:val="left"/>
      <w:lvlText w:val="4"/>
      <w:numFmt w:val="bullet"/>
      <w:start w:val="1"/>
    </w:lvl>
  </w:abstractNum>
  <w:abstractNum w:abstractNumId="6">
    <w:nsid w:val="41B71EF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2019-12-09T02:19:53Z</dcterms:created>
  <dcterms:modified xsi:type="dcterms:W3CDTF">2019-12-09T02:19:53Z</dcterms:modified>
</cp:coreProperties>
</file>