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Arial" w:cs="Arial" w:eastAsia="Arial" w:hAnsi="Arial"/>
          <w:sz w:val="17"/>
          <w:szCs w:val="17"/>
          <w:b w:val="1"/>
          <w:bCs w:val="1"/>
          <w:color w:val="auto"/>
        </w:rPr>
        <w:t>UNITED STATES</w:t>
      </w:r>
    </w:p>
    <w:p>
      <w:pPr>
        <w:ind w:left="3800"/>
        <w:spacing w:after="0" w:line="199" w:lineRule="auto"/>
        <w:rPr>
          <w:sz w:val="20"/>
          <w:szCs w:val="20"/>
          <w:color w:val="auto"/>
        </w:rPr>
      </w:pPr>
      <w:r>
        <w:rPr>
          <w:rFonts w:ascii="Arial" w:cs="Arial" w:eastAsia="Arial" w:hAnsi="Arial"/>
          <w:sz w:val="17"/>
          <w:szCs w:val="17"/>
          <w:b w:val="1"/>
          <w:bCs w:val="1"/>
          <w:color w:val="auto"/>
        </w:rPr>
        <w:t>SECURITIES AND EXCHANGE COMMISSION</w:t>
      </w:r>
    </w:p>
    <w:p>
      <w:pPr>
        <w:jc w:val="center"/>
        <w:ind w:right="80"/>
        <w:spacing w:after="0" w:line="213" w:lineRule="auto"/>
        <w:rPr>
          <w:sz w:val="20"/>
          <w:szCs w:val="20"/>
          <w:color w:val="auto"/>
        </w:rPr>
      </w:pPr>
      <w:r>
        <w:rPr>
          <w:rFonts w:ascii="Arial" w:cs="Arial" w:eastAsia="Arial" w:hAnsi="Arial"/>
          <w:sz w:val="17"/>
          <w:szCs w:val="17"/>
          <w:b w:val="1"/>
          <w:bCs w:val="1"/>
          <w:color w:val="auto"/>
        </w:rPr>
        <w:t>Washington, D.C. 20549</w:t>
      </w:r>
    </w:p>
    <w:p>
      <w:pPr>
        <w:ind w:left="5040"/>
        <w:spacing w:after="0"/>
        <w:rPr>
          <w:sz w:val="20"/>
          <w:szCs w:val="20"/>
          <w:color w:val="auto"/>
        </w:rPr>
      </w:pPr>
      <w:r>
        <w:rPr>
          <w:rFonts w:ascii="Arial" w:cs="Arial" w:eastAsia="Arial" w:hAnsi="Arial"/>
          <w:sz w:val="9"/>
          <w:szCs w:val="9"/>
          <w:color w:val="auto"/>
        </w:rPr>
        <w:t>_________________________</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301"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(Mark One)</w:t>
      </w:r>
    </w:p>
    <w:p>
      <w:pPr>
        <w:spacing w:after="0" w:line="17" w:lineRule="exact"/>
        <w:rPr>
          <w:sz w:val="24"/>
          <w:szCs w:val="24"/>
          <w:color w:val="auto"/>
        </w:rPr>
      </w:pPr>
    </w:p>
    <w:p>
      <w:pPr>
        <w:jc w:val="center"/>
        <w:ind w:left="4180" w:right="2100" w:hanging="2180"/>
        <w:spacing w:after="0" w:line="259" w:lineRule="auto"/>
        <w:tabs>
          <w:tab w:leader="none" w:pos="216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QUARTERLY REPORT PURSUANT TO SECTION 13 OR 15(d) OF THE SECURITIES EXCHANGE ACT OF 1934 </w:t>
      </w:r>
      <w:r>
        <w:rPr>
          <w:rFonts w:ascii="Arial" w:cs="Arial" w:eastAsia="Arial" w:hAnsi="Arial"/>
          <w:sz w:val="14"/>
          <w:szCs w:val="14"/>
          <w:color w:val="auto"/>
        </w:rPr>
        <w:t>For the quarterly period ended: September 30, 2023</w:t>
      </w:r>
    </w:p>
    <w:p>
      <w:pPr>
        <w:spacing w:after="0" w:line="1"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or</w:t>
      </w:r>
    </w:p>
    <w:p>
      <w:pPr>
        <w:spacing w:after="0" w:line="13" w:lineRule="exact"/>
        <w:rPr>
          <w:sz w:val="24"/>
          <w:szCs w:val="24"/>
          <w:color w:val="auto"/>
        </w:rPr>
      </w:pPr>
    </w:p>
    <w:p>
      <w:pPr>
        <w:ind w:left="3640" w:right="2080" w:hanging="1645"/>
        <w:spacing w:after="0" w:line="279" w:lineRule="auto"/>
        <w:tabs>
          <w:tab w:leader="none" w:pos="215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_______________ to _______________</w:t>
      </w:r>
    </w:p>
    <w:p>
      <w:pPr>
        <w:spacing w:after="0" w:line="175"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16510</wp:posOffset>
            </wp:positionV>
            <wp:extent cx="1784350" cy="398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4350" cy="398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LivaNova PLC</w:t>
      </w:r>
    </w:p>
    <w:p>
      <w:pPr>
        <w:spacing w:after="0" w:line="69" w:lineRule="exact"/>
        <w:rPr>
          <w:sz w:val="24"/>
          <w:szCs w:val="24"/>
          <w:color w:val="auto"/>
        </w:rPr>
      </w:pPr>
    </w:p>
    <w:p>
      <w:pPr>
        <w:jc w:val="center"/>
        <w:ind w:right="8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25" w:lineRule="exact"/>
        <w:rPr>
          <w:sz w:val="24"/>
          <w:szCs w:val="24"/>
          <w:color w:val="auto"/>
        </w:rPr>
      </w:pPr>
    </w:p>
    <w:tbl>
      <w:tblPr>
        <w:tblLayout w:type="fixed"/>
        <w:tblInd w:w="140" w:type="dxa"/>
        <w:tblCellMar>
          <w:top w:w="0" w:type="dxa"/>
          <w:left w:w="0" w:type="dxa"/>
          <w:bottom w:w="0" w:type="dxa"/>
          <w:right w:w="0" w:type="dxa"/>
        </w:tblCellMar>
      </w:tblPr>
      <w:tr>
        <w:trPr>
          <w:trHeight w:val="167"/>
        </w:trPr>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England and Wales </w:t>
            </w:r>
            <w:r>
              <w:rPr>
                <w:rFonts w:ascii="Arial" w:cs="Arial" w:eastAsia="Arial" w:hAnsi="Arial"/>
                <w:sz w:val="14"/>
                <w:szCs w:val="14"/>
                <w:i w:val="1"/>
                <w:iCs w:val="1"/>
                <w:color w:val="FFFFFF"/>
              </w:rPr>
              <w:t>...................</w:t>
            </w:r>
          </w:p>
        </w:tc>
        <w:tc>
          <w:tcPr>
            <w:tcW w:w="1440" w:type="dxa"/>
            <w:vAlign w:val="bottom"/>
          </w:tcPr>
          <w:p>
            <w:pPr>
              <w:jc w:val="center"/>
              <w:ind w:right="90"/>
              <w:spacing w:after="0"/>
              <w:rPr>
                <w:sz w:val="20"/>
                <w:szCs w:val="20"/>
                <w:color w:val="auto"/>
              </w:rPr>
            </w:pPr>
            <w:r>
              <w:rPr>
                <w:rFonts w:ascii="Arial" w:cs="Arial" w:eastAsia="Arial" w:hAnsi="Arial"/>
                <w:sz w:val="14"/>
                <w:szCs w:val="14"/>
                <w:b w:val="1"/>
                <w:bCs w:val="1"/>
                <w:color w:val="auto"/>
                <w:w w:val="90"/>
              </w:rPr>
              <w:t>98-1268150</w:t>
            </w:r>
          </w:p>
        </w:tc>
        <w:tc>
          <w:tcPr>
            <w:tcW w:w="2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3"/>
        </w:trPr>
        <w:tc>
          <w:tcPr>
            <w:tcW w:w="1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5340" w:type="dxa"/>
            <w:vAlign w:val="bottom"/>
            <w:gridSpan w:val="3"/>
          </w:tcPr>
          <w:p>
            <w:pPr>
              <w:jc w:val="center"/>
              <w:ind w:right="4040"/>
              <w:spacing w:after="0"/>
              <w:rPr>
                <w:sz w:val="20"/>
                <w:szCs w:val="20"/>
                <w:color w:val="auto"/>
              </w:rPr>
            </w:pPr>
            <w:r>
              <w:rPr>
                <w:rFonts w:ascii="Arial" w:cs="Arial" w:eastAsia="Arial" w:hAnsi="Arial"/>
                <w:sz w:val="14"/>
                <w:szCs w:val="14"/>
                <w:i w:val="1"/>
                <w:iCs w:val="1"/>
                <w:color w:val="auto"/>
                <w:w w:val="91"/>
              </w:rPr>
              <w:t>(I.R.S. Employer</w:t>
            </w:r>
          </w:p>
        </w:tc>
      </w:tr>
      <w:tr>
        <w:trPr>
          <w:trHeight w:val="178"/>
        </w:trPr>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5340" w:type="dxa"/>
            <w:vAlign w:val="bottom"/>
            <w:gridSpan w:val="3"/>
          </w:tcPr>
          <w:p>
            <w:pPr>
              <w:jc w:val="center"/>
              <w:ind w:right="4020"/>
              <w:spacing w:after="0"/>
              <w:rPr>
                <w:sz w:val="20"/>
                <w:szCs w:val="20"/>
                <w:color w:val="auto"/>
              </w:rPr>
            </w:pPr>
            <w:r>
              <w:rPr>
                <w:rFonts w:ascii="Arial" w:cs="Arial" w:eastAsia="Arial" w:hAnsi="Arial"/>
                <w:sz w:val="14"/>
                <w:szCs w:val="14"/>
                <w:i w:val="1"/>
                <w:iCs w:val="1"/>
                <w:color w:val="auto"/>
                <w:w w:val="95"/>
              </w:rPr>
              <w:t>Identification No.)</w:t>
            </w:r>
          </w:p>
        </w:tc>
      </w:tr>
      <w:tr>
        <w:trPr>
          <w:trHeight w:val="298"/>
        </w:trPr>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560" w:type="dxa"/>
            <w:vAlign w:val="bottom"/>
            <w:gridSpan w:val="6"/>
          </w:tcPr>
          <w:p>
            <w:pPr>
              <w:jc w:val="center"/>
              <w:ind w:right="3860"/>
              <w:spacing w:after="0"/>
              <w:rPr>
                <w:sz w:val="20"/>
                <w:szCs w:val="20"/>
                <w:color w:val="auto"/>
              </w:rPr>
            </w:pPr>
            <w:r>
              <w:rPr>
                <w:rFonts w:ascii="Arial" w:cs="Arial" w:eastAsia="Arial" w:hAnsi="Arial"/>
                <w:sz w:val="14"/>
                <w:szCs w:val="14"/>
                <w:b w:val="1"/>
                <w:bCs w:val="1"/>
                <w:color w:val="auto"/>
                <w:w w:val="91"/>
              </w:rPr>
              <w:t>20 Eastbourne Terrace, London, United Kingdom</w:t>
            </w:r>
            <w:r>
              <w:rPr>
                <w:rFonts w:ascii="Arial" w:cs="Arial" w:eastAsia="Arial" w:hAnsi="Arial"/>
                <w:sz w:val="14"/>
                <w:szCs w:val="14"/>
                <w:color w:val="auto"/>
                <w:w w:val="91"/>
              </w:rPr>
              <w:t>,</w:t>
            </w:r>
            <w:r>
              <w:rPr>
                <w:rFonts w:ascii="Arial" w:cs="Arial" w:eastAsia="Arial" w:hAnsi="Arial"/>
                <w:sz w:val="14"/>
                <w:szCs w:val="14"/>
                <w:b w:val="1"/>
                <w:bCs w:val="1"/>
                <w:color w:val="auto"/>
                <w:w w:val="91"/>
              </w:rPr>
              <w:t xml:space="preserve"> W2 6LG</w:t>
            </w:r>
          </w:p>
        </w:tc>
      </w:tr>
      <w:tr>
        <w:trPr>
          <w:trHeight w:val="178"/>
        </w:trPr>
        <w:tc>
          <w:tcPr>
            <w:tcW w:w="1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2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w w:val="90"/>
              </w:rPr>
              <w:t>(Address of principal executive offices)</w:t>
            </w:r>
          </w:p>
        </w:tc>
        <w:tc>
          <w:tcPr>
            <w:tcW w:w="5340" w:type="dxa"/>
            <w:vAlign w:val="bottom"/>
            <w:gridSpan w:val="3"/>
          </w:tcPr>
          <w:p>
            <w:pPr>
              <w:spacing w:after="0"/>
              <w:rPr>
                <w:sz w:val="20"/>
                <w:szCs w:val="20"/>
                <w:color w:val="auto"/>
              </w:rPr>
            </w:pPr>
            <w:r>
              <w:rPr>
                <w:rFonts w:ascii="Arial" w:cs="Arial" w:eastAsia="Arial" w:hAnsi="Arial"/>
                <w:sz w:val="14"/>
                <w:szCs w:val="14"/>
                <w:i w:val="1"/>
                <w:iCs w:val="1"/>
                <w:color w:val="FFFFFF"/>
              </w:rPr>
              <w:t xml:space="preserve">....................... </w:t>
            </w:r>
            <w:r>
              <w:rPr>
                <w:rFonts w:ascii="Arial" w:cs="Arial" w:eastAsia="Arial" w:hAnsi="Arial"/>
                <w:sz w:val="14"/>
                <w:szCs w:val="14"/>
                <w:i w:val="1"/>
                <w:iCs w:val="1"/>
                <w:color w:val="000000"/>
              </w:rPr>
              <w:t>(Zip Code)</w:t>
            </w:r>
          </w:p>
        </w:tc>
      </w:tr>
      <w:tr>
        <w:trPr>
          <w:trHeight w:val="313"/>
        </w:trPr>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80" w:type="dxa"/>
            <w:vAlign w:val="bottom"/>
            <w:gridSpan w:val="7"/>
          </w:tcPr>
          <w:p>
            <w:pPr>
              <w:jc w:val="center"/>
              <w:ind w:right="3140"/>
              <w:spacing w:after="0"/>
              <w:rPr>
                <w:sz w:val="20"/>
                <w:szCs w:val="20"/>
                <w:color w:val="auto"/>
              </w:rPr>
            </w:pPr>
            <w:r>
              <w:rPr>
                <w:rFonts w:ascii="Arial" w:cs="Arial" w:eastAsia="Arial" w:hAnsi="Arial"/>
                <w:sz w:val="14"/>
                <w:szCs w:val="14"/>
                <w:i w:val="1"/>
                <w:iCs w:val="1"/>
                <w:color w:val="auto"/>
                <w:w w:val="90"/>
              </w:rPr>
              <w:t xml:space="preserve">Registrant’s telephone number, including area code: </w:t>
            </w:r>
            <w:r>
              <w:rPr>
                <w:rFonts w:ascii="Arial" w:cs="Arial" w:eastAsia="Arial" w:hAnsi="Arial"/>
                <w:sz w:val="14"/>
                <w:szCs w:val="14"/>
                <w:b w:val="1"/>
                <w:bCs w:val="1"/>
                <w:color w:val="auto"/>
                <w:w w:val="90"/>
              </w:rPr>
              <w:t>(44) (0) 203 325-0660</w:t>
            </w:r>
          </w:p>
        </w:tc>
      </w:tr>
      <w:tr>
        <w:trPr>
          <w:trHeight w:val="193"/>
        </w:trPr>
        <w:tc>
          <w:tcPr>
            <w:tcW w:w="1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spacing w:after="0"/>
              <w:rPr>
                <w:sz w:val="16"/>
                <w:szCs w:val="16"/>
                <w:color w:val="auto"/>
              </w:rPr>
            </w:pPr>
          </w:p>
        </w:tc>
        <w:tc>
          <w:tcPr>
            <w:tcW w:w="2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39"/>
        </w:trPr>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560" w:type="dxa"/>
            <w:vAlign w:val="bottom"/>
            <w:gridSpan w:val="6"/>
          </w:tcPr>
          <w:p>
            <w:pPr>
              <w:ind w:left="30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71"/>
        </w:trPr>
        <w:tc>
          <w:tcPr>
            <w:tcW w:w="192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4"/>
                <w:szCs w:val="14"/>
                <w:color w:val="auto"/>
                <w:w w:val="90"/>
              </w:rPr>
              <w:t>Trading Symbol(s)</w:t>
            </w:r>
          </w:p>
        </w:tc>
        <w:tc>
          <w:tcPr>
            <w:tcW w:w="1440" w:type="dxa"/>
            <w:vAlign w:val="bottom"/>
          </w:tcPr>
          <w:p>
            <w:pPr>
              <w:spacing w:after="0"/>
              <w:rPr>
                <w:sz w:val="23"/>
                <w:szCs w:val="23"/>
                <w:color w:val="auto"/>
              </w:rPr>
            </w:pPr>
          </w:p>
        </w:tc>
        <w:tc>
          <w:tcPr>
            <w:tcW w:w="3900" w:type="dxa"/>
            <w:vAlign w:val="bottom"/>
            <w:gridSpan w:val="2"/>
          </w:tcPr>
          <w:p>
            <w:pPr>
              <w:jc w:val="center"/>
              <w:ind w:right="1440"/>
              <w:spacing w:after="0"/>
              <w:rPr>
                <w:sz w:val="20"/>
                <w:szCs w:val="20"/>
                <w:color w:val="auto"/>
              </w:rPr>
            </w:pPr>
            <w:r>
              <w:rPr>
                <w:rFonts w:ascii="Arial" w:cs="Arial" w:eastAsia="Arial" w:hAnsi="Arial"/>
                <w:sz w:val="14"/>
                <w:szCs w:val="14"/>
                <w:color w:val="auto"/>
                <w:w w:val="88"/>
              </w:rPr>
              <w:t>Name of each exchange on which registered</w:t>
            </w:r>
          </w:p>
        </w:tc>
      </w:tr>
      <w:tr>
        <w:trPr>
          <w:trHeight w:val="20"/>
        </w:trPr>
        <w:tc>
          <w:tcPr>
            <w:tcW w:w="19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3640" w:type="dxa"/>
            <w:vAlign w:val="bottom"/>
            <w:gridSpan w:val="3"/>
          </w:tcPr>
          <w:p>
            <w:pPr>
              <w:jc w:val="center"/>
              <w:ind w:left="1110"/>
              <w:spacing w:after="0"/>
              <w:rPr>
                <w:sz w:val="20"/>
                <w:szCs w:val="20"/>
                <w:color w:val="auto"/>
              </w:rPr>
            </w:pPr>
            <w:r>
              <w:rPr>
                <w:rFonts w:ascii="Arial" w:cs="Arial" w:eastAsia="Arial" w:hAnsi="Arial"/>
                <w:sz w:val="14"/>
                <w:szCs w:val="14"/>
                <w:color w:val="auto"/>
                <w:w w:val="88"/>
              </w:rPr>
              <w:t>Ordinary Shares - £1.00 par value per share</w:t>
            </w:r>
          </w:p>
        </w:tc>
        <w:tc>
          <w:tcPr>
            <w:tcW w:w="1140" w:type="dxa"/>
            <w:vAlign w:val="bottom"/>
          </w:tcPr>
          <w:p>
            <w:pPr>
              <w:spacing w:after="0"/>
              <w:rPr>
                <w:sz w:val="17"/>
                <w:szCs w:val="17"/>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LIVN</w:t>
            </w:r>
          </w:p>
        </w:tc>
        <w:tc>
          <w:tcPr>
            <w:tcW w:w="1440" w:type="dxa"/>
            <w:vAlign w:val="bottom"/>
          </w:tcPr>
          <w:p>
            <w:pPr>
              <w:spacing w:after="0"/>
              <w:rPr>
                <w:sz w:val="17"/>
                <w:szCs w:val="17"/>
                <w:color w:val="auto"/>
              </w:rPr>
            </w:pPr>
          </w:p>
        </w:tc>
        <w:tc>
          <w:tcPr>
            <w:tcW w:w="3900" w:type="dxa"/>
            <w:vAlign w:val="bottom"/>
            <w:gridSpan w:val="2"/>
          </w:tcPr>
          <w:p>
            <w:pPr>
              <w:jc w:val="center"/>
              <w:ind w:right="1460"/>
              <w:spacing w:after="0"/>
              <w:rPr>
                <w:sz w:val="20"/>
                <w:szCs w:val="20"/>
                <w:color w:val="auto"/>
              </w:rPr>
            </w:pPr>
            <w:r>
              <w:rPr>
                <w:rFonts w:ascii="Arial" w:cs="Arial" w:eastAsia="Arial" w:hAnsi="Arial"/>
                <w:sz w:val="14"/>
                <w:szCs w:val="14"/>
                <w:color w:val="auto"/>
                <w:w w:val="94"/>
              </w:rPr>
              <w:t>The NASDAQ Stock Market LLC</w:t>
            </w:r>
          </w:p>
        </w:tc>
      </w:tr>
    </w:tbl>
    <w:p>
      <w:pPr>
        <w:spacing w:after="0" w:line="77"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ind w:right="8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8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2260" w:type="dxa"/>
            <w:vAlign w:val="bottom"/>
          </w:tcPr>
          <w:p>
            <w:pPr>
              <w:ind w:left="18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6"/>
        </w:trPr>
        <w:tc>
          <w:tcPr>
            <w:tcW w:w="2080" w:type="dxa"/>
            <w:vAlign w:val="bottom"/>
          </w:tcPr>
          <w:p>
            <w:pPr>
              <w:spacing w:after="0"/>
              <w:rPr>
                <w:sz w:val="20"/>
                <w:szCs w:val="20"/>
                <w:color w:val="auto"/>
              </w:rPr>
            </w:pPr>
            <w:r>
              <w:rPr>
                <w:rFonts w:ascii="Arial" w:cs="Arial" w:eastAsia="Arial" w:hAnsi="Arial"/>
                <w:sz w:val="14"/>
                <w:szCs w:val="14"/>
                <w:color w:val="auto"/>
              </w:rPr>
              <w:t>Non-accelerated filer</w:t>
            </w:r>
          </w:p>
        </w:tc>
        <w:tc>
          <w:tcPr>
            <w:tcW w:w="8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2260" w:type="dxa"/>
            <w:vAlign w:val="bottom"/>
          </w:tcPr>
          <w:p>
            <w:pPr>
              <w:ind w:left="18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5"/>
        </w:trPr>
        <w:tc>
          <w:tcPr>
            <w:tcW w:w="20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540"/>
              <w:spacing w:after="0" w:line="141" w:lineRule="exact"/>
              <w:rPr>
                <w:sz w:val="20"/>
                <w:szCs w:val="20"/>
                <w:color w:val="auto"/>
              </w:rPr>
            </w:pPr>
            <w:r>
              <w:rPr>
                <w:rFonts w:ascii="MS PGothic" w:cs="MS PGothic" w:eastAsia="MS PGothic" w:hAnsi="MS PGothic"/>
                <w:sz w:val="14"/>
                <w:szCs w:val="14"/>
                <w:color w:val="auto"/>
              </w:rPr>
              <w:t>☐</w:t>
            </w:r>
          </w:p>
        </w:tc>
        <w:tc>
          <w:tcPr>
            <w:tcW w:w="226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90" w:lineRule="exact"/>
        <w:rPr>
          <w:sz w:val="24"/>
          <w:szCs w:val="24"/>
          <w:color w:val="auto"/>
        </w:rPr>
      </w:pPr>
    </w:p>
    <w:p>
      <w:pPr>
        <w:ind w:right="8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6260" w:type="dxa"/>
            <w:vAlign w:val="bottom"/>
          </w:tcPr>
          <w:p>
            <w:pPr>
              <w:spacing w:after="0" w:line="161" w:lineRule="exact"/>
              <w:rPr>
                <w:sz w:val="20"/>
                <w:szCs w:val="20"/>
                <w:color w:val="auto"/>
              </w:rPr>
            </w:pPr>
            <w:r>
              <w:rPr>
                <w:rFonts w:ascii="Arial" w:cs="Arial" w:eastAsia="Arial" w:hAnsi="Arial"/>
                <w:sz w:val="14"/>
                <w:szCs w:val="14"/>
                <w:color w:val="auto"/>
                <w:w w:val="91"/>
              </w:rPr>
              <w:t xml:space="preserve">Indicate by check mark whether the registrant is a shell company (as defined in Rule 12b-2 of the Act). Yes </w:t>
            </w:r>
            <w:r>
              <w:rPr>
                <w:rFonts w:ascii="MS PGothic" w:cs="MS PGothic" w:eastAsia="MS PGothic" w:hAnsi="MS PGothic"/>
                <w:sz w:val="14"/>
                <w:szCs w:val="14"/>
                <w:color w:val="auto"/>
                <w:w w:val="91"/>
              </w:rPr>
              <w:t>☐</w:t>
            </w:r>
          </w:p>
        </w:tc>
        <w:tc>
          <w:tcPr>
            <w:tcW w:w="50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54"/>
        </w:trPr>
        <w:tc>
          <w:tcPr>
            <w:tcW w:w="6260" w:type="dxa"/>
            <w:vAlign w:val="bottom"/>
          </w:tcPr>
          <w:p>
            <w:pPr>
              <w:jc w:val="center"/>
              <w:ind w:right="310"/>
              <w:spacing w:after="0"/>
              <w:rPr>
                <w:sz w:val="20"/>
                <w:szCs w:val="20"/>
                <w:color w:val="auto"/>
              </w:rPr>
            </w:pPr>
            <w:r>
              <w:rPr>
                <w:rFonts w:ascii="Arial" w:cs="Arial" w:eastAsia="Arial" w:hAnsi="Arial"/>
                <w:sz w:val="14"/>
                <w:szCs w:val="14"/>
                <w:i w:val="1"/>
                <w:iCs w:val="1"/>
                <w:color w:val="auto"/>
                <w:w w:val="91"/>
              </w:rPr>
              <w:t>Class</w:t>
            </w:r>
          </w:p>
        </w:tc>
        <w:tc>
          <w:tcPr>
            <w:tcW w:w="5000" w:type="dxa"/>
            <w:vAlign w:val="bottom"/>
          </w:tcPr>
          <w:p>
            <w:pPr>
              <w:jc w:val="center"/>
              <w:ind w:right="310"/>
              <w:spacing w:after="0"/>
              <w:rPr>
                <w:sz w:val="20"/>
                <w:szCs w:val="20"/>
                <w:color w:val="auto"/>
              </w:rPr>
            </w:pPr>
            <w:r>
              <w:rPr>
                <w:rFonts w:ascii="Arial" w:cs="Arial" w:eastAsia="Arial" w:hAnsi="Arial"/>
                <w:sz w:val="14"/>
                <w:szCs w:val="14"/>
                <w:color w:val="auto"/>
                <w:w w:val="89"/>
              </w:rPr>
              <w:t>Outstanding at October 26, 2023</w:t>
            </w:r>
          </w:p>
        </w:tc>
      </w:tr>
      <w:tr>
        <w:trPr>
          <w:trHeight w:val="186"/>
        </w:trPr>
        <w:tc>
          <w:tcPr>
            <w:tcW w:w="6260" w:type="dxa"/>
            <w:vAlign w:val="bottom"/>
          </w:tcPr>
          <w:p>
            <w:pPr>
              <w:jc w:val="center"/>
              <w:ind w:right="310"/>
              <w:spacing w:after="0"/>
              <w:rPr>
                <w:sz w:val="20"/>
                <w:szCs w:val="20"/>
                <w:color w:val="auto"/>
              </w:rPr>
            </w:pPr>
            <w:r>
              <w:rPr>
                <w:rFonts w:ascii="Arial" w:cs="Arial" w:eastAsia="Arial" w:hAnsi="Arial"/>
                <w:sz w:val="14"/>
                <w:szCs w:val="14"/>
                <w:color w:val="auto"/>
                <w:w w:val="89"/>
              </w:rPr>
              <w:t>Ordinary Shares - £1.00 par value per share</w:t>
            </w:r>
          </w:p>
        </w:tc>
        <w:tc>
          <w:tcPr>
            <w:tcW w:w="5000" w:type="dxa"/>
            <w:vAlign w:val="bottom"/>
          </w:tcPr>
          <w:p>
            <w:pPr>
              <w:jc w:val="right"/>
              <w:ind w:right="2310"/>
              <w:spacing w:after="0"/>
              <w:rPr>
                <w:sz w:val="20"/>
                <w:szCs w:val="20"/>
                <w:color w:val="auto"/>
              </w:rPr>
            </w:pPr>
            <w:r>
              <w:rPr>
                <w:rFonts w:ascii="Arial" w:cs="Arial" w:eastAsia="Arial" w:hAnsi="Arial"/>
                <w:sz w:val="14"/>
                <w:szCs w:val="14"/>
                <w:color w:val="auto"/>
              </w:rPr>
              <w:t>53,870,826</w:t>
            </w:r>
          </w:p>
        </w:tc>
      </w:tr>
      <w:tr>
        <w:trPr>
          <w:trHeight w:val="600"/>
        </w:trPr>
        <w:tc>
          <w:tcPr>
            <w:tcW w:w="62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340"/>
          </w:cols>
          <w:pgMar w:left="320" w:top="84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5"/>
          <w:szCs w:val="15"/>
          <w:b w:val="1"/>
          <w:bCs w:val="1"/>
          <w:color w:val="auto"/>
        </w:rPr>
        <w:t>LIVANOVA PLC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00" w:type="dxa"/>
            <w:vAlign w:val="bottom"/>
            <w:gridSpan w:val="7"/>
          </w:tcPr>
          <w:p>
            <w:pPr>
              <w:jc w:val="center"/>
              <w:ind w:right="3220"/>
              <w:spacing w:after="0"/>
              <w:rPr>
                <w:sz w:val="20"/>
                <w:szCs w:val="20"/>
                <w:color w:val="auto"/>
              </w:rPr>
            </w:pPr>
            <w:r>
              <w:rPr>
                <w:rFonts w:ascii="Arial" w:cs="Arial" w:eastAsia="Arial" w:hAnsi="Arial"/>
                <w:sz w:val="15"/>
                <w:szCs w:val="15"/>
                <w:b w:val="1"/>
                <w:bCs w:val="1"/>
                <w:color w:val="auto"/>
              </w:rPr>
              <w:t>PART I. FINANCIAL INFORMATION</w:t>
            </w:r>
          </w:p>
        </w:tc>
        <w:tc>
          <w:tcPr>
            <w:tcW w:w="1100" w:type="dxa"/>
            <w:vAlign w:val="bottom"/>
            <w:gridSpan w:val="2"/>
          </w:tcPr>
          <w:p>
            <w:pPr>
              <w:ind w:left="240"/>
              <w:spacing w:after="0"/>
              <w:rPr>
                <w:sz w:val="20"/>
                <w:szCs w:val="20"/>
                <w:color w:val="auto"/>
              </w:rPr>
            </w:pPr>
            <w:r>
              <w:rPr>
                <w:rFonts w:ascii="Arial" w:cs="Arial" w:eastAsia="Arial" w:hAnsi="Arial"/>
                <w:sz w:val="15"/>
                <w:szCs w:val="15"/>
                <w:b w:val="1"/>
                <w:bCs w:val="1"/>
                <w:color w:val="auto"/>
              </w:rPr>
              <w:t>PAGE NO.</w:t>
            </w:r>
          </w:p>
        </w:tc>
      </w:tr>
      <w:tr>
        <w:trPr>
          <w:trHeight w:val="163"/>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700" w:type="dxa"/>
            <w:vAlign w:val="bottom"/>
            <w:gridSpan w:val="2"/>
            <w:shd w:val="clear" w:color="auto" w:fill="CCEEFF"/>
          </w:tcPr>
          <w:p>
            <w:pPr>
              <w:spacing w:after="0" w:line="163" w:lineRule="exact"/>
              <w:rPr>
                <w:sz w:val="20"/>
                <w:szCs w:val="20"/>
                <w:color w:val="auto"/>
              </w:rPr>
            </w:pPr>
            <w:r>
              <w:rPr>
                <w:rFonts w:ascii="Arial" w:cs="Arial" w:eastAsia="Arial" w:hAnsi="Arial"/>
                <w:sz w:val="15"/>
                <w:szCs w:val="15"/>
                <w:color w:val="0000FF"/>
                <w:w w:val="97"/>
              </w:rPr>
              <w:t>Definitions</w:t>
            </w:r>
          </w:p>
        </w:tc>
        <w:tc>
          <w:tcPr>
            <w:tcW w:w="8400" w:type="dxa"/>
            <w:vAlign w:val="bottom"/>
            <w:gridSpan w:val="14"/>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center"/>
              <w:ind w:left="463"/>
              <w:spacing w:after="0" w:line="163" w:lineRule="exact"/>
              <w:rPr>
                <w:sz w:val="20"/>
                <w:szCs w:val="20"/>
                <w:color w:val="auto"/>
              </w:rPr>
            </w:pPr>
            <w:r>
              <w:rPr>
                <w:rFonts w:ascii="Arial" w:cs="Arial" w:eastAsia="Arial" w:hAnsi="Arial"/>
                <w:sz w:val="15"/>
                <w:szCs w:val="15"/>
                <w:color w:val="0000FF"/>
                <w:w w:val="71"/>
              </w:rPr>
              <w:t>3</w:t>
            </w:r>
          </w:p>
        </w:tc>
        <w:tc>
          <w:tcPr>
            <w:tcW w:w="420" w:type="dxa"/>
            <w:vAlign w:val="bottom"/>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Note About Forward-Looking Statements</w:t>
            </w:r>
          </w:p>
        </w:tc>
        <w:tc>
          <w:tcPr>
            <w:tcW w:w="680" w:type="dxa"/>
            <w:vAlign w:val="bottom"/>
          </w:tcPr>
          <w:p>
            <w:pPr>
              <w:jc w:val="center"/>
              <w:ind w:left="463"/>
              <w:spacing w:after="0" w:line="163" w:lineRule="exact"/>
              <w:rPr>
                <w:sz w:val="20"/>
                <w:szCs w:val="20"/>
                <w:color w:val="auto"/>
              </w:rPr>
            </w:pPr>
            <w:r>
              <w:rPr>
                <w:rFonts w:ascii="Arial" w:cs="Arial" w:eastAsia="Arial" w:hAnsi="Arial"/>
                <w:sz w:val="15"/>
                <w:szCs w:val="15"/>
                <w:color w:val="0000FF"/>
                <w:w w:val="71"/>
              </w:rPr>
              <w:t>5</w:t>
            </w:r>
          </w:p>
        </w:tc>
        <w:tc>
          <w:tcPr>
            <w:tcW w:w="420" w:type="dxa"/>
            <w:vAlign w:val="bottom"/>
          </w:tcPr>
          <w:p>
            <w:pPr>
              <w:spacing w:after="0"/>
              <w:rPr>
                <w:sz w:val="14"/>
                <w:szCs w:val="14"/>
                <w:color w:val="auto"/>
              </w:rPr>
            </w:pP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60" w:type="dxa"/>
            <w:vAlign w:val="bottom"/>
            <w:tcBorders>
              <w:left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104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color w:val="0000FF"/>
              </w:rPr>
              <w:t>Item 1</w:t>
            </w: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Condensed Consolidated Financial Statements</w:t>
            </w:r>
          </w:p>
        </w:tc>
        <w:tc>
          <w:tcPr>
            <w:tcW w:w="680" w:type="dxa"/>
            <w:vAlign w:val="bottom"/>
            <w:tcBorders>
              <w:right w:val="single" w:sz="8" w:color="CCEEFF"/>
            </w:tcBorders>
            <w:shd w:val="clear" w:color="auto" w:fill="CCEEFF"/>
          </w:tcPr>
          <w:p>
            <w:pPr>
              <w:jc w:val="center"/>
              <w:ind w:left="463"/>
              <w:spacing w:after="0" w:line="170" w:lineRule="exact"/>
              <w:rPr>
                <w:sz w:val="20"/>
                <w:szCs w:val="20"/>
                <w:color w:val="auto"/>
              </w:rPr>
            </w:pPr>
            <w:r>
              <w:rPr>
                <w:rFonts w:ascii="Arial" w:cs="Arial" w:eastAsia="Arial" w:hAnsi="Arial"/>
                <w:sz w:val="15"/>
                <w:szCs w:val="15"/>
                <w:color w:val="0000FF"/>
                <w:w w:val="71"/>
              </w:rPr>
              <w:t>6</w:t>
            </w:r>
          </w:p>
        </w:tc>
        <w:tc>
          <w:tcPr>
            <w:tcW w:w="420" w:type="dxa"/>
            <w:vAlign w:val="bottom"/>
            <w:shd w:val="clear" w:color="auto" w:fill="CCEEFF"/>
          </w:tcPr>
          <w:p>
            <w:pPr>
              <w:spacing w:after="0"/>
              <w:rPr>
                <w:sz w:val="14"/>
                <w:szCs w:val="14"/>
                <w:color w:val="auto"/>
              </w:rPr>
            </w:pP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Condensed Consolidated Statements of Income (Loss)</w:t>
            </w:r>
          </w:p>
        </w:tc>
        <w:tc>
          <w:tcPr>
            <w:tcW w:w="680" w:type="dxa"/>
            <w:vAlign w:val="bottom"/>
          </w:tcPr>
          <w:p>
            <w:pPr>
              <w:jc w:val="center"/>
              <w:ind w:left="463"/>
              <w:spacing w:after="0" w:line="163" w:lineRule="exact"/>
              <w:rPr>
                <w:sz w:val="20"/>
                <w:szCs w:val="20"/>
                <w:color w:val="auto"/>
              </w:rPr>
            </w:pPr>
            <w:r>
              <w:rPr>
                <w:rFonts w:ascii="Arial" w:cs="Arial" w:eastAsia="Arial" w:hAnsi="Arial"/>
                <w:sz w:val="15"/>
                <w:szCs w:val="15"/>
                <w:color w:val="0000FF"/>
                <w:w w:val="71"/>
              </w:rPr>
              <w:t>6</w:t>
            </w:r>
          </w:p>
        </w:tc>
        <w:tc>
          <w:tcPr>
            <w:tcW w:w="420" w:type="dxa"/>
            <w:vAlign w:val="bottom"/>
          </w:tcPr>
          <w:p>
            <w:pPr>
              <w:spacing w:after="0"/>
              <w:rPr>
                <w:sz w:val="14"/>
                <w:szCs w:val="14"/>
                <w:color w:val="auto"/>
              </w:rPr>
            </w:pP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4380" w:type="dxa"/>
            <w:vAlign w:val="bottom"/>
            <w:gridSpan w:val="13"/>
            <w:shd w:val="clear" w:color="auto" w:fill="CCEEFF"/>
          </w:tcPr>
          <w:p>
            <w:pPr>
              <w:spacing w:after="0" w:line="170" w:lineRule="exact"/>
              <w:rPr>
                <w:sz w:val="20"/>
                <w:szCs w:val="20"/>
                <w:color w:val="auto"/>
              </w:rPr>
            </w:pPr>
            <w:r>
              <w:rPr>
                <w:rFonts w:ascii="Arial" w:cs="Arial" w:eastAsia="Arial" w:hAnsi="Arial"/>
                <w:sz w:val="15"/>
                <w:szCs w:val="15"/>
                <w:color w:val="0000FF"/>
                <w:w w:val="92"/>
              </w:rPr>
              <w:t>Condensed Consolidated Statements of Comprehensive Income (Loss)</w:t>
            </w:r>
          </w:p>
        </w:tc>
        <w:tc>
          <w:tcPr>
            <w:tcW w:w="4720" w:type="dxa"/>
            <w:vAlign w:val="bottom"/>
            <w:gridSpan w:val="3"/>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center"/>
              <w:ind w:left="463"/>
              <w:spacing w:after="0" w:line="170" w:lineRule="exact"/>
              <w:rPr>
                <w:sz w:val="20"/>
                <w:szCs w:val="20"/>
                <w:color w:val="auto"/>
              </w:rPr>
            </w:pPr>
            <w:r>
              <w:rPr>
                <w:rFonts w:ascii="Arial" w:cs="Arial" w:eastAsia="Arial" w:hAnsi="Arial"/>
                <w:sz w:val="15"/>
                <w:szCs w:val="15"/>
                <w:color w:val="0000FF"/>
                <w:w w:val="71"/>
              </w:rPr>
              <w:t>7</w:t>
            </w:r>
          </w:p>
        </w:tc>
        <w:tc>
          <w:tcPr>
            <w:tcW w:w="420" w:type="dxa"/>
            <w:vAlign w:val="bottom"/>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380" w:type="dxa"/>
            <w:vAlign w:val="bottom"/>
            <w:gridSpan w:val="13"/>
          </w:tcPr>
          <w:p>
            <w:pPr>
              <w:spacing w:after="0" w:line="163" w:lineRule="exact"/>
              <w:rPr>
                <w:sz w:val="20"/>
                <w:szCs w:val="20"/>
                <w:color w:val="auto"/>
              </w:rPr>
            </w:pPr>
            <w:r>
              <w:rPr>
                <w:rFonts w:ascii="Arial" w:cs="Arial" w:eastAsia="Arial" w:hAnsi="Arial"/>
                <w:sz w:val="15"/>
                <w:szCs w:val="15"/>
                <w:color w:val="0000FF"/>
              </w:rPr>
              <w:t>Condensed Consolidated Balance Sheets</w:t>
            </w:r>
          </w:p>
        </w:tc>
        <w:tc>
          <w:tcPr>
            <w:tcW w:w="4720" w:type="dxa"/>
            <w:vAlign w:val="bottom"/>
            <w:gridSpan w:val="3"/>
          </w:tcPr>
          <w:p>
            <w:pPr>
              <w:spacing w:after="0"/>
              <w:rPr>
                <w:sz w:val="14"/>
                <w:szCs w:val="14"/>
                <w:color w:val="auto"/>
              </w:rPr>
            </w:pPr>
          </w:p>
        </w:tc>
        <w:tc>
          <w:tcPr>
            <w:tcW w:w="680" w:type="dxa"/>
            <w:vAlign w:val="bottom"/>
          </w:tcPr>
          <w:p>
            <w:pPr>
              <w:jc w:val="center"/>
              <w:ind w:left="463"/>
              <w:spacing w:after="0" w:line="163" w:lineRule="exact"/>
              <w:rPr>
                <w:sz w:val="20"/>
                <w:szCs w:val="20"/>
                <w:color w:val="auto"/>
              </w:rPr>
            </w:pPr>
            <w:r>
              <w:rPr>
                <w:rFonts w:ascii="Arial" w:cs="Arial" w:eastAsia="Arial" w:hAnsi="Arial"/>
                <w:sz w:val="15"/>
                <w:szCs w:val="15"/>
                <w:color w:val="0000FF"/>
                <w:w w:val="71"/>
              </w:rPr>
              <w:t>8</w:t>
            </w:r>
          </w:p>
        </w:tc>
        <w:tc>
          <w:tcPr>
            <w:tcW w:w="420" w:type="dxa"/>
            <w:vAlign w:val="bottom"/>
          </w:tcPr>
          <w:p>
            <w:pPr>
              <w:spacing w:after="0"/>
              <w:rPr>
                <w:sz w:val="14"/>
                <w:szCs w:val="14"/>
                <w:color w:val="auto"/>
              </w:rPr>
            </w:pP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3200" w:type="dxa"/>
            <w:vAlign w:val="bottom"/>
            <w:gridSpan w:val="9"/>
            <w:shd w:val="clear" w:color="auto" w:fill="CCEEFF"/>
          </w:tcPr>
          <w:p>
            <w:pPr>
              <w:spacing w:after="0" w:line="170" w:lineRule="exact"/>
              <w:rPr>
                <w:sz w:val="20"/>
                <w:szCs w:val="20"/>
                <w:color w:val="auto"/>
              </w:rPr>
            </w:pPr>
            <w:r>
              <w:rPr>
                <w:rFonts w:ascii="Arial" w:cs="Arial" w:eastAsia="Arial" w:hAnsi="Arial"/>
                <w:sz w:val="15"/>
                <w:szCs w:val="15"/>
                <w:color w:val="0000FF"/>
                <w:w w:val="91"/>
              </w:rPr>
              <w:t>Condensed Consolidated Statements of Cash Flows</w:t>
            </w:r>
          </w:p>
        </w:tc>
        <w:tc>
          <w:tcPr>
            <w:tcW w:w="5900" w:type="dxa"/>
            <w:vAlign w:val="bottom"/>
            <w:gridSpan w:val="7"/>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center"/>
              <w:ind w:left="463"/>
              <w:spacing w:after="0" w:line="170" w:lineRule="exact"/>
              <w:rPr>
                <w:sz w:val="20"/>
                <w:szCs w:val="20"/>
                <w:color w:val="auto"/>
              </w:rPr>
            </w:pPr>
            <w:r>
              <w:rPr>
                <w:rFonts w:ascii="Arial" w:cs="Arial" w:eastAsia="Arial" w:hAnsi="Arial"/>
                <w:sz w:val="15"/>
                <w:szCs w:val="15"/>
                <w:color w:val="0000FF"/>
                <w:w w:val="71"/>
              </w:rPr>
              <w:t>9</w:t>
            </w:r>
          </w:p>
        </w:tc>
        <w:tc>
          <w:tcPr>
            <w:tcW w:w="420" w:type="dxa"/>
            <w:vAlign w:val="bottom"/>
            <w:shd w:val="clear" w:color="auto" w:fill="CCEEFF"/>
          </w:tcPr>
          <w:p>
            <w:pPr>
              <w:spacing w:after="0"/>
              <w:rPr>
                <w:sz w:val="14"/>
                <w:szCs w:val="14"/>
                <w:color w:val="auto"/>
              </w:rPr>
            </w:pPr>
          </w:p>
        </w:tc>
      </w:tr>
      <w:tr>
        <w:trPr>
          <w:trHeight w:val="35"/>
        </w:trPr>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Notes to the Condensed Consolidated Financial Statements</w:t>
            </w:r>
          </w:p>
        </w:tc>
        <w:tc>
          <w:tcPr>
            <w:tcW w:w="1100" w:type="dxa"/>
            <w:vAlign w:val="bottom"/>
            <w:gridSpan w:val="2"/>
          </w:tcPr>
          <w:p>
            <w:pPr>
              <w:jc w:val="center"/>
              <w:ind w:left="43"/>
              <w:spacing w:after="0" w:line="163" w:lineRule="exact"/>
              <w:rPr>
                <w:sz w:val="20"/>
                <w:szCs w:val="20"/>
                <w:color w:val="auto"/>
              </w:rPr>
            </w:pPr>
            <w:r>
              <w:rPr>
                <w:rFonts w:ascii="Arial" w:cs="Arial" w:eastAsia="Arial" w:hAnsi="Arial"/>
                <w:sz w:val="15"/>
                <w:szCs w:val="15"/>
                <w:color w:val="0000FF"/>
                <w:w w:val="83"/>
              </w:rPr>
              <w:t>10</w:t>
            </w:r>
          </w:p>
        </w:tc>
      </w:tr>
      <w:tr>
        <w:trPr>
          <w:trHeight w:val="27"/>
        </w:trPr>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104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color w:val="0000FF"/>
              </w:rPr>
              <w:t>Item 2</w:t>
            </w: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1100" w:type="dxa"/>
            <w:vAlign w:val="bottom"/>
            <w:gridSpan w:val="2"/>
            <w:shd w:val="clear" w:color="auto" w:fill="CCEEFF"/>
          </w:tcPr>
          <w:p>
            <w:pPr>
              <w:jc w:val="center"/>
              <w:ind w:left="43"/>
              <w:spacing w:after="0" w:line="170" w:lineRule="exact"/>
              <w:rPr>
                <w:sz w:val="20"/>
                <w:szCs w:val="20"/>
                <w:color w:val="auto"/>
              </w:rPr>
            </w:pPr>
            <w:r>
              <w:rPr>
                <w:rFonts w:ascii="Arial" w:cs="Arial" w:eastAsia="Arial" w:hAnsi="Arial"/>
                <w:sz w:val="15"/>
                <w:szCs w:val="15"/>
                <w:color w:val="0000FF"/>
                <w:w w:val="83"/>
              </w:rPr>
              <w:t>31</w:t>
            </w: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1040" w:type="dxa"/>
            <w:vAlign w:val="bottom"/>
            <w:gridSpan w:val="3"/>
          </w:tcPr>
          <w:p>
            <w:pPr>
              <w:spacing w:after="0" w:line="163" w:lineRule="exact"/>
              <w:rPr>
                <w:sz w:val="20"/>
                <w:szCs w:val="20"/>
                <w:color w:val="auto"/>
              </w:rPr>
            </w:pPr>
            <w:r>
              <w:rPr>
                <w:rFonts w:ascii="Arial" w:cs="Arial" w:eastAsia="Arial" w:hAnsi="Arial"/>
                <w:sz w:val="15"/>
                <w:szCs w:val="15"/>
                <w:color w:val="0000FF"/>
              </w:rPr>
              <w:t>Item 3</w:t>
            </w: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Quantitative and Qualitative Disclosures About Market Risk</w:t>
            </w:r>
          </w:p>
        </w:tc>
        <w:tc>
          <w:tcPr>
            <w:tcW w:w="1100" w:type="dxa"/>
            <w:vAlign w:val="bottom"/>
            <w:gridSpan w:val="2"/>
          </w:tcPr>
          <w:p>
            <w:pPr>
              <w:jc w:val="center"/>
              <w:ind w:left="43"/>
              <w:spacing w:after="0" w:line="163" w:lineRule="exact"/>
              <w:rPr>
                <w:sz w:val="20"/>
                <w:szCs w:val="20"/>
                <w:color w:val="auto"/>
              </w:rPr>
            </w:pPr>
            <w:r>
              <w:rPr>
                <w:rFonts w:ascii="Arial" w:cs="Arial" w:eastAsia="Arial" w:hAnsi="Arial"/>
                <w:sz w:val="15"/>
                <w:szCs w:val="15"/>
                <w:color w:val="0000FF"/>
                <w:w w:val="83"/>
              </w:rPr>
              <w:t>39</w:t>
            </w: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360" w:type="dxa"/>
            <w:vAlign w:val="bottom"/>
            <w:tcBorders>
              <w:lef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85"/>
        </w:trPr>
        <w:tc>
          <w:tcPr>
            <w:tcW w:w="104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color w:val="0000FF"/>
              </w:rPr>
              <w:t>Item 4</w:t>
            </w: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Controls and Procedures</w:t>
            </w:r>
          </w:p>
        </w:tc>
        <w:tc>
          <w:tcPr>
            <w:tcW w:w="1100" w:type="dxa"/>
            <w:vAlign w:val="bottom"/>
            <w:gridSpan w:val="2"/>
            <w:shd w:val="clear" w:color="auto" w:fill="CCEEFF"/>
          </w:tcPr>
          <w:p>
            <w:pPr>
              <w:jc w:val="center"/>
              <w:ind w:left="43"/>
              <w:spacing w:after="0" w:line="170" w:lineRule="exact"/>
              <w:rPr>
                <w:sz w:val="20"/>
                <w:szCs w:val="20"/>
                <w:color w:val="auto"/>
              </w:rPr>
            </w:pPr>
            <w:r>
              <w:rPr>
                <w:rFonts w:ascii="Arial" w:cs="Arial" w:eastAsia="Arial" w:hAnsi="Arial"/>
                <w:sz w:val="15"/>
                <w:szCs w:val="15"/>
                <w:color w:val="0000FF"/>
                <w:w w:val="83"/>
              </w:rPr>
              <w:t>39</w:t>
            </w:r>
          </w:p>
        </w:tc>
      </w:tr>
      <w:tr>
        <w:trPr>
          <w:trHeight w:val="201"/>
        </w:trPr>
        <w:tc>
          <w:tcPr>
            <w:tcW w:w="400" w:type="dxa"/>
            <w:vAlign w:val="bottom"/>
            <w:tcBorders>
              <w:top w:val="single" w:sz="8" w:color="0000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520" w:type="dxa"/>
            <w:vAlign w:val="bottom"/>
            <w:tcBorders>
              <w:top w:val="single" w:sz="8" w:color="CCEEFF"/>
              <w:bottom w:val="single" w:sz="8" w:color="CCEEFF"/>
            </w:tcBorders>
          </w:tcPr>
          <w:p>
            <w:pPr>
              <w:spacing w:after="0"/>
              <w:rPr>
                <w:sz w:val="17"/>
                <w:szCs w:val="17"/>
                <w:color w:val="auto"/>
              </w:rPr>
            </w:pPr>
          </w:p>
        </w:tc>
        <w:tc>
          <w:tcPr>
            <w:tcW w:w="520" w:type="dxa"/>
            <w:vAlign w:val="bottom"/>
            <w:tcBorders>
              <w:top w:val="single" w:sz="8" w:color="0000FF"/>
              <w:bottom w:val="single" w:sz="8" w:color="auto"/>
            </w:tcBorders>
          </w:tcPr>
          <w:p>
            <w:pPr>
              <w:spacing w:after="0"/>
              <w:rPr>
                <w:sz w:val="17"/>
                <w:szCs w:val="17"/>
                <w:color w:val="auto"/>
              </w:rPr>
            </w:pPr>
          </w:p>
        </w:tc>
        <w:tc>
          <w:tcPr>
            <w:tcW w:w="180" w:type="dxa"/>
            <w:vAlign w:val="bottom"/>
            <w:tcBorders>
              <w:top w:val="single" w:sz="8" w:color="0000FF"/>
              <w:bottom w:val="single" w:sz="8" w:color="auto"/>
            </w:tcBorders>
          </w:tcPr>
          <w:p>
            <w:pPr>
              <w:spacing w:after="0"/>
              <w:rPr>
                <w:sz w:val="17"/>
                <w:szCs w:val="17"/>
                <w:color w:val="auto"/>
              </w:rPr>
            </w:pPr>
          </w:p>
        </w:tc>
        <w:tc>
          <w:tcPr>
            <w:tcW w:w="80" w:type="dxa"/>
            <w:vAlign w:val="bottom"/>
            <w:tcBorders>
              <w:top w:val="single" w:sz="8" w:color="0000FF"/>
              <w:bottom w:val="single" w:sz="8" w:color="auto"/>
            </w:tcBorders>
          </w:tcPr>
          <w:p>
            <w:pPr>
              <w:spacing w:after="0"/>
              <w:rPr>
                <w:sz w:val="17"/>
                <w:szCs w:val="17"/>
                <w:color w:val="auto"/>
              </w:rPr>
            </w:pPr>
          </w:p>
        </w:tc>
        <w:tc>
          <w:tcPr>
            <w:tcW w:w="360" w:type="dxa"/>
            <w:vAlign w:val="bottom"/>
            <w:tcBorders>
              <w:top w:val="single" w:sz="8" w:color="0000FF"/>
              <w:bottom w:val="single" w:sz="8" w:color="auto"/>
            </w:tcBorders>
          </w:tcPr>
          <w:p>
            <w:pPr>
              <w:spacing w:after="0"/>
              <w:rPr>
                <w:sz w:val="17"/>
                <w:szCs w:val="17"/>
                <w:color w:val="auto"/>
              </w:rPr>
            </w:pPr>
          </w:p>
        </w:tc>
        <w:tc>
          <w:tcPr>
            <w:tcW w:w="380" w:type="dxa"/>
            <w:vAlign w:val="bottom"/>
            <w:tcBorders>
              <w:top w:val="single" w:sz="8" w:color="0000FF"/>
              <w:bottom w:val="single" w:sz="8" w:color="auto"/>
            </w:tcBorders>
          </w:tcPr>
          <w:p>
            <w:pPr>
              <w:spacing w:after="0"/>
              <w:rPr>
                <w:sz w:val="17"/>
                <w:szCs w:val="17"/>
                <w:color w:val="auto"/>
              </w:rPr>
            </w:pPr>
          </w:p>
        </w:tc>
        <w:tc>
          <w:tcPr>
            <w:tcW w:w="480" w:type="dxa"/>
            <w:vAlign w:val="bottom"/>
            <w:tcBorders>
              <w:top w:val="single" w:sz="8" w:color="CCEEFF"/>
              <w:bottom w:val="single" w:sz="8" w:color="auto"/>
            </w:tcBorders>
          </w:tcPr>
          <w:p>
            <w:pPr>
              <w:spacing w:after="0"/>
              <w:rPr>
                <w:sz w:val="17"/>
                <w:szCs w:val="17"/>
                <w:color w:val="auto"/>
              </w:rPr>
            </w:pPr>
          </w:p>
        </w:tc>
        <w:tc>
          <w:tcPr>
            <w:tcW w:w="520" w:type="dxa"/>
            <w:vAlign w:val="bottom"/>
            <w:tcBorders>
              <w:top w:val="single" w:sz="8" w:color="CCEEFF"/>
              <w:bottom w:val="single" w:sz="8" w:color="auto"/>
            </w:tcBorders>
          </w:tcPr>
          <w:p>
            <w:pPr>
              <w:spacing w:after="0"/>
              <w:rPr>
                <w:sz w:val="17"/>
                <w:szCs w:val="17"/>
                <w:color w:val="auto"/>
              </w:rPr>
            </w:pPr>
          </w:p>
        </w:tc>
        <w:tc>
          <w:tcPr>
            <w:tcW w:w="360" w:type="dxa"/>
            <w:vAlign w:val="bottom"/>
            <w:tcBorders>
              <w:top w:val="single" w:sz="8" w:color="CCEEFF"/>
              <w:bottom w:val="single" w:sz="8" w:color="auto"/>
            </w:tcBorders>
          </w:tcPr>
          <w:p>
            <w:pPr>
              <w:spacing w:after="0"/>
              <w:rPr>
                <w:sz w:val="17"/>
                <w:szCs w:val="17"/>
                <w:color w:val="auto"/>
              </w:rPr>
            </w:pPr>
          </w:p>
        </w:tc>
        <w:tc>
          <w:tcPr>
            <w:tcW w:w="320" w:type="dxa"/>
            <w:vAlign w:val="bottom"/>
            <w:tcBorders>
              <w:top w:val="single" w:sz="8" w:color="CCEEFF"/>
              <w:bottom w:val="single" w:sz="8" w:color="auto"/>
            </w:tcBorders>
          </w:tcPr>
          <w:p>
            <w:pPr>
              <w:spacing w:after="0"/>
              <w:rPr>
                <w:sz w:val="17"/>
                <w:szCs w:val="17"/>
                <w:color w:val="auto"/>
              </w:rPr>
            </w:pPr>
          </w:p>
        </w:tc>
        <w:tc>
          <w:tcPr>
            <w:tcW w:w="5900" w:type="dxa"/>
            <w:vAlign w:val="bottom"/>
            <w:tcBorders>
              <w:top w:val="single" w:sz="8" w:color="CCEEFF"/>
              <w:bottom w:val="single" w:sz="8" w:color="auto"/>
            </w:tcBorders>
            <w:gridSpan w:val="7"/>
          </w:tcPr>
          <w:p>
            <w:pPr>
              <w:jc w:val="center"/>
              <w:ind w:right="3200"/>
              <w:spacing w:after="0"/>
              <w:rPr>
                <w:sz w:val="20"/>
                <w:szCs w:val="20"/>
                <w:color w:val="auto"/>
              </w:rPr>
            </w:pPr>
            <w:r>
              <w:rPr>
                <w:rFonts w:ascii="Arial" w:cs="Arial" w:eastAsia="Arial" w:hAnsi="Arial"/>
                <w:sz w:val="15"/>
                <w:szCs w:val="15"/>
                <w:b w:val="1"/>
                <w:bCs w:val="1"/>
                <w:color w:val="auto"/>
              </w:rPr>
              <w:t>PART II. OTHER INFORMATION</w:t>
            </w:r>
          </w:p>
        </w:tc>
        <w:tc>
          <w:tcPr>
            <w:tcW w:w="680" w:type="dxa"/>
            <w:vAlign w:val="bottom"/>
            <w:tcBorders>
              <w:top w:val="single" w:sz="8" w:color="CCEEFF"/>
              <w:bottom w:val="single" w:sz="8" w:color="CCEEFF"/>
            </w:tcBorders>
          </w:tcPr>
          <w:p>
            <w:pPr>
              <w:spacing w:after="0"/>
              <w:rPr>
                <w:sz w:val="17"/>
                <w:szCs w:val="17"/>
                <w:color w:val="auto"/>
              </w:rPr>
            </w:pPr>
          </w:p>
        </w:tc>
        <w:tc>
          <w:tcPr>
            <w:tcW w:w="420" w:type="dxa"/>
            <w:vAlign w:val="bottom"/>
            <w:tcBorders>
              <w:top w:val="single" w:sz="8" w:color="CCEEFF"/>
              <w:bottom w:val="single" w:sz="8" w:color="CCEEFF"/>
            </w:tcBorders>
          </w:tcPr>
          <w:p>
            <w:pPr>
              <w:spacing w:after="0"/>
              <w:rPr>
                <w:sz w:val="17"/>
                <w:szCs w:val="17"/>
                <w:color w:val="auto"/>
              </w:rPr>
            </w:pPr>
          </w:p>
        </w:tc>
      </w:tr>
      <w:tr>
        <w:trPr>
          <w:trHeight w:val="171"/>
        </w:trPr>
        <w:tc>
          <w:tcPr>
            <w:tcW w:w="1040" w:type="dxa"/>
            <w:vAlign w:val="bottom"/>
            <w:tcBorders>
              <w:right w:val="single" w:sz="8" w:color="CCEEFF"/>
            </w:tcBorders>
            <w:gridSpan w:val="3"/>
            <w:shd w:val="clear" w:color="auto" w:fill="CCEEFF"/>
          </w:tcPr>
          <w:p>
            <w:pPr>
              <w:spacing w:after="0" w:line="131" w:lineRule="exact"/>
              <w:rPr>
                <w:sz w:val="20"/>
                <w:szCs w:val="20"/>
                <w:color w:val="auto"/>
              </w:rPr>
            </w:pPr>
            <w:r>
              <w:rPr>
                <w:rFonts w:ascii="Arial" w:cs="Arial" w:eastAsia="Arial" w:hAnsi="Arial"/>
                <w:sz w:val="15"/>
                <w:szCs w:val="15"/>
                <w:color w:val="0000FF"/>
              </w:rPr>
              <w:t>Item 1</w:t>
            </w:r>
          </w:p>
        </w:tc>
        <w:tc>
          <w:tcPr>
            <w:tcW w:w="9100" w:type="dxa"/>
            <w:vAlign w:val="bottom"/>
            <w:gridSpan w:val="16"/>
            <w:shd w:val="clear" w:color="auto" w:fill="CCEEFF"/>
          </w:tcPr>
          <w:p>
            <w:pPr>
              <w:spacing w:after="0" w:line="131" w:lineRule="exact"/>
              <w:rPr>
                <w:sz w:val="20"/>
                <w:szCs w:val="20"/>
                <w:color w:val="auto"/>
              </w:rPr>
            </w:pPr>
            <w:r>
              <w:rPr>
                <w:rFonts w:ascii="Arial" w:cs="Arial" w:eastAsia="Arial" w:hAnsi="Arial"/>
                <w:sz w:val="15"/>
                <w:szCs w:val="15"/>
                <w:color w:val="0000FF"/>
              </w:rPr>
              <w:t>Legal Proceedings</w:t>
            </w:r>
          </w:p>
        </w:tc>
        <w:tc>
          <w:tcPr>
            <w:tcW w:w="1100" w:type="dxa"/>
            <w:vAlign w:val="bottom"/>
            <w:gridSpan w:val="2"/>
            <w:shd w:val="clear" w:color="auto" w:fill="CCEEFF"/>
          </w:tcPr>
          <w:p>
            <w:pPr>
              <w:jc w:val="center"/>
              <w:ind w:left="43"/>
              <w:spacing w:after="0" w:line="131" w:lineRule="exact"/>
              <w:rPr>
                <w:sz w:val="20"/>
                <w:szCs w:val="20"/>
                <w:color w:val="auto"/>
              </w:rPr>
            </w:pPr>
            <w:r>
              <w:rPr>
                <w:rFonts w:ascii="Arial" w:cs="Arial" w:eastAsia="Arial" w:hAnsi="Arial"/>
                <w:sz w:val="15"/>
                <w:szCs w:val="15"/>
                <w:color w:val="0000FF"/>
                <w:w w:val="83"/>
              </w:rPr>
              <w:t>40</w:t>
            </w:r>
          </w:p>
        </w:tc>
      </w:tr>
      <w:tr>
        <w:trPr>
          <w:trHeight w:val="20"/>
        </w:trPr>
        <w:tc>
          <w:tcPr>
            <w:tcW w:w="4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520" w:type="dxa"/>
            <w:vAlign w:val="bottom"/>
            <w:gridSpan w:val="2"/>
          </w:tcPr>
          <w:p>
            <w:pPr>
              <w:spacing w:after="0" w:line="149" w:lineRule="exact"/>
              <w:rPr>
                <w:sz w:val="20"/>
                <w:szCs w:val="20"/>
                <w:color w:val="auto"/>
              </w:rPr>
            </w:pPr>
            <w:r>
              <w:rPr>
                <w:rFonts w:ascii="Arial" w:cs="Arial" w:eastAsia="Arial" w:hAnsi="Arial"/>
                <w:sz w:val="15"/>
                <w:szCs w:val="15"/>
                <w:color w:val="0000FF"/>
                <w:w w:val="96"/>
              </w:rPr>
              <w:t>Item 1A</w:t>
            </w:r>
          </w:p>
        </w:tc>
        <w:tc>
          <w:tcPr>
            <w:tcW w:w="5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5"/>
                <w:szCs w:val="15"/>
                <w:color w:val="0000FF"/>
                <w:w w:val="91"/>
              </w:rPr>
              <w:t>Risk Factors</w:t>
            </w:r>
          </w:p>
        </w:tc>
        <w:tc>
          <w:tcPr>
            <w:tcW w:w="8320" w:type="dxa"/>
            <w:vAlign w:val="bottom"/>
            <w:gridSpan w:val="13"/>
          </w:tcPr>
          <w:p>
            <w:pPr>
              <w:spacing w:after="0"/>
              <w:rPr>
                <w:sz w:val="12"/>
                <w:szCs w:val="12"/>
                <w:color w:val="auto"/>
              </w:rPr>
            </w:pPr>
          </w:p>
        </w:tc>
        <w:tc>
          <w:tcPr>
            <w:tcW w:w="1100" w:type="dxa"/>
            <w:vAlign w:val="bottom"/>
            <w:gridSpan w:val="2"/>
          </w:tcPr>
          <w:p>
            <w:pPr>
              <w:jc w:val="center"/>
              <w:ind w:left="43"/>
              <w:spacing w:after="0" w:line="149" w:lineRule="exact"/>
              <w:rPr>
                <w:sz w:val="20"/>
                <w:szCs w:val="20"/>
                <w:color w:val="auto"/>
              </w:rPr>
            </w:pPr>
            <w:r>
              <w:rPr>
                <w:rFonts w:ascii="Arial" w:cs="Arial" w:eastAsia="Arial" w:hAnsi="Arial"/>
                <w:sz w:val="15"/>
                <w:szCs w:val="15"/>
                <w:color w:val="0000FF"/>
                <w:w w:val="83"/>
              </w:rPr>
              <w:t>40</w:t>
            </w:r>
          </w:p>
        </w:tc>
      </w:tr>
      <w:tr>
        <w:trPr>
          <w:trHeight w:val="27"/>
        </w:trPr>
        <w:tc>
          <w:tcPr>
            <w:tcW w:w="40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520" w:type="dxa"/>
            <w:vAlign w:val="bottom"/>
            <w:gridSpan w:val="2"/>
            <w:shd w:val="clear" w:color="auto" w:fill="CCEEFF"/>
          </w:tcPr>
          <w:p>
            <w:pPr>
              <w:spacing w:after="0" w:line="170" w:lineRule="exact"/>
              <w:rPr>
                <w:sz w:val="20"/>
                <w:szCs w:val="20"/>
                <w:color w:val="auto"/>
              </w:rPr>
            </w:pPr>
            <w:r>
              <w:rPr>
                <w:rFonts w:ascii="Arial" w:cs="Arial" w:eastAsia="Arial" w:hAnsi="Arial"/>
                <w:sz w:val="15"/>
                <w:szCs w:val="15"/>
                <w:color w:val="0000FF"/>
              </w:rPr>
              <w:t>Item 2</w:t>
            </w:r>
          </w:p>
        </w:tc>
        <w:tc>
          <w:tcPr>
            <w:tcW w:w="520" w:type="dxa"/>
            <w:vAlign w:val="bottom"/>
            <w:tcBorders>
              <w:right w:val="single" w:sz="8" w:color="CCEEFF"/>
            </w:tcBorders>
            <w:shd w:val="clear" w:color="auto" w:fill="CCEEFF"/>
          </w:tcPr>
          <w:p>
            <w:pPr>
              <w:spacing w:after="0"/>
              <w:rPr>
                <w:sz w:val="14"/>
                <w:szCs w:val="14"/>
                <w:color w:val="auto"/>
              </w:rPr>
            </w:pP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Unregistered Sales of Equity Securities, Use of Proceeds, and Issuer Purchases of Equity Securities</w:t>
            </w:r>
          </w:p>
        </w:tc>
        <w:tc>
          <w:tcPr>
            <w:tcW w:w="1100" w:type="dxa"/>
            <w:vAlign w:val="bottom"/>
            <w:gridSpan w:val="2"/>
            <w:shd w:val="clear" w:color="auto" w:fill="CCEEFF"/>
          </w:tcPr>
          <w:p>
            <w:pPr>
              <w:jc w:val="center"/>
              <w:ind w:left="43"/>
              <w:spacing w:after="0" w:line="170" w:lineRule="exact"/>
              <w:rPr>
                <w:sz w:val="20"/>
                <w:szCs w:val="20"/>
                <w:color w:val="auto"/>
              </w:rPr>
            </w:pPr>
            <w:r>
              <w:rPr>
                <w:rFonts w:ascii="Arial" w:cs="Arial" w:eastAsia="Arial" w:hAnsi="Arial"/>
                <w:sz w:val="15"/>
                <w:szCs w:val="15"/>
                <w:color w:val="0000FF"/>
                <w:w w:val="83"/>
              </w:rPr>
              <w:t>40</w:t>
            </w: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36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18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1040" w:type="dxa"/>
            <w:vAlign w:val="bottom"/>
            <w:gridSpan w:val="3"/>
          </w:tcPr>
          <w:p>
            <w:pPr>
              <w:spacing w:after="0" w:line="163" w:lineRule="exact"/>
              <w:rPr>
                <w:sz w:val="20"/>
                <w:szCs w:val="20"/>
                <w:color w:val="auto"/>
              </w:rPr>
            </w:pPr>
            <w:r>
              <w:rPr>
                <w:rFonts w:ascii="Arial" w:cs="Arial" w:eastAsia="Arial" w:hAnsi="Arial"/>
                <w:sz w:val="15"/>
                <w:szCs w:val="15"/>
                <w:color w:val="0000FF"/>
              </w:rPr>
              <w:t>Item 3</w:t>
            </w: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Defaults Upon Senior Securities</w:t>
            </w:r>
          </w:p>
        </w:tc>
        <w:tc>
          <w:tcPr>
            <w:tcW w:w="1100" w:type="dxa"/>
            <w:vAlign w:val="bottom"/>
            <w:gridSpan w:val="2"/>
          </w:tcPr>
          <w:p>
            <w:pPr>
              <w:jc w:val="center"/>
              <w:ind w:left="43"/>
              <w:spacing w:after="0" w:line="163" w:lineRule="exact"/>
              <w:rPr>
                <w:sz w:val="20"/>
                <w:szCs w:val="20"/>
                <w:color w:val="auto"/>
              </w:rPr>
            </w:pPr>
            <w:r>
              <w:rPr>
                <w:rFonts w:ascii="Arial" w:cs="Arial" w:eastAsia="Arial" w:hAnsi="Arial"/>
                <w:sz w:val="15"/>
                <w:szCs w:val="15"/>
                <w:color w:val="0000FF"/>
                <w:w w:val="83"/>
              </w:rPr>
              <w:t>40</w:t>
            </w: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104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color w:val="0000FF"/>
              </w:rPr>
              <w:t>Item 4</w:t>
            </w: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Mine Safety Disclosures</w:t>
            </w:r>
          </w:p>
        </w:tc>
        <w:tc>
          <w:tcPr>
            <w:tcW w:w="1100" w:type="dxa"/>
            <w:vAlign w:val="bottom"/>
            <w:gridSpan w:val="2"/>
            <w:shd w:val="clear" w:color="auto" w:fill="CCEEFF"/>
          </w:tcPr>
          <w:p>
            <w:pPr>
              <w:jc w:val="center"/>
              <w:ind w:left="43"/>
              <w:spacing w:after="0" w:line="170" w:lineRule="exact"/>
              <w:rPr>
                <w:sz w:val="20"/>
                <w:szCs w:val="20"/>
                <w:color w:val="auto"/>
              </w:rPr>
            </w:pPr>
            <w:r>
              <w:rPr>
                <w:rFonts w:ascii="Arial" w:cs="Arial" w:eastAsia="Arial" w:hAnsi="Arial"/>
                <w:sz w:val="15"/>
                <w:szCs w:val="15"/>
                <w:color w:val="0000FF"/>
                <w:w w:val="83"/>
              </w:rPr>
              <w:t>40</w:t>
            </w: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r>
        <w:trPr>
          <w:trHeight w:val="163"/>
        </w:trPr>
        <w:tc>
          <w:tcPr>
            <w:tcW w:w="1040" w:type="dxa"/>
            <w:vAlign w:val="bottom"/>
            <w:gridSpan w:val="3"/>
          </w:tcPr>
          <w:p>
            <w:pPr>
              <w:spacing w:after="0" w:line="163" w:lineRule="exact"/>
              <w:rPr>
                <w:sz w:val="20"/>
                <w:szCs w:val="20"/>
                <w:color w:val="auto"/>
              </w:rPr>
            </w:pPr>
            <w:r>
              <w:rPr>
                <w:rFonts w:ascii="Arial" w:cs="Arial" w:eastAsia="Arial" w:hAnsi="Arial"/>
                <w:sz w:val="15"/>
                <w:szCs w:val="15"/>
                <w:color w:val="0000FF"/>
              </w:rPr>
              <w:t>Item 5</w:t>
            </w:r>
          </w:p>
        </w:tc>
        <w:tc>
          <w:tcPr>
            <w:tcW w:w="9100" w:type="dxa"/>
            <w:vAlign w:val="bottom"/>
            <w:gridSpan w:val="16"/>
          </w:tcPr>
          <w:p>
            <w:pPr>
              <w:spacing w:after="0" w:line="163" w:lineRule="exact"/>
              <w:rPr>
                <w:sz w:val="20"/>
                <w:szCs w:val="20"/>
                <w:color w:val="auto"/>
              </w:rPr>
            </w:pPr>
            <w:r>
              <w:rPr>
                <w:rFonts w:ascii="Arial" w:cs="Arial" w:eastAsia="Arial" w:hAnsi="Arial"/>
                <w:sz w:val="15"/>
                <w:szCs w:val="15"/>
                <w:color w:val="0000FF"/>
              </w:rPr>
              <w:t>Other Information</w:t>
            </w:r>
          </w:p>
        </w:tc>
        <w:tc>
          <w:tcPr>
            <w:tcW w:w="1100" w:type="dxa"/>
            <w:vAlign w:val="bottom"/>
            <w:gridSpan w:val="2"/>
          </w:tcPr>
          <w:p>
            <w:pPr>
              <w:jc w:val="center"/>
              <w:ind w:left="43"/>
              <w:spacing w:after="0" w:line="163" w:lineRule="exact"/>
              <w:rPr>
                <w:sz w:val="20"/>
                <w:szCs w:val="20"/>
                <w:color w:val="auto"/>
              </w:rPr>
            </w:pPr>
            <w:r>
              <w:rPr>
                <w:rFonts w:ascii="Arial" w:cs="Arial" w:eastAsia="Arial" w:hAnsi="Arial"/>
                <w:sz w:val="15"/>
                <w:szCs w:val="15"/>
                <w:color w:val="0000FF"/>
                <w:w w:val="83"/>
              </w:rPr>
              <w:t>40</w:t>
            </w:r>
          </w:p>
        </w:tc>
      </w:tr>
      <w:tr>
        <w:trPr>
          <w:trHeight w:val="27"/>
        </w:trPr>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420" w:type="dxa"/>
            <w:vAlign w:val="bottom"/>
          </w:tcPr>
          <w:p>
            <w:pPr>
              <w:spacing w:after="0"/>
              <w:rPr>
                <w:sz w:val="2"/>
                <w:szCs w:val="2"/>
                <w:color w:val="auto"/>
              </w:rPr>
            </w:pPr>
          </w:p>
        </w:tc>
      </w:tr>
      <w:tr>
        <w:trPr>
          <w:trHeight w:val="170"/>
        </w:trPr>
        <w:tc>
          <w:tcPr>
            <w:tcW w:w="104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5"/>
                <w:szCs w:val="15"/>
                <w:color w:val="0000FF"/>
              </w:rPr>
              <w:t>Item 6</w:t>
            </w:r>
          </w:p>
        </w:tc>
        <w:tc>
          <w:tcPr>
            <w:tcW w:w="9100" w:type="dxa"/>
            <w:vAlign w:val="bottom"/>
            <w:gridSpan w:val="16"/>
            <w:shd w:val="clear" w:color="auto" w:fill="CCEEFF"/>
          </w:tcPr>
          <w:p>
            <w:pPr>
              <w:spacing w:after="0" w:line="170" w:lineRule="exact"/>
              <w:rPr>
                <w:sz w:val="20"/>
                <w:szCs w:val="20"/>
                <w:color w:val="auto"/>
              </w:rPr>
            </w:pPr>
            <w:r>
              <w:rPr>
                <w:rFonts w:ascii="Arial" w:cs="Arial" w:eastAsia="Arial" w:hAnsi="Arial"/>
                <w:sz w:val="15"/>
                <w:szCs w:val="15"/>
                <w:color w:val="0000FF"/>
              </w:rPr>
              <w:t>Exhibits</w:t>
            </w:r>
          </w:p>
        </w:tc>
        <w:tc>
          <w:tcPr>
            <w:tcW w:w="1100" w:type="dxa"/>
            <w:vAlign w:val="bottom"/>
            <w:gridSpan w:val="2"/>
            <w:shd w:val="clear" w:color="auto" w:fill="CCEEFF"/>
          </w:tcPr>
          <w:p>
            <w:pPr>
              <w:jc w:val="center"/>
              <w:ind w:left="43"/>
              <w:spacing w:after="0" w:line="170" w:lineRule="exact"/>
              <w:rPr>
                <w:sz w:val="20"/>
                <w:szCs w:val="20"/>
                <w:color w:val="auto"/>
              </w:rPr>
            </w:pPr>
            <w:r>
              <w:rPr>
                <w:rFonts w:ascii="Arial" w:cs="Arial" w:eastAsia="Arial" w:hAnsi="Arial"/>
                <w:sz w:val="15"/>
                <w:szCs w:val="15"/>
                <w:color w:val="0000FF"/>
                <w:w w:val="83"/>
              </w:rPr>
              <w:t>41</w:t>
            </w:r>
          </w:p>
        </w:tc>
      </w:tr>
      <w:tr>
        <w:trPr>
          <w:trHeight w:val="35"/>
        </w:trPr>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60" w:type="dxa"/>
            <w:vAlign w:val="bottom"/>
            <w:tcBorders>
              <w:lef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5"/>
          <w:szCs w:val="15"/>
          <w:b w:val="1"/>
          <w:bCs w:val="1"/>
          <w:color w:val="auto"/>
        </w:rPr>
        <w:t>DEFINITIONS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this Quarterly Report on Form 10-Q for the quarter ended September 30, 2023 (this “Report”), the following terms and abbreviations have the meanings listed below.</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“LivaNova” and “the Company” refer to LivaNova PLC and its consolidated subsidiaries.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Abbreviation</w:t>
            </w:r>
          </w:p>
        </w:tc>
        <w:tc>
          <w:tcPr>
            <w:tcW w:w="120" w:type="dxa"/>
            <w:vAlign w:val="bottom"/>
            <w:tcBorders>
              <w:bottom w:val="single" w:sz="8" w:color="CCEEFF"/>
            </w:tcBorders>
          </w:tcPr>
          <w:p>
            <w:pPr>
              <w:spacing w:after="0"/>
              <w:rPr>
                <w:sz w:val="17"/>
                <w:szCs w:val="17"/>
                <w:color w:val="auto"/>
              </w:rPr>
            </w:pPr>
          </w:p>
        </w:tc>
        <w:tc>
          <w:tcPr>
            <w:tcW w:w="8600" w:type="dxa"/>
            <w:vAlign w:val="bottom"/>
            <w:tcBorders>
              <w:bottom w:val="single" w:sz="8" w:color="auto"/>
            </w:tcBorders>
          </w:tcPr>
          <w:p>
            <w:pPr>
              <w:ind w:left="3960"/>
              <w:spacing w:after="0"/>
              <w:rPr>
                <w:sz w:val="20"/>
                <w:szCs w:val="20"/>
                <w:color w:val="auto"/>
              </w:rPr>
            </w:pPr>
            <w:r>
              <w:rPr>
                <w:rFonts w:ascii="Arial" w:cs="Arial" w:eastAsia="Arial" w:hAnsi="Arial"/>
                <w:sz w:val="15"/>
                <w:szCs w:val="15"/>
                <w:b w:val="1"/>
                <w:bCs w:val="1"/>
                <w:color w:val="auto"/>
              </w:rPr>
              <w:t>Definition</w:t>
            </w:r>
          </w:p>
        </w:tc>
      </w:tr>
      <w:tr>
        <w:trPr>
          <w:trHeight w:val="189"/>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2015 Plan</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LivaNova PLC 2015 Incentive Award Plan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2022 Form 10-K</w:t>
            </w:r>
          </w:p>
        </w:tc>
        <w:tc>
          <w:tcPr>
            <w:tcW w:w="8600" w:type="dxa"/>
            <w:vAlign w:val="bottom"/>
          </w:tcPr>
          <w:p>
            <w:pPr>
              <w:ind w:left="20"/>
              <w:spacing w:after="0"/>
              <w:rPr>
                <w:sz w:val="20"/>
                <w:szCs w:val="20"/>
                <w:color w:val="auto"/>
              </w:rPr>
            </w:pPr>
            <w:r>
              <w:rPr>
                <w:rFonts w:ascii="Arial" w:cs="Arial" w:eastAsia="Arial" w:hAnsi="Arial"/>
                <w:sz w:val="15"/>
                <w:szCs w:val="15"/>
                <w:color w:val="auto"/>
              </w:rPr>
              <w:t>LivaNova PLC’s Annual Report on Form 10-K for the year ended December 31, 2022, filed with the SEC on February 27, 2023</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2022 Plan</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LivaNova PLC 2022 Incentive Award Plan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ACS</w:t>
            </w:r>
          </w:p>
        </w:tc>
        <w:tc>
          <w:tcPr>
            <w:tcW w:w="8600" w:type="dxa"/>
            <w:vAlign w:val="bottom"/>
          </w:tcPr>
          <w:p>
            <w:pPr>
              <w:ind w:left="20"/>
              <w:spacing w:after="0"/>
              <w:rPr>
                <w:sz w:val="20"/>
                <w:szCs w:val="20"/>
                <w:color w:val="auto"/>
              </w:rPr>
            </w:pPr>
            <w:r>
              <w:rPr>
                <w:rFonts w:ascii="Arial" w:cs="Arial" w:eastAsia="Arial" w:hAnsi="Arial"/>
                <w:sz w:val="15"/>
                <w:szCs w:val="15"/>
                <w:color w:val="auto"/>
              </w:rPr>
              <w:t>Advanced Circulatory Support</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ALung</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ALung Technologies, Inc.</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AOCI</w:t>
            </w:r>
          </w:p>
        </w:tc>
        <w:tc>
          <w:tcPr>
            <w:tcW w:w="8600" w:type="dxa"/>
            <w:vAlign w:val="bottom"/>
          </w:tcPr>
          <w:p>
            <w:pPr>
              <w:ind w:left="20"/>
              <w:spacing w:after="0"/>
              <w:rPr>
                <w:sz w:val="20"/>
                <w:szCs w:val="20"/>
                <w:color w:val="auto"/>
              </w:rPr>
            </w:pPr>
            <w:r>
              <w:rPr>
                <w:rFonts w:ascii="Arial" w:cs="Arial" w:eastAsia="Arial" w:hAnsi="Arial"/>
                <w:sz w:val="15"/>
                <w:szCs w:val="15"/>
                <w:color w:val="auto"/>
              </w:rPr>
              <w:t>Accumulated other comprehensive income</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A&amp;R 2022 Plan</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Amended and Restated LivaNova PLC 2022 Incentive Award Plan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BEPS</w:t>
            </w:r>
          </w:p>
        </w:tc>
        <w:tc>
          <w:tcPr>
            <w:tcW w:w="8600" w:type="dxa"/>
            <w:vAlign w:val="bottom"/>
          </w:tcPr>
          <w:p>
            <w:pPr>
              <w:ind w:left="20"/>
              <w:spacing w:after="0"/>
              <w:rPr>
                <w:sz w:val="20"/>
                <w:szCs w:val="20"/>
                <w:color w:val="auto"/>
              </w:rPr>
            </w:pPr>
            <w:r>
              <w:rPr>
                <w:rFonts w:ascii="Arial" w:cs="Arial" w:eastAsia="Arial" w:hAnsi="Arial"/>
                <w:sz w:val="15"/>
                <w:szCs w:val="15"/>
                <w:color w:val="auto"/>
              </w:rPr>
              <w:t>Base Erosion and Profit Shifting</w:t>
            </w:r>
          </w:p>
        </w:tc>
      </w:tr>
      <w:tr>
        <w:trPr>
          <w:trHeight w:val="152"/>
        </w:trPr>
        <w:tc>
          <w:tcPr>
            <w:tcW w:w="266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Bridge Loan Facility</w:t>
            </w:r>
          </w:p>
        </w:tc>
        <w:tc>
          <w:tcPr>
            <w:tcW w:w="86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w w:val="99"/>
              </w:rPr>
              <w:t>Incremental Facility Amendment No. 1 to the 2021 First Lien Credit Agreement, relating to a €200 million bridge loan facility, dated</w:t>
            </w:r>
          </w:p>
        </w:tc>
      </w:tr>
      <w:tr>
        <w:trPr>
          <w:trHeight w:val="208"/>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February 24, 2022, and repaid on July 6, 2022</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CEO</w:t>
            </w:r>
          </w:p>
        </w:tc>
        <w:tc>
          <w:tcPr>
            <w:tcW w:w="8600" w:type="dxa"/>
            <w:vAlign w:val="bottom"/>
          </w:tcPr>
          <w:p>
            <w:pPr>
              <w:ind w:left="20"/>
              <w:spacing w:after="0"/>
              <w:rPr>
                <w:sz w:val="20"/>
                <w:szCs w:val="20"/>
                <w:color w:val="auto"/>
              </w:rPr>
            </w:pPr>
            <w:r>
              <w:rPr>
                <w:rFonts w:ascii="Arial" w:cs="Arial" w:eastAsia="Arial" w:hAnsi="Arial"/>
                <w:sz w:val="15"/>
                <w:szCs w:val="15"/>
                <w:color w:val="auto"/>
              </w:rPr>
              <w:t>Chief Executive Officer</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CFO</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Chief Financial Officer</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CMS</w:t>
            </w:r>
          </w:p>
        </w:tc>
        <w:tc>
          <w:tcPr>
            <w:tcW w:w="8600" w:type="dxa"/>
            <w:vAlign w:val="bottom"/>
          </w:tcPr>
          <w:p>
            <w:pPr>
              <w:ind w:left="20"/>
              <w:spacing w:after="0"/>
              <w:rPr>
                <w:sz w:val="20"/>
                <w:szCs w:val="20"/>
                <w:color w:val="auto"/>
              </w:rPr>
            </w:pPr>
            <w:r>
              <w:rPr>
                <w:rFonts w:ascii="Arial" w:cs="Arial" w:eastAsia="Arial" w:hAnsi="Arial"/>
                <w:sz w:val="15"/>
                <w:szCs w:val="15"/>
                <w:color w:val="auto"/>
              </w:rPr>
              <w:t>U.S. Centers for Medicare &amp; Medicaid Services</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Court of Appeal</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Court of Appeal in Milan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CPB</w:t>
            </w:r>
          </w:p>
        </w:tc>
        <w:tc>
          <w:tcPr>
            <w:tcW w:w="8600" w:type="dxa"/>
            <w:vAlign w:val="bottom"/>
          </w:tcPr>
          <w:p>
            <w:pPr>
              <w:ind w:left="20"/>
              <w:spacing w:after="0"/>
              <w:rPr>
                <w:sz w:val="20"/>
                <w:szCs w:val="20"/>
                <w:color w:val="auto"/>
              </w:rPr>
            </w:pPr>
            <w:r>
              <w:rPr>
                <w:rFonts w:ascii="Arial" w:cs="Arial" w:eastAsia="Arial" w:hAnsi="Arial"/>
                <w:sz w:val="15"/>
                <w:szCs w:val="15"/>
                <w:color w:val="auto"/>
              </w:rPr>
              <w:t>Cardiopulmonary bypass</w:t>
            </w:r>
          </w:p>
        </w:tc>
      </w:tr>
      <w:tr>
        <w:trPr>
          <w:trHeight w:val="152"/>
        </w:trPr>
        <w:tc>
          <w:tcPr>
            <w:tcW w:w="2660" w:type="dxa"/>
            <w:vAlign w:val="bottom"/>
            <w:gridSpan w:val="2"/>
            <w:shd w:val="clear" w:color="auto" w:fill="CCEEFF"/>
          </w:tcPr>
          <w:p>
            <w:pPr>
              <w:spacing w:after="0" w:line="152" w:lineRule="exact"/>
              <w:rPr>
                <w:sz w:val="20"/>
                <w:szCs w:val="20"/>
                <w:color w:val="auto"/>
              </w:rPr>
            </w:pPr>
            <w:r>
              <w:rPr>
                <w:rFonts w:ascii="Arial" w:cs="Arial" w:eastAsia="Arial" w:hAnsi="Arial"/>
                <w:sz w:val="15"/>
                <w:szCs w:val="15"/>
                <w:color w:val="auto"/>
              </w:rPr>
              <w:t>Delayed Draw Term Facility</w:t>
            </w:r>
          </w:p>
        </w:tc>
        <w:tc>
          <w:tcPr>
            <w:tcW w:w="8600" w:type="dxa"/>
            <w:vAlign w:val="bottom"/>
            <w:shd w:val="clear" w:color="auto" w:fill="CCEEFF"/>
          </w:tcPr>
          <w:p>
            <w:pPr>
              <w:ind w:left="20"/>
              <w:spacing w:after="0" w:line="152" w:lineRule="exact"/>
              <w:rPr>
                <w:sz w:val="20"/>
                <w:szCs w:val="20"/>
                <w:color w:val="auto"/>
              </w:rPr>
            </w:pPr>
            <w:r>
              <w:rPr>
                <w:rFonts w:ascii="Arial" w:cs="Arial" w:eastAsia="Arial" w:hAnsi="Arial"/>
                <w:sz w:val="15"/>
                <w:szCs w:val="15"/>
                <w:color w:val="auto"/>
                <w:w w:val="97"/>
              </w:rPr>
              <w:t>$50 million delayed draw term facility under the 2021 First Lien Credit Agreement resulting from the Incremental Facility Amendment</w:t>
            </w:r>
          </w:p>
        </w:tc>
      </w:tr>
      <w:tr>
        <w:trPr>
          <w:trHeight w:val="208"/>
        </w:trPr>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 2</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DRE</w:t>
            </w:r>
          </w:p>
        </w:tc>
        <w:tc>
          <w:tcPr>
            <w:tcW w:w="8600" w:type="dxa"/>
            <w:vAlign w:val="bottom"/>
          </w:tcPr>
          <w:p>
            <w:pPr>
              <w:ind w:left="20"/>
              <w:spacing w:after="0"/>
              <w:rPr>
                <w:sz w:val="20"/>
                <w:szCs w:val="20"/>
                <w:color w:val="auto"/>
              </w:rPr>
            </w:pPr>
            <w:r>
              <w:rPr>
                <w:rFonts w:ascii="Arial" w:cs="Arial" w:eastAsia="Arial" w:hAnsi="Arial"/>
                <w:sz w:val="15"/>
                <w:szCs w:val="15"/>
                <w:color w:val="auto"/>
              </w:rPr>
              <w:t>Drug-resistant epilepsy</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DTD</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Difficult-to-treat depression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ECJ</w:t>
            </w:r>
          </w:p>
        </w:tc>
        <w:tc>
          <w:tcPr>
            <w:tcW w:w="8600" w:type="dxa"/>
            <w:vAlign w:val="bottom"/>
          </w:tcPr>
          <w:p>
            <w:pPr>
              <w:ind w:left="20"/>
              <w:spacing w:after="0"/>
              <w:rPr>
                <w:sz w:val="20"/>
                <w:szCs w:val="20"/>
                <w:color w:val="auto"/>
              </w:rPr>
            </w:pPr>
            <w:r>
              <w:rPr>
                <w:rFonts w:ascii="Arial" w:cs="Arial" w:eastAsia="Arial" w:hAnsi="Arial"/>
                <w:sz w:val="15"/>
                <w:szCs w:val="15"/>
                <w:color w:val="auto"/>
              </w:rPr>
              <w:t>European Court of Justice</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Exchange Act</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Securities Exchange Act of 1934, as amended</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FDA</w:t>
            </w:r>
          </w:p>
        </w:tc>
        <w:tc>
          <w:tcPr>
            <w:tcW w:w="8600" w:type="dxa"/>
            <w:vAlign w:val="bottom"/>
          </w:tcPr>
          <w:p>
            <w:pPr>
              <w:ind w:left="20"/>
              <w:spacing w:after="0"/>
              <w:rPr>
                <w:sz w:val="20"/>
                <w:szCs w:val="20"/>
                <w:color w:val="auto"/>
              </w:rPr>
            </w:pPr>
            <w:r>
              <w:rPr>
                <w:rFonts w:ascii="Arial" w:cs="Arial" w:eastAsia="Arial" w:hAnsi="Arial"/>
                <w:sz w:val="15"/>
                <w:szCs w:val="15"/>
                <w:color w:val="auto"/>
              </w:rPr>
              <w:t>U.S. Food and Drug Administration</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exchange rate</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Hemolung RAS</w:t>
            </w:r>
          </w:p>
        </w:tc>
        <w:tc>
          <w:tcPr>
            <w:tcW w:w="8600" w:type="dxa"/>
            <w:vAlign w:val="bottom"/>
          </w:tcPr>
          <w:p>
            <w:pPr>
              <w:ind w:left="20"/>
              <w:spacing w:after="0"/>
              <w:rPr>
                <w:sz w:val="20"/>
                <w:szCs w:val="20"/>
                <w:color w:val="auto"/>
              </w:rPr>
            </w:pPr>
            <w:r>
              <w:rPr>
                <w:rFonts w:ascii="Arial" w:cs="Arial" w:eastAsia="Arial" w:hAnsi="Arial"/>
                <w:sz w:val="15"/>
                <w:szCs w:val="15"/>
                <w:color w:val="auto"/>
              </w:rPr>
              <w:t>Hemolung Respiratory Assist System</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HLM</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Heart-lung machine</w:t>
            </w:r>
          </w:p>
        </w:tc>
      </w:tr>
      <w:tr>
        <w:trPr>
          <w:trHeight w:val="152"/>
        </w:trPr>
        <w:tc>
          <w:tcPr>
            <w:tcW w:w="2660" w:type="dxa"/>
            <w:vAlign w:val="bottom"/>
            <w:gridSpan w:val="2"/>
          </w:tcPr>
          <w:p>
            <w:pPr>
              <w:spacing w:after="0" w:line="152" w:lineRule="exact"/>
              <w:rPr>
                <w:sz w:val="20"/>
                <w:szCs w:val="20"/>
                <w:color w:val="auto"/>
              </w:rPr>
            </w:pPr>
            <w:r>
              <w:rPr>
                <w:rFonts w:ascii="Arial" w:cs="Arial" w:eastAsia="Arial" w:hAnsi="Arial"/>
                <w:sz w:val="15"/>
                <w:szCs w:val="15"/>
                <w:color w:val="auto"/>
              </w:rPr>
              <w:t>ImThera</w:t>
            </w:r>
          </w:p>
        </w:tc>
        <w:tc>
          <w:tcPr>
            <w:tcW w:w="8600" w:type="dxa"/>
            <w:vAlign w:val="bottom"/>
          </w:tcPr>
          <w:p>
            <w:pPr>
              <w:ind w:left="20"/>
              <w:spacing w:after="0" w:line="152" w:lineRule="exact"/>
              <w:rPr>
                <w:sz w:val="20"/>
                <w:szCs w:val="20"/>
                <w:color w:val="auto"/>
              </w:rPr>
            </w:pPr>
            <w:r>
              <w:rPr>
                <w:rFonts w:ascii="Arial" w:cs="Arial" w:eastAsia="Arial" w:hAnsi="Arial"/>
                <w:sz w:val="15"/>
                <w:szCs w:val="15"/>
                <w:color w:val="auto"/>
                <w:w w:val="98"/>
              </w:rPr>
              <w:t>ImThera Medical, Inc., acquired by LivaNova in 2018, a company developing an implantable neurostimulation device system for the</w:t>
            </w:r>
          </w:p>
        </w:tc>
      </w:tr>
      <w:tr>
        <w:trPr>
          <w:trHeight w:val="202"/>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0" w:type="dxa"/>
            <w:vAlign w:val="bottom"/>
          </w:tcPr>
          <w:p>
            <w:pPr>
              <w:ind w:left="20"/>
              <w:spacing w:after="0"/>
              <w:rPr>
                <w:sz w:val="20"/>
                <w:szCs w:val="20"/>
                <w:color w:val="auto"/>
              </w:rPr>
            </w:pPr>
            <w:r>
              <w:rPr>
                <w:rFonts w:ascii="Arial" w:cs="Arial" w:eastAsia="Arial" w:hAnsi="Arial"/>
                <w:sz w:val="15"/>
                <w:szCs w:val="15"/>
                <w:color w:val="auto"/>
              </w:rPr>
              <w:t>treatment of obstructive sleep apnea</w:t>
            </w:r>
          </w:p>
        </w:tc>
      </w:tr>
      <w:tr>
        <w:trPr>
          <w:trHeight w:val="203"/>
        </w:trPr>
        <w:tc>
          <w:tcPr>
            <w:tcW w:w="112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Incremental Facility Amendment No. 2   An incremental facility amendment to the 2021 First Lien Credit Agreement, dated July 6, 2022</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Initial Term Facility</w:t>
            </w:r>
          </w:p>
        </w:tc>
        <w:tc>
          <w:tcPr>
            <w:tcW w:w="8600" w:type="dxa"/>
            <w:vAlign w:val="bottom"/>
          </w:tcPr>
          <w:p>
            <w:pPr>
              <w:ind w:left="20"/>
              <w:spacing w:after="0"/>
              <w:rPr>
                <w:sz w:val="20"/>
                <w:szCs w:val="20"/>
                <w:color w:val="auto"/>
              </w:rPr>
            </w:pPr>
            <w:r>
              <w:rPr>
                <w:rFonts w:ascii="Arial" w:cs="Arial" w:eastAsia="Arial" w:hAnsi="Arial"/>
                <w:sz w:val="15"/>
                <w:szCs w:val="15"/>
                <w:color w:val="auto"/>
              </w:rPr>
              <w:t>$300 million term facility under the 2021 First Lien Credit Agreement resulting from the Incremental Facility Amendment No. 2</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ISIN</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National Inspectorate for Nuclear Safety and Radiation Protection, a sub-body of the Italian Ministry of Economic Development</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LivaNova USA</w:t>
            </w:r>
          </w:p>
        </w:tc>
        <w:tc>
          <w:tcPr>
            <w:tcW w:w="8600" w:type="dxa"/>
            <w:vAlign w:val="bottom"/>
          </w:tcPr>
          <w:p>
            <w:pPr>
              <w:ind w:left="20"/>
              <w:spacing w:after="0"/>
              <w:rPr>
                <w:sz w:val="20"/>
                <w:szCs w:val="20"/>
                <w:color w:val="auto"/>
              </w:rPr>
            </w:pPr>
            <w:r>
              <w:rPr>
                <w:rFonts w:ascii="Arial" w:cs="Arial" w:eastAsia="Arial" w:hAnsi="Arial"/>
                <w:sz w:val="15"/>
                <w:szCs w:val="15"/>
                <w:color w:val="auto"/>
              </w:rPr>
              <w:t>LivaNova USA, Inc.</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LSM</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LivaNova Site Management S.r.l.</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MDL</w:t>
            </w:r>
          </w:p>
        </w:tc>
        <w:tc>
          <w:tcPr>
            <w:tcW w:w="8600" w:type="dxa"/>
            <w:vAlign w:val="bottom"/>
          </w:tcPr>
          <w:p>
            <w:pPr>
              <w:ind w:left="20"/>
              <w:spacing w:after="0"/>
              <w:rPr>
                <w:sz w:val="20"/>
                <w:szCs w:val="20"/>
                <w:color w:val="auto"/>
              </w:rPr>
            </w:pPr>
            <w:r>
              <w:rPr>
                <w:rFonts w:ascii="Arial" w:cs="Arial" w:eastAsia="Arial" w:hAnsi="Arial"/>
                <w:sz w:val="15"/>
                <w:szCs w:val="15"/>
                <w:color w:val="auto"/>
              </w:rPr>
              <w:t>Federal multi-district litigation in the U.S. District Court for the Middle District of Pennsylvania</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Mitral</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Mitral Holdco S.à r.l.</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Notes</w:t>
            </w:r>
          </w:p>
        </w:tc>
        <w:tc>
          <w:tcPr>
            <w:tcW w:w="8600" w:type="dxa"/>
            <w:vAlign w:val="bottom"/>
          </w:tcPr>
          <w:p>
            <w:pPr>
              <w:ind w:left="20"/>
              <w:spacing w:after="0"/>
              <w:rPr>
                <w:sz w:val="20"/>
                <w:szCs w:val="20"/>
                <w:color w:val="auto"/>
              </w:rPr>
            </w:pPr>
            <w:r>
              <w:rPr>
                <w:rFonts w:ascii="Arial" w:cs="Arial" w:eastAsia="Arial" w:hAnsi="Arial"/>
                <w:sz w:val="15"/>
                <w:szCs w:val="15"/>
                <w:color w:val="auto"/>
              </w:rPr>
              <w:t>$287.5 million aggregate principal amount of 3.00% senior notes due December 2025, issued June 17, 2020</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OCI</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comprehensive income (loss)</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OECD</w:t>
            </w:r>
          </w:p>
        </w:tc>
        <w:tc>
          <w:tcPr>
            <w:tcW w:w="8600" w:type="dxa"/>
            <w:vAlign w:val="bottom"/>
          </w:tcPr>
          <w:p>
            <w:pPr>
              <w:ind w:left="20"/>
              <w:spacing w:after="0"/>
              <w:rPr>
                <w:sz w:val="20"/>
                <w:szCs w:val="20"/>
                <w:color w:val="auto"/>
              </w:rPr>
            </w:pPr>
            <w:r>
              <w:rPr>
                <w:rFonts w:ascii="Arial" w:cs="Arial" w:eastAsia="Arial" w:hAnsi="Arial"/>
                <w:sz w:val="15"/>
                <w:szCs w:val="15"/>
                <w:color w:val="auto"/>
              </w:rPr>
              <w:t>Organisation for Economic Co-operation and Development</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Order</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Administrative order</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OSA</w:t>
            </w:r>
          </w:p>
        </w:tc>
        <w:tc>
          <w:tcPr>
            <w:tcW w:w="8600" w:type="dxa"/>
            <w:vAlign w:val="bottom"/>
          </w:tcPr>
          <w:p>
            <w:pPr>
              <w:ind w:left="20"/>
              <w:spacing w:after="0"/>
              <w:rPr>
                <w:sz w:val="20"/>
                <w:szCs w:val="20"/>
                <w:color w:val="auto"/>
              </w:rPr>
            </w:pPr>
            <w:r>
              <w:rPr>
                <w:rFonts w:ascii="Arial" w:cs="Arial" w:eastAsia="Arial" w:hAnsi="Arial"/>
                <w:sz w:val="15"/>
                <w:szCs w:val="15"/>
                <w:color w:val="auto"/>
              </w:rPr>
              <w:t>Obstructive sleep apnea</w:t>
            </w:r>
          </w:p>
        </w:tc>
      </w:tr>
      <w:tr>
        <w:trPr>
          <w:trHeight w:val="685"/>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0" w:type="dxa"/>
            <w:vAlign w:val="bottom"/>
          </w:tcPr>
          <w:p>
            <w:pPr>
              <w:ind w:left="3000"/>
              <w:spacing w:after="0"/>
              <w:rPr>
                <w:sz w:val="20"/>
                <w:szCs w:val="20"/>
                <w:color w:val="auto"/>
              </w:rPr>
            </w:pPr>
            <w:r>
              <w:rPr>
                <w:rFonts w:ascii="Arial" w:cs="Arial" w:eastAsia="Arial" w:hAnsi="Arial"/>
                <w:sz w:val="15"/>
                <w:szCs w:val="15"/>
                <w:color w:val="auto"/>
              </w:rPr>
              <w:t>3</w:t>
            </w:r>
          </w:p>
        </w:tc>
      </w:tr>
      <w:tr>
        <w:trPr>
          <w:trHeight w:val="201"/>
        </w:trPr>
        <w:tc>
          <w:tcPr>
            <w:tcW w:w="25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6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2"/>
        </w:trPr>
        <w:tc>
          <w:tcPr>
            <w:tcW w:w="254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Abbreviation</w:t>
            </w:r>
          </w:p>
        </w:tc>
        <w:tc>
          <w:tcPr>
            <w:tcW w:w="120" w:type="dxa"/>
            <w:vAlign w:val="bottom"/>
            <w:tcBorders>
              <w:bottom w:val="single" w:sz="8" w:color="CCEEFF"/>
            </w:tcBorders>
          </w:tcPr>
          <w:p>
            <w:pPr>
              <w:spacing w:after="0"/>
              <w:rPr>
                <w:sz w:val="17"/>
                <w:szCs w:val="17"/>
                <w:color w:val="auto"/>
              </w:rPr>
            </w:pPr>
          </w:p>
        </w:tc>
        <w:tc>
          <w:tcPr>
            <w:tcW w:w="8600" w:type="dxa"/>
            <w:vAlign w:val="bottom"/>
            <w:tcBorders>
              <w:bottom w:val="single" w:sz="8" w:color="auto"/>
            </w:tcBorders>
          </w:tcPr>
          <w:p>
            <w:pPr>
              <w:ind w:left="3960"/>
              <w:spacing w:after="0"/>
              <w:rPr>
                <w:sz w:val="20"/>
                <w:szCs w:val="20"/>
                <w:color w:val="auto"/>
              </w:rPr>
            </w:pPr>
            <w:r>
              <w:rPr>
                <w:rFonts w:ascii="Arial" w:cs="Arial" w:eastAsia="Arial" w:hAnsi="Arial"/>
                <w:sz w:val="15"/>
                <w:szCs w:val="15"/>
                <w:b w:val="1"/>
                <w:bCs w:val="1"/>
                <w:color w:val="auto"/>
              </w:rPr>
              <w:t>Definition</w:t>
            </w:r>
          </w:p>
        </w:tc>
      </w:tr>
      <w:tr>
        <w:trPr>
          <w:trHeight w:val="189"/>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OSPREY clinical trial</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LivaNova’s clinical trial, “Treating Obstructive Sleep Apnea using Targeted Hypoglossal Neurostimulation”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Public Administrations</w:t>
            </w:r>
          </w:p>
        </w:tc>
        <w:tc>
          <w:tcPr>
            <w:tcW w:w="8600" w:type="dxa"/>
            <w:vAlign w:val="bottom"/>
          </w:tcPr>
          <w:p>
            <w:pPr>
              <w:ind w:left="20"/>
              <w:spacing w:after="0"/>
              <w:rPr>
                <w:sz w:val="20"/>
                <w:szCs w:val="20"/>
                <w:color w:val="auto"/>
              </w:rPr>
            </w:pPr>
            <w:r>
              <w:rPr>
                <w:rFonts w:ascii="Arial" w:cs="Arial" w:eastAsia="Arial" w:hAnsi="Arial"/>
                <w:sz w:val="15"/>
                <w:szCs w:val="15"/>
                <w:color w:val="auto"/>
              </w:rPr>
              <w:t>The Italian Ministry of the Environment and other Italian government agencies</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R&amp;D</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r>
      <w:tr>
        <w:trPr>
          <w:trHeight w:val="152"/>
        </w:trPr>
        <w:tc>
          <w:tcPr>
            <w:tcW w:w="2660" w:type="dxa"/>
            <w:vAlign w:val="bottom"/>
            <w:gridSpan w:val="2"/>
          </w:tcPr>
          <w:p>
            <w:pPr>
              <w:spacing w:after="0" w:line="152" w:lineRule="exact"/>
              <w:rPr>
                <w:sz w:val="20"/>
                <w:szCs w:val="20"/>
                <w:color w:val="auto"/>
              </w:rPr>
            </w:pPr>
            <w:r>
              <w:rPr>
                <w:rFonts w:ascii="Arial" w:cs="Arial" w:eastAsia="Arial" w:hAnsi="Arial"/>
                <w:sz w:val="15"/>
                <w:szCs w:val="15"/>
                <w:color w:val="auto"/>
              </w:rPr>
              <w:t>RECOVER clinical study</w:t>
            </w:r>
          </w:p>
        </w:tc>
        <w:tc>
          <w:tcPr>
            <w:tcW w:w="8600" w:type="dxa"/>
            <w:vAlign w:val="bottom"/>
          </w:tcPr>
          <w:p>
            <w:pPr>
              <w:ind w:left="20"/>
              <w:spacing w:after="0" w:line="152" w:lineRule="exact"/>
              <w:rPr>
                <w:sz w:val="20"/>
                <w:szCs w:val="20"/>
                <w:color w:val="auto"/>
              </w:rPr>
            </w:pPr>
            <w:r>
              <w:rPr>
                <w:rFonts w:ascii="Arial" w:cs="Arial" w:eastAsia="Arial" w:hAnsi="Arial"/>
                <w:sz w:val="15"/>
                <w:szCs w:val="15"/>
                <w:color w:val="auto"/>
              </w:rPr>
              <w:t>LivaNova’s clinical study “A Prospective, Multi-center, Randomized Controlled Blinded Trial Demonstrating the Safety and</w:t>
            </w:r>
          </w:p>
        </w:tc>
      </w:tr>
      <w:tr>
        <w:trPr>
          <w:trHeight w:val="163"/>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0" w:type="dxa"/>
            <w:vAlign w:val="bottom"/>
          </w:tcPr>
          <w:p>
            <w:pPr>
              <w:ind w:left="20"/>
              <w:spacing w:after="0" w:line="163" w:lineRule="exact"/>
              <w:rPr>
                <w:sz w:val="20"/>
                <w:szCs w:val="20"/>
                <w:color w:val="auto"/>
              </w:rPr>
            </w:pPr>
            <w:r>
              <w:rPr>
                <w:rFonts w:ascii="Arial" w:cs="Arial" w:eastAsia="Arial" w:hAnsi="Arial"/>
                <w:sz w:val="15"/>
                <w:szCs w:val="15"/>
                <w:color w:val="auto"/>
                <w:w w:val="97"/>
              </w:rPr>
              <w:t>Effectiveness of VNS Therapy System as Adjunctive Therapy Versus a No Stimulation Control in Subjects With Treatment-Resistant</w:t>
            </w:r>
          </w:p>
        </w:tc>
      </w:tr>
      <w:tr>
        <w:trPr>
          <w:trHeight w:val="196"/>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0" w:type="dxa"/>
            <w:vAlign w:val="bottom"/>
          </w:tcPr>
          <w:p>
            <w:pPr>
              <w:ind w:left="20"/>
              <w:spacing w:after="0"/>
              <w:rPr>
                <w:sz w:val="20"/>
                <w:szCs w:val="20"/>
                <w:color w:val="auto"/>
              </w:rPr>
            </w:pPr>
            <w:r>
              <w:rPr>
                <w:rFonts w:ascii="Arial" w:cs="Arial" w:eastAsia="Arial" w:hAnsi="Arial"/>
                <w:sz w:val="15"/>
                <w:szCs w:val="15"/>
                <w:color w:val="auto"/>
              </w:rPr>
              <w:t>Depression”</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RSUs</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Service-based restricted stock units</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SARs</w:t>
            </w:r>
          </w:p>
        </w:tc>
        <w:tc>
          <w:tcPr>
            <w:tcW w:w="8600" w:type="dxa"/>
            <w:vAlign w:val="bottom"/>
          </w:tcPr>
          <w:p>
            <w:pPr>
              <w:ind w:left="20"/>
              <w:spacing w:after="0"/>
              <w:rPr>
                <w:sz w:val="20"/>
                <w:szCs w:val="20"/>
                <w:color w:val="auto"/>
              </w:rPr>
            </w:pPr>
            <w:r>
              <w:rPr>
                <w:rFonts w:ascii="Arial" w:cs="Arial" w:eastAsia="Arial" w:hAnsi="Arial"/>
                <w:sz w:val="15"/>
                <w:szCs w:val="15"/>
                <w:color w:val="auto"/>
              </w:rPr>
              <w:t>Service-based stock appreciation rights</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SEC</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Securities and Exchange Commission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Securities Act</w:t>
            </w:r>
          </w:p>
        </w:tc>
        <w:tc>
          <w:tcPr>
            <w:tcW w:w="8600" w:type="dxa"/>
            <w:vAlign w:val="bottom"/>
          </w:tcPr>
          <w:p>
            <w:pPr>
              <w:ind w:left="20"/>
              <w:spacing w:after="0"/>
              <w:rPr>
                <w:sz w:val="20"/>
                <w:szCs w:val="20"/>
                <w:color w:val="auto"/>
              </w:rPr>
            </w:pPr>
            <w:r>
              <w:rPr>
                <w:rFonts w:ascii="Arial" w:cs="Arial" w:eastAsia="Arial" w:hAnsi="Arial"/>
                <w:sz w:val="15"/>
                <w:szCs w:val="15"/>
                <w:color w:val="auto"/>
              </w:rPr>
              <w:t>U.S. Securities Act of 1933, as amended</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SG&amp;A</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Selling, general and administrative expense</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SNIA</w:t>
            </w:r>
          </w:p>
        </w:tc>
        <w:tc>
          <w:tcPr>
            <w:tcW w:w="8600" w:type="dxa"/>
            <w:vAlign w:val="bottom"/>
          </w:tcPr>
          <w:p>
            <w:pPr>
              <w:ind w:left="20"/>
              <w:spacing w:after="0"/>
              <w:rPr>
                <w:sz w:val="20"/>
                <w:szCs w:val="20"/>
                <w:color w:val="auto"/>
              </w:rPr>
            </w:pPr>
            <w:r>
              <w:rPr>
                <w:rFonts w:ascii="Arial" w:cs="Arial" w:eastAsia="Arial" w:hAnsi="Arial"/>
                <w:sz w:val="15"/>
                <w:szCs w:val="15"/>
                <w:color w:val="auto"/>
              </w:rPr>
              <w:t>SNIA S.p.A.</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SNIA Litigation Guarantee</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 first demand bank guarantee of €270.0 million in connection with the SNIA litigation</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SOFR</w:t>
            </w:r>
          </w:p>
        </w:tc>
        <w:tc>
          <w:tcPr>
            <w:tcW w:w="8600" w:type="dxa"/>
            <w:vAlign w:val="bottom"/>
          </w:tcPr>
          <w:p>
            <w:pPr>
              <w:ind w:left="20"/>
              <w:spacing w:after="0"/>
              <w:rPr>
                <w:sz w:val="20"/>
                <w:szCs w:val="20"/>
                <w:color w:val="auto"/>
              </w:rPr>
            </w:pPr>
            <w:r>
              <w:rPr>
                <w:rFonts w:ascii="Arial" w:cs="Arial" w:eastAsia="Arial" w:hAnsi="Arial"/>
                <w:sz w:val="15"/>
                <w:szCs w:val="15"/>
                <w:color w:val="auto"/>
              </w:rPr>
              <w:t>Secured Overnight Financing Rate</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Sorin spin-off</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The spin-off of Sorin from SNIA in 2004</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Term Facilities</w:t>
            </w:r>
          </w:p>
        </w:tc>
        <w:tc>
          <w:tcPr>
            <w:tcW w:w="8600" w:type="dxa"/>
            <w:vAlign w:val="bottom"/>
          </w:tcPr>
          <w:p>
            <w:pPr>
              <w:ind w:left="20"/>
              <w:spacing w:after="0"/>
              <w:rPr>
                <w:sz w:val="20"/>
                <w:szCs w:val="20"/>
                <w:color w:val="auto"/>
              </w:rPr>
            </w:pPr>
            <w:r>
              <w:rPr>
                <w:rFonts w:ascii="Arial" w:cs="Arial" w:eastAsia="Arial" w:hAnsi="Arial"/>
                <w:sz w:val="15"/>
                <w:szCs w:val="15"/>
                <w:color w:val="auto"/>
              </w:rPr>
              <w:t>The Initial Term Facility, together with the Delayed Draw Term Facility</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UK</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Kingdom</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UK Act</w:t>
            </w:r>
          </w:p>
        </w:tc>
        <w:tc>
          <w:tcPr>
            <w:tcW w:w="8600" w:type="dxa"/>
            <w:vAlign w:val="bottom"/>
          </w:tcPr>
          <w:p>
            <w:pPr>
              <w:ind w:left="20"/>
              <w:spacing w:after="0"/>
              <w:rPr>
                <w:sz w:val="20"/>
                <w:szCs w:val="20"/>
                <w:color w:val="auto"/>
              </w:rPr>
            </w:pPr>
            <w:r>
              <w:rPr>
                <w:rFonts w:ascii="Arial" w:cs="Arial" w:eastAsia="Arial" w:hAnsi="Arial"/>
                <w:sz w:val="15"/>
                <w:szCs w:val="15"/>
                <w:color w:val="auto"/>
              </w:rPr>
              <w:t>Finance (No.2) Act 2023</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United States of America</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U.S. GAAP</w:t>
            </w:r>
          </w:p>
        </w:tc>
        <w:tc>
          <w:tcPr>
            <w:tcW w:w="8600" w:type="dxa"/>
            <w:vAlign w:val="bottom"/>
          </w:tcPr>
          <w:p>
            <w:pPr>
              <w:ind w:left="20"/>
              <w:spacing w:after="0"/>
              <w:rPr>
                <w:sz w:val="20"/>
                <w:szCs w:val="20"/>
                <w:color w:val="auto"/>
              </w:rPr>
            </w:pPr>
            <w:r>
              <w:rPr>
                <w:rFonts w:ascii="Arial" w:cs="Arial" w:eastAsia="Arial" w:hAnsi="Arial"/>
                <w:sz w:val="15"/>
                <w:szCs w:val="15"/>
                <w:color w:val="auto"/>
              </w:rPr>
              <w:t>Generally Accepted Accounting Principles in the U.S.</w:t>
            </w:r>
          </w:p>
        </w:tc>
      </w:tr>
      <w:tr>
        <w:trPr>
          <w:trHeight w:val="198"/>
        </w:trPr>
        <w:tc>
          <w:tcPr>
            <w:tcW w:w="26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USD</w:t>
            </w:r>
          </w:p>
        </w:tc>
        <w:tc>
          <w:tcPr>
            <w:tcW w:w="860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dollar</w:t>
            </w:r>
          </w:p>
        </w:tc>
      </w:tr>
      <w:tr>
        <w:trPr>
          <w:trHeight w:val="197"/>
        </w:trPr>
        <w:tc>
          <w:tcPr>
            <w:tcW w:w="2660" w:type="dxa"/>
            <w:vAlign w:val="bottom"/>
            <w:gridSpan w:val="2"/>
          </w:tcPr>
          <w:p>
            <w:pPr>
              <w:spacing w:after="0"/>
              <w:rPr>
                <w:sz w:val="20"/>
                <w:szCs w:val="20"/>
                <w:color w:val="auto"/>
              </w:rPr>
            </w:pPr>
            <w:r>
              <w:rPr>
                <w:rFonts w:ascii="Arial" w:cs="Arial" w:eastAsia="Arial" w:hAnsi="Arial"/>
                <w:sz w:val="15"/>
                <w:szCs w:val="15"/>
                <w:color w:val="auto"/>
              </w:rPr>
              <w:t>VNS</w:t>
            </w:r>
          </w:p>
        </w:tc>
        <w:tc>
          <w:tcPr>
            <w:tcW w:w="8600" w:type="dxa"/>
            <w:vAlign w:val="bottom"/>
          </w:tcPr>
          <w:p>
            <w:pPr>
              <w:ind w:left="20"/>
              <w:spacing w:after="0"/>
              <w:rPr>
                <w:sz w:val="20"/>
                <w:szCs w:val="20"/>
                <w:color w:val="auto"/>
              </w:rPr>
            </w:pPr>
            <w:r>
              <w:rPr>
                <w:rFonts w:ascii="Arial" w:cs="Arial" w:eastAsia="Arial" w:hAnsi="Arial"/>
                <w:sz w:val="15"/>
                <w:szCs w:val="15"/>
                <w:color w:val="auto"/>
              </w:rPr>
              <w:t>Vagus nerve stimulation</w:t>
            </w:r>
          </w:p>
        </w:tc>
      </w:tr>
    </w:tbl>
    <w:p>
      <w:pPr>
        <w:spacing w:after="0" w:line="367" w:lineRule="exact"/>
        <w:rPr>
          <w:sz w:val="20"/>
          <w:szCs w:val="20"/>
          <w:color w:val="auto"/>
        </w:rPr>
      </w:pPr>
    </w:p>
    <w:p>
      <w:pPr>
        <w:ind w:left="140" w:right="3140" w:firstLine="3138"/>
        <w:spacing w:after="0" w:line="302" w:lineRule="auto"/>
        <w:rPr>
          <w:sz w:val="20"/>
          <w:szCs w:val="20"/>
          <w:color w:val="auto"/>
        </w:rPr>
      </w:pPr>
      <w:r>
        <w:rPr>
          <w:rFonts w:ascii="Arial" w:cs="Arial" w:eastAsia="Arial" w:hAnsi="Arial"/>
          <w:sz w:val="15"/>
          <w:szCs w:val="15"/>
          <w:b w:val="1"/>
          <w:bCs w:val="1"/>
          <w:color w:val="auto"/>
        </w:rPr>
        <w:t xml:space="preserve">INTELLECTUAL PROPERTY, TRADEMARKS AND TRADE NAMES </w:t>
      </w:r>
      <w:r>
        <w:rPr>
          <w:rFonts w:ascii="Arial" w:cs="Arial" w:eastAsia="Arial" w:hAnsi="Arial"/>
          <w:sz w:val="15"/>
          <w:szCs w:val="15"/>
          <w:color w:val="auto"/>
        </w:rPr>
        <w:t>This report may contain references to LivaNova’s proprietary intellectual property, including among others:</w:t>
      </w:r>
    </w:p>
    <w:p>
      <w:pPr>
        <w:jc w:val="both"/>
        <w:ind w:left="560" w:right="220" w:hanging="288"/>
        <w:spacing w:after="0" w:line="185" w:lineRule="auto"/>
        <w:tabs>
          <w:tab w:leader="none" w:pos="5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Trademarks for LivaNova’s Neuromodulation systems, the VNS Therapy</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System, the VITARIA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System and LivaNova’s proprietary pulse generator products: Model 102 (Pulse</w:t>
      </w:r>
      <w:r>
        <w:rPr>
          <w:rFonts w:ascii="Arial" w:cs="Arial" w:eastAsia="Arial" w:hAnsi="Arial"/>
          <w:sz w:val="21"/>
          <w:szCs w:val="21"/>
          <w:color w:val="auto"/>
          <w:vertAlign w:val="superscript"/>
        </w:rPr>
        <w:t>™</w:t>
      </w:r>
      <w:r>
        <w:rPr>
          <w:rFonts w:ascii="Arial" w:cs="Arial" w:eastAsia="Arial" w:hAnsi="Arial"/>
          <w:sz w:val="14"/>
          <w:szCs w:val="14"/>
          <w:color w:val="auto"/>
        </w:rPr>
        <w:t>), Model 102R (Pulse Duo</w:t>
      </w:r>
      <w:r>
        <w:rPr>
          <w:rFonts w:ascii="Arial" w:cs="Arial" w:eastAsia="Arial" w:hAnsi="Arial"/>
          <w:sz w:val="21"/>
          <w:szCs w:val="21"/>
          <w:color w:val="auto"/>
          <w:vertAlign w:val="superscript"/>
        </w:rPr>
        <w:t>™</w:t>
      </w:r>
      <w:r>
        <w:rPr>
          <w:rFonts w:ascii="Arial" w:cs="Arial" w:eastAsia="Arial" w:hAnsi="Arial"/>
          <w:sz w:val="14"/>
          <w:szCs w:val="14"/>
          <w:color w:val="auto"/>
        </w:rPr>
        <w:t>), Model 103 (Demipulse</w:t>
      </w:r>
      <w:r>
        <w:rPr>
          <w:rFonts w:ascii="Arial" w:cs="Arial" w:eastAsia="Arial" w:hAnsi="Arial"/>
          <w:sz w:val="21"/>
          <w:szCs w:val="21"/>
          <w:color w:val="auto"/>
          <w:vertAlign w:val="superscript"/>
        </w:rPr>
        <w:t>™</w:t>
      </w:r>
      <w:r>
        <w:rPr>
          <w:rFonts w:ascii="Arial" w:cs="Arial" w:eastAsia="Arial" w:hAnsi="Arial"/>
          <w:sz w:val="14"/>
          <w:szCs w:val="14"/>
          <w:color w:val="auto"/>
        </w:rPr>
        <w:t>), Model 104 (Demipulse Duo</w:t>
      </w:r>
      <w:r>
        <w:rPr>
          <w:rFonts w:ascii="Arial" w:cs="Arial" w:eastAsia="Arial" w:hAnsi="Arial"/>
          <w:sz w:val="21"/>
          <w:szCs w:val="21"/>
          <w:color w:val="auto"/>
          <w:vertAlign w:val="superscript"/>
        </w:rPr>
        <w:t>™</w:t>
      </w:r>
      <w:r>
        <w:rPr>
          <w:rFonts w:ascii="Arial" w:cs="Arial" w:eastAsia="Arial" w:hAnsi="Arial"/>
          <w:sz w:val="14"/>
          <w:szCs w:val="14"/>
          <w:color w:val="auto"/>
        </w:rPr>
        <w:t>), Model 106 (AspireSR</w:t>
      </w:r>
      <w:r>
        <w:rPr>
          <w:rFonts w:ascii="Arial" w:cs="Arial" w:eastAsia="Arial" w:hAnsi="Arial"/>
          <w:sz w:val="21"/>
          <w:szCs w:val="21"/>
          <w:color w:val="auto"/>
          <w:vertAlign w:val="superscript"/>
        </w:rPr>
        <w:t>™</w:t>
      </w:r>
      <w:r>
        <w:rPr>
          <w:rFonts w:ascii="Arial" w:cs="Arial" w:eastAsia="Arial" w:hAnsi="Arial"/>
          <w:sz w:val="14"/>
          <w:szCs w:val="14"/>
          <w:color w:val="auto"/>
        </w:rPr>
        <w:t>), Model 1000 (SenTiva</w:t>
      </w:r>
      <w:r>
        <w:rPr>
          <w:rFonts w:ascii="Arial" w:cs="Arial" w:eastAsia="Arial" w:hAnsi="Arial"/>
          <w:sz w:val="21"/>
          <w:szCs w:val="21"/>
          <w:color w:val="auto"/>
          <w:vertAlign w:val="superscript"/>
        </w:rPr>
        <w:t>™</w:t>
      </w:r>
      <w:r>
        <w:rPr>
          <w:rFonts w:ascii="Arial" w:cs="Arial" w:eastAsia="Arial" w:hAnsi="Arial"/>
          <w:sz w:val="14"/>
          <w:szCs w:val="14"/>
          <w:color w:val="auto"/>
        </w:rPr>
        <w:t>), Model 1000-D (SenTiva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Duo), Model 7103 (VITARIA</w:t>
      </w:r>
      <w:r>
        <w:rPr>
          <w:rFonts w:ascii="Arial" w:cs="Arial" w:eastAsia="Arial" w:hAnsi="Arial"/>
          <w:sz w:val="21"/>
          <w:szCs w:val="21"/>
          <w:color w:val="auto"/>
          <w:vertAlign w:val="superscript"/>
        </w:rPr>
        <w:t>™</w:t>
      </w:r>
      <w:r>
        <w:rPr>
          <w:rFonts w:ascii="Arial" w:cs="Arial" w:eastAsia="Arial" w:hAnsi="Arial"/>
          <w:sz w:val="14"/>
          <w:szCs w:val="14"/>
          <w:color w:val="auto"/>
        </w:rPr>
        <w:t xml:space="preserve"> and TitrationAssist</w:t>
      </w:r>
      <w:r>
        <w:rPr>
          <w:rFonts w:ascii="Arial" w:cs="Arial" w:eastAsia="Arial" w:hAnsi="Arial"/>
          <w:sz w:val="21"/>
          <w:szCs w:val="21"/>
          <w:color w:val="auto"/>
          <w:vertAlign w:val="superscript"/>
        </w:rPr>
        <w:t>™</w:t>
      </w:r>
      <w:r>
        <w:rPr>
          <w:rFonts w:ascii="Arial" w:cs="Arial" w:eastAsia="Arial" w:hAnsi="Arial"/>
          <w:sz w:val="14"/>
          <w:szCs w:val="14"/>
          <w:color w:val="auto"/>
        </w:rPr>
        <w:t>) and Model 8103 (Symmetry</w:t>
      </w:r>
      <w:r>
        <w:rPr>
          <w:rFonts w:ascii="Arial" w:cs="Arial" w:eastAsia="Arial" w:hAnsi="Arial"/>
          <w:sz w:val="21"/>
          <w:szCs w:val="21"/>
          <w:color w:val="auto"/>
          <w:vertAlign w:val="superscript"/>
        </w:rPr>
        <w:t>™</w:t>
      </w:r>
      <w:r>
        <w:rPr>
          <w:rFonts w:ascii="Arial" w:cs="Arial" w:eastAsia="Arial" w:hAnsi="Arial"/>
          <w:sz w:val="14"/>
          <w:szCs w:val="14"/>
          <w:color w:val="auto"/>
        </w:rPr>
        <w:t>).</w:t>
      </w:r>
    </w:p>
    <w:p>
      <w:pPr>
        <w:ind w:left="560" w:right="420" w:hanging="288"/>
        <w:spacing w:after="0" w:line="187" w:lineRule="auto"/>
        <w:tabs>
          <w:tab w:leader="none" w:pos="556" w:val="left"/>
        </w:tabs>
        <w:numPr>
          <w:ilvl w:val="0"/>
          <w:numId w:val="3"/>
        </w:numPr>
        <w:rPr>
          <w:rFonts w:ascii="Arial" w:cs="Arial" w:eastAsia="Arial" w:hAnsi="Arial"/>
          <w:sz w:val="14"/>
          <w:szCs w:val="14"/>
          <w:color w:val="auto"/>
        </w:rPr>
      </w:pPr>
      <w:r>
        <w:rPr>
          <w:rFonts w:ascii="Arial" w:cs="Arial" w:eastAsia="Arial" w:hAnsi="Arial"/>
          <w:sz w:val="14"/>
          <w:szCs w:val="14"/>
          <w:color w:val="auto"/>
        </w:rPr>
        <w:t>Trademarks for LivaNova’s Cardiopulmonary products and systems: Essenz™, S5</w:t>
      </w:r>
      <w:r>
        <w:rPr>
          <w:rFonts w:ascii="Arial" w:cs="Arial" w:eastAsia="Arial" w:hAnsi="Arial"/>
          <w:sz w:val="22"/>
          <w:szCs w:val="22"/>
          <w:color w:val="auto"/>
          <w:vertAlign w:val="superscript"/>
        </w:rPr>
        <w:t>™</w:t>
      </w:r>
      <w:r>
        <w:rPr>
          <w:rFonts w:ascii="Arial" w:cs="Arial" w:eastAsia="Arial" w:hAnsi="Arial"/>
          <w:sz w:val="14"/>
          <w:szCs w:val="14"/>
          <w:color w:val="auto"/>
        </w:rPr>
        <w:t>, S3</w:t>
      </w:r>
      <w:r>
        <w:rPr>
          <w:rFonts w:ascii="Arial" w:cs="Arial" w:eastAsia="Arial" w:hAnsi="Arial"/>
          <w:sz w:val="22"/>
          <w:szCs w:val="22"/>
          <w:color w:val="auto"/>
          <w:vertAlign w:val="superscript"/>
        </w:rPr>
        <w:t>™</w:t>
      </w:r>
      <w:r>
        <w:rPr>
          <w:rFonts w:ascii="Arial" w:cs="Arial" w:eastAsia="Arial" w:hAnsi="Arial"/>
          <w:sz w:val="14"/>
          <w:szCs w:val="14"/>
          <w:color w:val="auto"/>
        </w:rPr>
        <w:t>, S5 Pro™, B-Capta</w:t>
      </w:r>
      <w:r>
        <w:rPr>
          <w:rFonts w:ascii="Arial" w:cs="Arial" w:eastAsia="Arial" w:hAnsi="Arial"/>
          <w:sz w:val="22"/>
          <w:szCs w:val="22"/>
          <w:color w:val="auto"/>
          <w:vertAlign w:val="superscript"/>
        </w:rPr>
        <w:t>™</w:t>
      </w:r>
      <w:r>
        <w:rPr>
          <w:rFonts w:ascii="Arial" w:cs="Arial" w:eastAsia="Arial" w:hAnsi="Arial"/>
          <w:sz w:val="14"/>
          <w:szCs w:val="14"/>
          <w:color w:val="auto"/>
        </w:rPr>
        <w:t>, Inspire</w:t>
      </w:r>
      <w:r>
        <w:rPr>
          <w:rFonts w:ascii="Arial" w:cs="Arial" w:eastAsia="Arial" w:hAnsi="Arial"/>
          <w:sz w:val="22"/>
          <w:szCs w:val="22"/>
          <w:color w:val="auto"/>
          <w:vertAlign w:val="superscript"/>
        </w:rPr>
        <w:t>™</w:t>
      </w:r>
      <w:r>
        <w:rPr>
          <w:rFonts w:ascii="Arial" w:cs="Arial" w:eastAsia="Arial" w:hAnsi="Arial"/>
          <w:sz w:val="14"/>
          <w:szCs w:val="14"/>
          <w:color w:val="auto"/>
        </w:rPr>
        <w:t>, Heartlink</w:t>
      </w:r>
      <w:r>
        <w:rPr>
          <w:rFonts w:ascii="Arial" w:cs="Arial" w:eastAsia="Arial" w:hAnsi="Arial"/>
          <w:sz w:val="22"/>
          <w:szCs w:val="22"/>
          <w:color w:val="auto"/>
          <w:vertAlign w:val="superscript"/>
        </w:rPr>
        <w:t>™</w:t>
      </w:r>
      <w:r>
        <w:rPr>
          <w:rFonts w:ascii="Arial" w:cs="Arial" w:eastAsia="Arial" w:hAnsi="Arial"/>
          <w:sz w:val="14"/>
          <w:szCs w:val="14"/>
          <w:color w:val="auto"/>
        </w:rPr>
        <w:t>, XTRA</w:t>
      </w:r>
      <w:r>
        <w:rPr>
          <w:rFonts w:ascii="Arial" w:cs="Arial" w:eastAsia="Arial" w:hAnsi="Arial"/>
          <w:sz w:val="22"/>
          <w:szCs w:val="22"/>
          <w:color w:val="auto"/>
          <w:vertAlign w:val="superscript"/>
        </w:rPr>
        <w:t>™</w:t>
      </w:r>
      <w:r>
        <w:rPr>
          <w:rFonts w:ascii="Arial" w:cs="Arial" w:eastAsia="Arial" w:hAnsi="Arial"/>
          <w:sz w:val="14"/>
          <w:szCs w:val="14"/>
          <w:color w:val="auto"/>
        </w:rPr>
        <w:t>, 3T Heater-Cooler</w:t>
      </w:r>
      <w:r>
        <w:rPr>
          <w:rFonts w:ascii="Arial" w:cs="Arial" w:eastAsia="Arial" w:hAnsi="Arial"/>
          <w:sz w:val="22"/>
          <w:szCs w:val="22"/>
          <w:color w:val="auto"/>
          <w:vertAlign w:val="superscript"/>
        </w:rPr>
        <w:t>™</w:t>
      </w:r>
      <w:r>
        <w:rPr>
          <w:rFonts w:ascii="Arial" w:cs="Arial" w:eastAsia="Arial" w:hAnsi="Arial"/>
          <w:sz w:val="14"/>
          <w:szCs w:val="14"/>
          <w:color w:val="auto"/>
        </w:rPr>
        <w:t>, Connect™ and Revolution</w:t>
      </w:r>
      <w:r>
        <w:rPr>
          <w:rFonts w:ascii="Arial" w:cs="Arial" w:eastAsia="Arial" w:hAnsi="Arial"/>
          <w:sz w:val="22"/>
          <w:szCs w:val="22"/>
          <w:color w:val="auto"/>
          <w:vertAlign w:val="superscript"/>
        </w:rPr>
        <w:t>™</w:t>
      </w:r>
      <w:r>
        <w:rPr>
          <w:rFonts w:ascii="Arial" w:cs="Arial" w:eastAsia="Arial" w:hAnsi="Arial"/>
          <w:sz w:val="17"/>
          <w:szCs w:val="17"/>
          <w:color w:val="auto"/>
        </w:rPr>
        <w:t>.</w:t>
      </w:r>
    </w:p>
    <w:p>
      <w:pPr>
        <w:ind w:left="560" w:right="220" w:hanging="288"/>
        <w:spacing w:after="0" w:line="183" w:lineRule="auto"/>
        <w:tabs>
          <w:tab w:leader="none" w:pos="556"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LivaNova’s advanced circulatory support systems: TandemLife</w:t>
      </w:r>
      <w:r>
        <w:rPr>
          <w:rFonts w:ascii="Arial" w:cs="Arial" w:eastAsia="Arial" w:hAnsi="Arial"/>
          <w:sz w:val="23"/>
          <w:szCs w:val="23"/>
          <w:color w:val="auto"/>
          <w:vertAlign w:val="superscript"/>
        </w:rPr>
        <w:t>™</w:t>
      </w:r>
      <w:r>
        <w:rPr>
          <w:rFonts w:ascii="Arial" w:cs="Arial" w:eastAsia="Arial" w:hAnsi="Arial"/>
          <w:sz w:val="15"/>
          <w:szCs w:val="15"/>
          <w:color w:val="auto"/>
        </w:rPr>
        <w:t>, TandemHeart</w:t>
      </w:r>
      <w:r>
        <w:rPr>
          <w:rFonts w:ascii="Arial" w:cs="Arial" w:eastAsia="Arial" w:hAnsi="Arial"/>
          <w:sz w:val="23"/>
          <w:szCs w:val="23"/>
          <w:color w:val="auto"/>
          <w:vertAlign w:val="superscript"/>
        </w:rPr>
        <w:t>™</w:t>
      </w:r>
      <w:r>
        <w:rPr>
          <w:rFonts w:ascii="Arial" w:cs="Arial" w:eastAsia="Arial" w:hAnsi="Arial"/>
          <w:sz w:val="15"/>
          <w:szCs w:val="15"/>
          <w:color w:val="auto"/>
        </w:rPr>
        <w:t>, TandemLung</w:t>
      </w:r>
      <w:r>
        <w:rPr>
          <w:rFonts w:ascii="Arial" w:cs="Arial" w:eastAsia="Arial" w:hAnsi="Arial"/>
          <w:sz w:val="23"/>
          <w:szCs w:val="23"/>
          <w:color w:val="auto"/>
          <w:vertAlign w:val="superscript"/>
        </w:rPr>
        <w:t>™</w:t>
      </w:r>
      <w:r>
        <w:rPr>
          <w:rFonts w:ascii="Arial" w:cs="Arial" w:eastAsia="Arial" w:hAnsi="Arial"/>
          <w:sz w:val="15"/>
          <w:szCs w:val="15"/>
          <w:color w:val="auto"/>
        </w:rPr>
        <w:t>, ProtekDuo</w:t>
      </w:r>
      <w:r>
        <w:rPr>
          <w:rFonts w:ascii="Arial" w:cs="Arial" w:eastAsia="Arial" w:hAnsi="Arial"/>
          <w:sz w:val="23"/>
          <w:szCs w:val="23"/>
          <w:color w:val="auto"/>
          <w:vertAlign w:val="superscript"/>
        </w:rPr>
        <w:t>™,</w:t>
      </w:r>
      <w:r>
        <w:rPr>
          <w:rFonts w:ascii="Arial" w:cs="Arial" w:eastAsia="Arial" w:hAnsi="Arial"/>
          <w:sz w:val="15"/>
          <w:szCs w:val="15"/>
          <w:color w:val="auto"/>
        </w:rPr>
        <w:t xml:space="preserve"> LifeSPARC™, ALung™, Hemolung™, Respiratory Dialysis™ and ActivMix™.</w:t>
      </w:r>
    </w:p>
    <w:p>
      <w:pPr>
        <w:spacing w:after="0" w:line="1" w:lineRule="exact"/>
        <w:rPr>
          <w:rFonts w:ascii="Arial" w:cs="Arial" w:eastAsia="Arial" w:hAnsi="Arial"/>
          <w:sz w:val="15"/>
          <w:szCs w:val="15"/>
          <w:color w:val="auto"/>
        </w:rPr>
      </w:pPr>
    </w:p>
    <w:p>
      <w:pPr>
        <w:ind w:left="540" w:hanging="268"/>
        <w:spacing w:after="0"/>
        <w:tabs>
          <w:tab w:leader="none" w:pos="5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Trademarks for LivaNova’s obstructive sleep apnea system: ImThera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aura6000</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5" w:lineRule="exact"/>
        <w:rPr>
          <w:sz w:val="20"/>
          <w:szCs w:val="20"/>
          <w:color w:val="auto"/>
        </w:rPr>
      </w:pPr>
    </w:p>
    <w:p>
      <w:pPr>
        <w:jc w:val="both"/>
        <w:ind w:right="140" w:firstLine="139"/>
        <w:spacing w:after="0" w:line="231" w:lineRule="auto"/>
        <w:rPr>
          <w:sz w:val="20"/>
          <w:szCs w:val="20"/>
          <w:color w:val="auto"/>
        </w:rPr>
      </w:pPr>
      <w:r>
        <w:rPr>
          <w:rFonts w:ascii="Arial" w:cs="Arial" w:eastAsia="Arial" w:hAnsi="Arial"/>
          <w:sz w:val="14"/>
          <w:szCs w:val="14"/>
          <w:color w:val="auto"/>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Quarterly Report on Form 10-Q may appear without the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symbol, but such references are not intended to indicate in any way that the Company will not assert, to the fullest extent under applicable law, LivaNova’s rights to these trademarks and trade names.</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CAUTIONARY NOTE ABOUT FORWARD-LOOKING STATEMENTS</w:t>
      </w:r>
    </w:p>
    <w:p>
      <w:pPr>
        <w:spacing w:after="0" w:line="101" w:lineRule="exact"/>
        <w:rPr>
          <w:sz w:val="20"/>
          <w:szCs w:val="20"/>
          <w:color w:val="auto"/>
        </w:rPr>
      </w:pPr>
    </w:p>
    <w:p>
      <w:pPr>
        <w:ind w:right="20" w:firstLine="139"/>
        <w:spacing w:after="0" w:line="255" w:lineRule="auto"/>
        <w:rPr>
          <w:sz w:val="20"/>
          <w:szCs w:val="20"/>
          <w:color w:val="auto"/>
        </w:rPr>
      </w:pPr>
      <w:r>
        <w:rPr>
          <w:rFonts w:ascii="Arial" w:cs="Arial" w:eastAsia="Arial" w:hAnsi="Arial"/>
          <w:sz w:val="14"/>
          <w:szCs w:val="14"/>
          <w:color w:val="auto"/>
        </w:rPr>
        <w:t>Certain statements in this Quarterly Report on Form 10-Q,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Quarterly Report on Form 10-Q, and include, but are not limited to, the following risks and uncertainties: volatility in the global market and worldwide economic conditions, including as caused by the invasion of Ukraine, the evolving instability in the Middle East, inflation,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losses or costs from pending or future lawsuits and governmental investigations, including in the case of the Company’s 3T Heater-Cooler and SNIA litigations; risks related to reductions, interruptions or increasing costs related to the supply of raw materials and components and the distribution of finished products, including as a result of inflation, war and extreme weather;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impact of climate change and the risk of environmental, social and governance pressures from internal and external stakeholders; the risk of quality concerns and the impacts thereof; failure to protect the Company’s proprietary intellectual property; the potential loss of funds resulting from recent and potential future bank failures; failure of new acquisitions to further the Company’s strategic objectives or strengthen the Company’s existing businesses; the potential for impairments of intangible assets and goodwill; risks relating to the Company’s indebtedness including under the exchangeable senior notes, the Company’s revolving credit facility and the Company’s 2022 Term Facilities, as defined herein;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spacing w:after="0" w:line="61" w:lineRule="exact"/>
        <w:rPr>
          <w:sz w:val="20"/>
          <w:szCs w:val="20"/>
          <w:color w:val="auto"/>
        </w:rPr>
      </w:pPr>
    </w:p>
    <w:p>
      <w:pPr>
        <w:ind w:right="100" w:firstLine="139"/>
        <w:spacing w:after="0" w:line="250" w:lineRule="auto"/>
        <w:rPr>
          <w:sz w:val="20"/>
          <w:szCs w:val="20"/>
          <w:color w:val="auto"/>
        </w:rPr>
      </w:pPr>
      <w:r>
        <w:rPr>
          <w:rFonts w:ascii="Arial" w:cs="Arial" w:eastAsia="Arial" w:hAnsi="Arial"/>
          <w:sz w:val="15"/>
          <w:szCs w:val="15"/>
          <w:color w:val="auto"/>
        </w:rPr>
        <w:t>Other factors that could cause LivaNova’s actual results to differ from projected results are described in (1) “Part II, Item 1A. Risk Factors” and elsewhere in this and the Company’s other Quarterly Reports on Form 10-Q, (2) the Company’s 2022 Form 10-K, (3) the Company’s reports and registration statements filed and furnished from time to time with the SEC and (4) other announcements LivaNova makes from time to time.</w:t>
      </w:r>
    </w:p>
    <w:p>
      <w:pPr>
        <w:spacing w:after="0" w:line="65" w:lineRule="exact"/>
        <w:rPr>
          <w:sz w:val="20"/>
          <w:szCs w:val="20"/>
          <w:color w:val="auto"/>
        </w:rPr>
      </w:pPr>
    </w:p>
    <w:p>
      <w:pPr>
        <w:ind w:firstLine="139"/>
        <w:spacing w:after="0" w:line="242" w:lineRule="auto"/>
        <w:rPr>
          <w:sz w:val="20"/>
          <w:szCs w:val="20"/>
          <w:color w:val="auto"/>
        </w:rPr>
      </w:pPr>
      <w:r>
        <w:rPr>
          <w:rFonts w:ascii="Arial" w:cs="Arial" w:eastAsia="Arial" w:hAnsi="Arial"/>
          <w:sz w:val="15"/>
          <w:szCs w:val="15"/>
          <w:color w:val="auto"/>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You should read the following discussion and analysis in conjunction with the Company’s unaudited condensed consolidated financial statements and related notes included elsewhere in this report. Operating results for the nine months ended September 30, 2023, are not necessarily indicative of future results, including the full fiscal year. You should also refer to the Company’s “Annual Consolidated Financial Statements,” “Notes” thereto, “Management’s Discussion and Analysis of Financial Condition and Results of Operations” and “Risk Factors” contained in LivaNova’s 2022 Form 10-K and in the Company’s Quarterly Reports on Form 10-Q.</w:t>
      </w:r>
    </w:p>
    <w:p>
      <w:pPr>
        <w:spacing w:after="0" w:line="65"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Financial Information and Currency of Financial Statements</w:t>
      </w:r>
    </w:p>
    <w:p>
      <w:pPr>
        <w:spacing w:after="0" w:line="101" w:lineRule="exact"/>
        <w:rPr>
          <w:sz w:val="20"/>
          <w:szCs w:val="20"/>
          <w:color w:val="auto"/>
        </w:rPr>
      </w:pPr>
    </w:p>
    <w:p>
      <w:pPr>
        <w:ind w:right="740" w:firstLine="139"/>
        <w:spacing w:after="0" w:line="258" w:lineRule="auto"/>
        <w:rPr>
          <w:sz w:val="20"/>
          <w:szCs w:val="20"/>
          <w:color w:val="auto"/>
        </w:rPr>
      </w:pPr>
      <w:r>
        <w:rPr>
          <w:rFonts w:ascii="Arial" w:cs="Arial" w:eastAsia="Arial" w:hAnsi="Arial"/>
          <w:sz w:val="15"/>
          <w:szCs w:val="15"/>
          <w:color w:val="auto"/>
        </w:rPr>
        <w:t>All of the financial information included in this quarterly report has been prepared in accordance with U.S. GAAP. The reporting currency of the Company’s condensed consolidated financial statements is USD.</w:t>
      </w: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5" w:name="page6"/>
    <w:bookmarkEnd w:id="5"/>
    <w:p>
      <w:pPr>
        <w:spacing w:after="0"/>
        <w:rPr>
          <w:sz w:val="20"/>
          <w:szCs w:val="20"/>
          <w:color w:val="auto"/>
        </w:rPr>
      </w:pPr>
      <w:r>
        <w:rPr>
          <w:rFonts w:ascii="Arial" w:cs="Arial" w:eastAsia="Arial" w:hAnsi="Arial"/>
          <w:sz w:val="19"/>
          <w:szCs w:val="19"/>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Financial Statements</w:t>
      </w:r>
    </w:p>
    <w:p>
      <w:pPr>
        <w:spacing w:after="0" w:line="57"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INCOME (LOSS)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180" w:type="dxa"/>
            <w:vAlign w:val="bottom"/>
          </w:tcPr>
          <w:p>
            <w:pPr>
              <w:spacing w:after="0"/>
              <w:rPr>
                <w:sz w:val="17"/>
                <w:szCs w:val="17"/>
                <w:color w:val="auto"/>
              </w:rPr>
            </w:pPr>
          </w:p>
        </w:tc>
        <w:tc>
          <w:tcPr>
            <w:tcW w:w="2660" w:type="dxa"/>
            <w:vAlign w:val="bottom"/>
            <w:gridSpan w:val="4"/>
          </w:tcPr>
          <w:p>
            <w:pPr>
              <w:jc w:val="right"/>
              <w:ind w:right="203"/>
              <w:spacing w:after="0"/>
              <w:rPr>
                <w:sz w:val="20"/>
                <w:szCs w:val="20"/>
                <w:color w:val="auto"/>
              </w:rPr>
            </w:pPr>
            <w:r>
              <w:rPr>
                <w:rFonts w:ascii="Arial" w:cs="Arial" w:eastAsia="Arial" w:hAnsi="Arial"/>
                <w:sz w:val="15"/>
                <w:szCs w:val="15"/>
                <w:b w:val="1"/>
                <w:bCs w:val="1"/>
                <w:color w:val="auto"/>
                <w:w w:val="95"/>
              </w:rPr>
              <w:t>Nine Months Ended September 30,</w:t>
            </w:r>
          </w:p>
        </w:tc>
      </w:tr>
      <w:tr>
        <w:trPr>
          <w:trHeight w:val="189"/>
        </w:trPr>
        <w:tc>
          <w:tcPr>
            <w:tcW w:w="54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r>
      <w:tr>
        <w:trPr>
          <w:trHeight w:val="189"/>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286,113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252,605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843,413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746,931</w:t>
            </w:r>
          </w:p>
        </w:tc>
      </w:tr>
      <w:tr>
        <w:trPr>
          <w:trHeight w:val="197"/>
        </w:trPr>
        <w:tc>
          <w:tcPr>
            <w:tcW w:w="54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84,310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81,687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223,220</w:t>
            </w:r>
          </w:p>
        </w:tc>
      </w:tr>
      <w:tr>
        <w:trPr>
          <w:trHeight w:val="189"/>
        </w:trPr>
        <w:tc>
          <w:tcPr>
            <w:tcW w:w="5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201,803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581,083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523,711</w:t>
            </w:r>
          </w:p>
        </w:tc>
      </w:tr>
      <w:tr>
        <w:trPr>
          <w:trHeight w:val="197"/>
        </w:trPr>
        <w:tc>
          <w:tcPr>
            <w:tcW w:w="5480" w:type="dxa"/>
            <w:vAlign w:val="bottom"/>
          </w:tcPr>
          <w:p>
            <w:pPr>
              <w:spacing w:after="0"/>
              <w:rPr>
                <w:sz w:val="20"/>
                <w:szCs w:val="20"/>
                <w:color w:val="auto"/>
              </w:rPr>
            </w:pPr>
            <w:r>
              <w:rPr>
                <w:rFonts w:ascii="Arial" w:cs="Arial" w:eastAsia="Arial" w:hAnsi="Arial"/>
                <w:sz w:val="15"/>
                <w:szCs w:val="15"/>
                <w:color w:val="auto"/>
              </w:rPr>
              <w:t>Operating expenses: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8"/>
        </w:trPr>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134,794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114,630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349,637</w:t>
            </w:r>
          </w:p>
        </w:tc>
      </w:tr>
      <w:tr>
        <w:trPr>
          <w:trHeight w:val="197"/>
        </w:trPr>
        <w:tc>
          <w:tcPr>
            <w:tcW w:w="548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1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46,541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35,725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147,651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110,872</w:t>
            </w:r>
          </w:p>
        </w:tc>
      </w:tr>
      <w:tr>
        <w:trPr>
          <w:trHeight w:val="198"/>
        </w:trPr>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Impairment of goodwill</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129,396</w:t>
            </w:r>
          </w:p>
        </w:tc>
      </w:tr>
      <w:tr>
        <w:trPr>
          <w:trHeight w:val="197"/>
        </w:trPr>
        <w:tc>
          <w:tcPr>
            <w:tcW w:w="54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operating expense</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16,010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23,140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29,145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24,518</w:t>
            </w:r>
          </w:p>
        </w:tc>
      </w:tr>
      <w:tr>
        <w:trPr>
          <w:trHeight w:val="189"/>
        </w:trPr>
        <w:tc>
          <w:tcPr>
            <w:tcW w:w="54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income (loss)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4,458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(90,712)</w:t>
            </w:r>
          </w:p>
        </w:tc>
      </w:tr>
      <w:tr>
        <w:trPr>
          <w:trHeight w:val="197"/>
        </w:trPr>
        <w:tc>
          <w:tcPr>
            <w:tcW w:w="5480" w:type="dxa"/>
            <w:vAlign w:val="bottom"/>
          </w:tcPr>
          <w:p>
            <w:pPr>
              <w:spacing w:after="0"/>
              <w:rPr>
                <w:sz w:val="20"/>
                <w:szCs w:val="20"/>
                <w:color w:val="auto"/>
              </w:rPr>
            </w:pPr>
            <w:r>
              <w:rPr>
                <w:rFonts w:ascii="Arial" w:cs="Arial" w:eastAsia="Arial" w:hAnsi="Arial"/>
                <w:sz w:val="15"/>
                <w:szCs w:val="15"/>
                <w:color w:val="auto"/>
              </w:rPr>
              <w:t>Interest expense</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(14,986)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(12,661)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(43,232)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(34,889)</w:t>
            </w:r>
          </w:p>
        </w:tc>
      </w:tr>
      <w:tr>
        <w:trPr>
          <w:trHeight w:val="198"/>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income/(expense)</w:t>
            </w: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8,550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38,528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44,065</w:t>
            </w:r>
          </w:p>
        </w:tc>
      </w:tr>
      <w:tr>
        <w:trPr>
          <w:trHeight w:val="189"/>
        </w:trPr>
        <w:tc>
          <w:tcPr>
            <w:tcW w:w="5480" w:type="dxa"/>
            <w:vAlign w:val="bottom"/>
          </w:tcPr>
          <w:p>
            <w:pPr>
              <w:ind w:left="120"/>
              <w:spacing w:after="0"/>
              <w:rPr>
                <w:sz w:val="20"/>
                <w:szCs w:val="20"/>
                <w:color w:val="auto"/>
              </w:rPr>
            </w:pPr>
            <w:r>
              <w:rPr>
                <w:rFonts w:ascii="Arial" w:cs="Arial" w:eastAsia="Arial" w:hAnsi="Arial"/>
                <w:sz w:val="15"/>
                <w:szCs w:val="15"/>
                <w:color w:val="auto"/>
              </w:rPr>
              <w:t>(Loss) income before tax</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(106,106)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13,070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(81,536)</w:t>
            </w:r>
          </w:p>
        </w:tc>
      </w:tr>
      <w:tr>
        <w:trPr>
          <w:trHeight w:val="198"/>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6,347</w:t>
            </w:r>
          </w:p>
        </w:tc>
      </w:tr>
      <w:tr>
        <w:trPr>
          <w:trHeight w:val="197"/>
        </w:trPr>
        <w:tc>
          <w:tcPr>
            <w:tcW w:w="54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 income from equity method investments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214"/>
        </w:trPr>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(107,344)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(87,907)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7"/>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(loss) income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w:t>
            </w:r>
          </w:p>
        </w:tc>
      </w:tr>
      <w:tr>
        <w:trPr>
          <w:trHeight w:val="197"/>
        </w:trPr>
        <w:tc>
          <w:tcPr>
            <w:tcW w:w="5480" w:type="dxa"/>
            <w:vAlign w:val="bottom"/>
          </w:tcPr>
          <w:p>
            <w:pPr>
              <w:spacing w:after="0"/>
              <w:rPr>
                <w:sz w:val="20"/>
                <w:szCs w:val="20"/>
                <w:color w:val="auto"/>
              </w:rPr>
            </w:pPr>
            <w:r>
              <w:rPr>
                <w:rFonts w:ascii="Arial" w:cs="Arial" w:eastAsia="Arial" w:hAnsi="Arial"/>
                <w:sz w:val="15"/>
                <w:szCs w:val="15"/>
                <w:color w:val="auto"/>
              </w:rPr>
              <w:t>Diluted (loss) income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(0.14)</w:t>
            </w:r>
          </w:p>
        </w:tc>
        <w:tc>
          <w:tcPr>
            <w:tcW w:w="10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(2.01)</w:t>
            </w:r>
          </w:p>
        </w:tc>
        <w:tc>
          <w:tcPr>
            <w:tcW w:w="1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0.02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(1.64)</w:t>
            </w:r>
          </w:p>
        </w:tc>
      </w:tr>
      <w:tr>
        <w:trPr>
          <w:trHeight w:val="232"/>
        </w:trPr>
        <w:tc>
          <w:tcPr>
            <w:tcW w:w="5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197"/>
        </w:trPr>
        <w:tc>
          <w:tcPr>
            <w:tcW w:w="5480" w:type="dxa"/>
            <w:vAlign w:val="bottom"/>
          </w:tcPr>
          <w:p>
            <w:pPr>
              <w:spacing w:after="0"/>
              <w:rPr>
                <w:sz w:val="20"/>
                <w:szCs w:val="20"/>
                <w:color w:val="auto"/>
              </w:rPr>
            </w:pPr>
            <w:r>
              <w:rPr>
                <w:rFonts w:ascii="Arial" w:cs="Arial" w:eastAsia="Arial" w:hAnsi="Arial"/>
                <w:sz w:val="15"/>
                <w:szCs w:val="15"/>
                <w:color w:val="auto"/>
              </w:rPr>
              <w:t>Shares used in computing basic (loss) income per share</w:t>
            </w:r>
          </w:p>
        </w:tc>
        <w:tc>
          <w:tcPr>
            <w:tcW w:w="140" w:type="dxa"/>
            <w:vAlign w:val="bottom"/>
          </w:tcPr>
          <w:p>
            <w:pPr>
              <w:spacing w:after="0"/>
              <w:rPr>
                <w:sz w:val="17"/>
                <w:szCs w:val="17"/>
                <w:color w:val="auto"/>
              </w:rPr>
            </w:pPr>
          </w:p>
        </w:tc>
        <w:tc>
          <w:tcPr>
            <w:tcW w:w="1220" w:type="dxa"/>
            <w:vAlign w:val="bottom"/>
          </w:tcPr>
          <w:p>
            <w:pPr>
              <w:jc w:val="right"/>
              <w:ind w:right="3"/>
              <w:spacing w:after="0"/>
              <w:rPr>
                <w:sz w:val="20"/>
                <w:szCs w:val="20"/>
                <w:color w:val="auto"/>
              </w:rPr>
            </w:pPr>
            <w:r>
              <w:rPr>
                <w:rFonts w:ascii="Arial" w:cs="Arial" w:eastAsia="Arial" w:hAnsi="Arial"/>
                <w:sz w:val="15"/>
                <w:szCs w:val="15"/>
                <w:color w:val="auto"/>
              </w:rPr>
              <w:t>53,989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53,534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53,837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53,474</w:t>
            </w:r>
          </w:p>
        </w:tc>
      </w:tr>
      <w:tr>
        <w:trPr>
          <w:trHeight w:val="198"/>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Shares used in computing diluted (loss) income per share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53,989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53,474</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717677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67" w:right="3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ind w:left="6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17"/>
                <w:szCs w:val="17"/>
                <w:color w:val="auto"/>
              </w:rPr>
            </w:pPr>
          </w:p>
        </w:tc>
        <w:tc>
          <w:tcPr>
            <w:tcW w:w="2760" w:type="dxa"/>
            <w:vAlign w:val="bottom"/>
            <w:gridSpan w:val="4"/>
          </w:tcPr>
          <w:p>
            <w:pPr>
              <w:jc w:val="right"/>
              <w:ind w:right="263"/>
              <w:spacing w:after="0"/>
              <w:rPr>
                <w:sz w:val="20"/>
                <w:szCs w:val="20"/>
                <w:color w:val="auto"/>
              </w:rPr>
            </w:pPr>
            <w:r>
              <w:rPr>
                <w:rFonts w:ascii="Arial" w:cs="Arial" w:eastAsia="Arial" w:hAnsi="Arial"/>
                <w:sz w:val="15"/>
                <w:szCs w:val="15"/>
                <w:b w:val="1"/>
                <w:bCs w:val="1"/>
                <w:color w:val="auto"/>
                <w:w w:val="97"/>
              </w:rPr>
              <w:t>Nine Months Ended September 30,</w:t>
            </w:r>
          </w:p>
        </w:tc>
      </w:tr>
      <w:tr>
        <w:trPr>
          <w:trHeight w:val="189"/>
        </w:trPr>
        <w:tc>
          <w:tcPr>
            <w:tcW w:w="53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2022</w:t>
            </w: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(107,344)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(87,907)</w:t>
            </w:r>
          </w:p>
        </w:tc>
      </w:tr>
      <w:tr>
        <w:trPr>
          <w:trHeight w:val="197"/>
        </w:trPr>
        <w:tc>
          <w:tcPr>
            <w:tcW w:w="534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53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unrealized income (loss) on derivatives</w:t>
            </w:r>
          </w:p>
        </w:tc>
        <w:tc>
          <w:tcPr>
            <w:tcW w:w="1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197"/>
        </w:trPr>
        <w:tc>
          <w:tcPr>
            <w:tcW w:w="534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Tax effect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89"/>
        </w:trPr>
        <w:tc>
          <w:tcPr>
            <w:tcW w:w="53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Net of tax</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w:t>
            </w:r>
          </w:p>
        </w:tc>
      </w:tr>
      <w:tr>
        <w:trPr>
          <w:trHeight w:val="197"/>
        </w:trPr>
        <w:tc>
          <w:tcPr>
            <w:tcW w:w="53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Foreign currency translation adjustment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(39,887)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(85,653)</w:t>
            </w:r>
          </w:p>
        </w:tc>
      </w:tr>
      <w:tr>
        <w:trPr>
          <w:trHeight w:val="189"/>
        </w:trPr>
        <w:tc>
          <w:tcPr>
            <w:tcW w:w="5340" w:type="dxa"/>
            <w:vAlign w:val="bottom"/>
            <w:shd w:val="clear" w:color="auto" w:fill="CCEEFF"/>
          </w:tcPr>
          <w:p>
            <w:pPr>
              <w:spacing w:after="0"/>
              <w:rPr>
                <w:sz w:val="20"/>
                <w:szCs w:val="20"/>
                <w:color w:val="auto"/>
              </w:rPr>
            </w:pPr>
            <w:r>
              <w:rPr>
                <w:rFonts w:ascii="Arial" w:cs="Arial" w:eastAsia="Arial" w:hAnsi="Arial"/>
                <w:sz w:val="15"/>
                <w:szCs w:val="15"/>
                <w:color w:val="auto"/>
              </w:rPr>
              <w:t>Total other comprehensive loss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(38,234)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(6,682)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(85,927)</w:t>
            </w:r>
          </w:p>
        </w:tc>
      </w:tr>
      <w:tr>
        <w:trPr>
          <w:trHeight w:val="189"/>
        </w:trPr>
        <w:tc>
          <w:tcPr>
            <w:tcW w:w="5340" w:type="dxa"/>
            <w:vAlign w:val="bottom"/>
          </w:tcPr>
          <w:p>
            <w:pPr>
              <w:spacing w:after="0"/>
              <w:rPr>
                <w:sz w:val="20"/>
                <w:szCs w:val="20"/>
                <w:color w:val="auto"/>
              </w:rPr>
            </w:pPr>
            <w:r>
              <w:rPr>
                <w:rFonts w:ascii="Arial" w:cs="Arial" w:eastAsia="Arial" w:hAnsi="Arial"/>
                <w:sz w:val="15"/>
                <w:szCs w:val="15"/>
                <w:color w:val="auto"/>
              </w:rPr>
              <w:t>Total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(26,540)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(145,578)</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(5,475)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(173,834)</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717677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jc w:val="center"/>
        <w:ind w:right="-119"/>
        <w:spacing w:after="0" w:line="226" w:lineRule="auto"/>
        <w:rPr>
          <w:sz w:val="20"/>
          <w:szCs w:val="20"/>
          <w:color w:val="auto"/>
        </w:rPr>
      </w:pPr>
      <w:r>
        <w:rPr>
          <w:rFonts w:ascii="Arial" w:cs="Arial" w:eastAsia="Arial" w:hAnsi="Arial"/>
          <w:sz w:val="15"/>
          <w:szCs w:val="15"/>
          <w:b w:val="1"/>
          <w:bCs w:val="1"/>
          <w:color w:val="auto"/>
        </w:rPr>
        <w:t>CONDENSED CONSOLIDATED BALANCE SHEETS</w:t>
      </w:r>
    </w:p>
    <w:p>
      <w:pPr>
        <w:jc w:val="center"/>
        <w:ind w:right="-119"/>
        <w:spacing w:after="0" w:line="213" w:lineRule="auto"/>
        <w:rPr>
          <w:sz w:val="20"/>
          <w:szCs w:val="20"/>
          <w:color w:val="auto"/>
        </w:rPr>
      </w:pPr>
      <w:r>
        <w:rPr>
          <w:rFonts w:ascii="Arial" w:cs="Arial" w:eastAsia="Arial" w:hAnsi="Arial"/>
          <w:sz w:val="15"/>
          <w:szCs w:val="15"/>
          <w:b w:val="1"/>
          <w:bCs w:val="1"/>
          <w:color w:val="auto"/>
        </w:rPr>
        <w:t>(UNAUDITED)</w:t>
      </w:r>
    </w:p>
    <w:p>
      <w:pPr>
        <w:jc w:val="center"/>
        <w:ind w:right="-119"/>
        <w:spacing w:after="0"/>
        <w:rPr>
          <w:sz w:val="20"/>
          <w:szCs w:val="20"/>
          <w:color w:val="auto"/>
        </w:rPr>
      </w:pPr>
      <w:r>
        <w:rPr>
          <w:rFonts w:ascii="Arial" w:cs="Arial" w:eastAsia="Arial" w:hAnsi="Arial"/>
          <w:sz w:val="14"/>
          <w:szCs w:val="14"/>
          <w:b w:val="1"/>
          <w:bCs w:val="1"/>
          <w:color w:val="auto"/>
        </w:rPr>
        <w:t>(In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8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00" w:type="dxa"/>
            <w:vAlign w:val="bottom"/>
          </w:tcPr>
          <w:p>
            <w:pPr>
              <w:spacing w:after="0"/>
              <w:rPr>
                <w:sz w:val="17"/>
                <w:szCs w:val="17"/>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720" w:type="dxa"/>
            <w:vAlign w:val="bottom"/>
          </w:tcPr>
          <w:p>
            <w:pPr>
              <w:jc w:val="right"/>
              <w:ind w:right="270"/>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233,941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214,172</w:t>
            </w:r>
          </w:p>
        </w:tc>
        <w:tc>
          <w:tcPr>
            <w:tcW w:w="0" w:type="dxa"/>
            <w:vAlign w:val="bottom"/>
          </w:tcPr>
          <w:p>
            <w:pPr>
              <w:spacing w:after="0"/>
              <w:rPr>
                <w:sz w:val="1"/>
                <w:szCs w:val="1"/>
                <w:color w:val="auto"/>
              </w:rPr>
            </w:pPr>
          </w:p>
        </w:tc>
      </w:tr>
      <w:tr>
        <w:trPr>
          <w:trHeight w:val="184"/>
        </w:trPr>
        <w:tc>
          <w:tcPr>
            <w:tcW w:w="728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298,781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301,446</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receivable, net of allowance of $11,628 at September 30, 2023 and $11,862 at December 31, 2022</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189,871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183,110</w:t>
            </w:r>
          </w:p>
        </w:tc>
        <w:tc>
          <w:tcPr>
            <w:tcW w:w="0" w:type="dxa"/>
            <w:vAlign w:val="bottom"/>
          </w:tcPr>
          <w:p>
            <w:pPr>
              <w:spacing w:after="0"/>
              <w:rPr>
                <w:sz w:val="1"/>
                <w:szCs w:val="1"/>
                <w:color w:val="auto"/>
              </w:rPr>
            </w:pPr>
          </w:p>
        </w:tc>
      </w:tr>
      <w:tr>
        <w:trPr>
          <w:trHeight w:val="184"/>
        </w:trPr>
        <w:tc>
          <w:tcPr>
            <w:tcW w:w="728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161,539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129,379</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and refundable taxes</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31,708</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26,321</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953,867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886,136</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149,302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147,187</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767,055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768,787</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347,672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368,559</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assets</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35,830</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16,266</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Long-term derivative assets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43,669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54,393</w:t>
            </w:r>
          </w:p>
        </w:tc>
        <w:tc>
          <w:tcPr>
            <w:tcW w:w="0" w:type="dxa"/>
            <w:vAlign w:val="bottom"/>
          </w:tcPr>
          <w:p>
            <w:pPr>
              <w:spacing w:after="0"/>
              <w:rPr>
                <w:sz w:val="1"/>
                <w:szCs w:val="1"/>
                <w:color w:val="auto"/>
              </w:rPr>
            </w:pPr>
          </w:p>
        </w:tc>
      </w:tr>
      <w:tr>
        <w:trPr>
          <w:trHeight w:val="186"/>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16,231</w:t>
            </w:r>
          </w:p>
        </w:tc>
        <w:tc>
          <w:tcPr>
            <w:tcW w:w="0" w:type="dxa"/>
            <w:vAlign w:val="bottom"/>
          </w:tcPr>
          <w:p>
            <w:pPr>
              <w:spacing w:after="0"/>
              <w:rPr>
                <w:sz w:val="1"/>
                <w:szCs w:val="1"/>
                <w:color w:val="auto"/>
              </w:rPr>
            </w:pPr>
          </w:p>
        </w:tc>
      </w:tr>
      <w:tr>
        <w:trPr>
          <w:trHeight w:val="180"/>
        </w:trPr>
        <w:tc>
          <w:tcPr>
            <w:tcW w:w="728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2,329,417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2,294,773</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280" w:type="dxa"/>
            <w:vAlign w:val="bottom"/>
            <w:shd w:val="clear" w:color="auto" w:fill="CCEEFF"/>
          </w:tcPr>
          <w:p>
            <w:pPr>
              <w:spacing w:after="0" w:line="161" w:lineRule="exact"/>
              <w:rPr>
                <w:sz w:val="20"/>
                <w:szCs w:val="20"/>
                <w:color w:val="auto"/>
              </w:rPr>
            </w:pPr>
            <w:r>
              <w:rPr>
                <w:rFonts w:ascii="Arial" w:cs="Arial" w:eastAsia="Arial" w:hAnsi="Arial"/>
                <w:sz w:val="15"/>
                <w:szCs w:val="15"/>
                <w:b w:val="1"/>
                <w:bCs w:val="1"/>
                <w:color w:val="auto"/>
              </w:rPr>
              <w:t>LIABILITIES AND STOCKHOLDERS' EQUITY</w:t>
            </w:r>
          </w:p>
        </w:tc>
        <w:tc>
          <w:tcPr>
            <w:tcW w:w="2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debt obligations</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23,434</w:t>
            </w:r>
          </w:p>
        </w:tc>
        <w:tc>
          <w:tcPr>
            <w:tcW w:w="0" w:type="dxa"/>
            <w:vAlign w:val="bottom"/>
          </w:tcPr>
          <w:p>
            <w:pPr>
              <w:spacing w:after="0"/>
              <w:rPr>
                <w:sz w:val="1"/>
                <w:szCs w:val="1"/>
                <w:color w:val="auto"/>
              </w:rPr>
            </w:pPr>
          </w:p>
        </w:tc>
      </w:tr>
      <w:tr>
        <w:trPr>
          <w:trHeight w:val="184"/>
        </w:trPr>
        <w:tc>
          <w:tcPr>
            <w:tcW w:w="728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62,780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74,310</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liabilities and other</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81,481</w:t>
            </w:r>
          </w:p>
        </w:tc>
        <w:tc>
          <w:tcPr>
            <w:tcW w:w="0" w:type="dxa"/>
            <w:vAlign w:val="bottom"/>
          </w:tcPr>
          <w:p>
            <w:pPr>
              <w:spacing w:after="0"/>
              <w:rPr>
                <w:sz w:val="1"/>
                <w:szCs w:val="1"/>
                <w:color w:val="auto"/>
              </w:rPr>
            </w:pPr>
          </w:p>
        </w:tc>
      </w:tr>
      <w:tr>
        <w:trPr>
          <w:trHeight w:val="184"/>
        </w:trPr>
        <w:tc>
          <w:tcPr>
            <w:tcW w:w="7280" w:type="dxa"/>
            <w:vAlign w:val="bottom"/>
          </w:tcPr>
          <w:p>
            <w:pPr>
              <w:ind w:left="120"/>
              <w:spacing w:after="0"/>
              <w:rPr>
                <w:sz w:val="20"/>
                <w:szCs w:val="20"/>
                <w:color w:val="auto"/>
              </w:rPr>
            </w:pPr>
            <w:r>
              <w:rPr>
                <w:rFonts w:ascii="Arial" w:cs="Arial" w:eastAsia="Arial" w:hAnsi="Arial"/>
                <w:sz w:val="14"/>
                <w:szCs w:val="14"/>
                <w:color w:val="auto"/>
              </w:rPr>
              <w:t>Current litigation provision liability</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26,704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29,481</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payable</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16,505</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Accrued employee compensation and related benefits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74,905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72,187</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295,396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297,398</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Long-term debt obligations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568,163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518,067</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Contingent consideration</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89,808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85,292</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9,929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8,516</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Long-term operating lease liabilities</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29,548</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Long-term employee compensation and related benefits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15,894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16,804</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Long-term derivative liabilities</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85,675</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46,260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45,849</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1,103,945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1,087,149</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280" w:type="dxa"/>
            <w:vAlign w:val="bottom"/>
          </w:tcPr>
          <w:p>
            <w:pPr>
              <w:spacing w:after="0" w:line="143" w:lineRule="exact"/>
              <w:rPr>
                <w:sz w:val="20"/>
                <w:szCs w:val="20"/>
                <w:color w:val="auto"/>
              </w:rPr>
            </w:pPr>
            <w:r>
              <w:rPr>
                <w:rFonts w:ascii="Arial" w:cs="Arial" w:eastAsia="Arial" w:hAnsi="Arial"/>
                <w:sz w:val="14"/>
                <w:szCs w:val="14"/>
                <w:color w:val="auto"/>
                <w:w w:val="91"/>
              </w:rPr>
              <w:t>Ordinary Shares, £1.00 par value: unlimited shares authorized; 53,903,564 shares issued and 53,860,644 shares outstanding at</w:t>
            </w:r>
          </w:p>
        </w:tc>
        <w:tc>
          <w:tcPr>
            <w:tcW w:w="200" w:type="dxa"/>
            <w:vAlign w:val="bottom"/>
          </w:tcPr>
          <w:p>
            <w:pPr>
              <w:spacing w:after="0"/>
              <w:rPr>
                <w:sz w:val="12"/>
                <w:szCs w:val="12"/>
                <w:color w:val="auto"/>
              </w:rPr>
            </w:pPr>
          </w:p>
        </w:tc>
        <w:tc>
          <w:tcPr>
            <w:tcW w:w="1740" w:type="dxa"/>
            <w:vAlign w:val="bottom"/>
            <w:vMerge w:val="restart"/>
          </w:tcPr>
          <w:p>
            <w:pPr>
              <w:jc w:val="right"/>
              <w:spacing w:after="0"/>
              <w:rPr>
                <w:sz w:val="20"/>
                <w:szCs w:val="20"/>
                <w:color w:val="auto"/>
              </w:rPr>
            </w:pPr>
            <w:r>
              <w:rPr>
                <w:rFonts w:ascii="Arial" w:cs="Arial" w:eastAsia="Arial" w:hAnsi="Arial"/>
                <w:sz w:val="14"/>
                <w:szCs w:val="14"/>
                <w:color w:val="auto"/>
              </w:rPr>
              <w:t>82,491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82,424</w:t>
            </w:r>
          </w:p>
        </w:tc>
        <w:tc>
          <w:tcPr>
            <w:tcW w:w="0" w:type="dxa"/>
            <w:vAlign w:val="bottom"/>
          </w:tcPr>
          <w:p>
            <w:pPr>
              <w:spacing w:after="0"/>
              <w:rPr>
                <w:sz w:val="1"/>
                <w:szCs w:val="1"/>
                <w:color w:val="auto"/>
              </w:rPr>
            </w:pPr>
          </w:p>
        </w:tc>
      </w:tr>
      <w:tr>
        <w:trPr>
          <w:trHeight w:val="180"/>
        </w:trPr>
        <w:tc>
          <w:tcPr>
            <w:tcW w:w="7280" w:type="dxa"/>
            <w:vAlign w:val="bottom"/>
          </w:tcPr>
          <w:p>
            <w:pPr>
              <w:spacing w:after="0"/>
              <w:rPr>
                <w:sz w:val="20"/>
                <w:szCs w:val="20"/>
                <w:color w:val="auto"/>
              </w:rPr>
            </w:pPr>
            <w:r>
              <w:rPr>
                <w:rFonts w:ascii="Arial" w:cs="Arial" w:eastAsia="Arial" w:hAnsi="Arial"/>
                <w:sz w:val="14"/>
                <w:szCs w:val="14"/>
                <w:color w:val="auto"/>
              </w:rPr>
              <w:t>September 30, 2023; 53,851,979 shares issued and 53,564,664 shares outstanding at December 31, 2022</w:t>
            </w:r>
          </w:p>
        </w:tc>
        <w:tc>
          <w:tcPr>
            <w:tcW w:w="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2,180,661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2,157,724</w:t>
            </w:r>
          </w:p>
        </w:tc>
        <w:tc>
          <w:tcPr>
            <w:tcW w:w="0" w:type="dxa"/>
            <w:vAlign w:val="bottom"/>
          </w:tcPr>
          <w:p>
            <w:pPr>
              <w:spacing w:after="0"/>
              <w:rPr>
                <w:sz w:val="1"/>
                <w:szCs w:val="1"/>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(54,801)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(982,823)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(984,030)</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w w:val="98"/>
              </w:rPr>
              <w:t>Treasury stock at cost, 42,920 ordinary shares at September 30, 2023; 287,315 ordinary shares at December 31, 2022</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7"/>
        </w:trPr>
        <w:tc>
          <w:tcPr>
            <w:tcW w:w="7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0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1,225,472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1,207,624</w:t>
            </w:r>
          </w:p>
        </w:tc>
        <w:tc>
          <w:tcPr>
            <w:tcW w:w="0" w:type="dxa"/>
            <w:vAlign w:val="bottom"/>
          </w:tcPr>
          <w:p>
            <w:pPr>
              <w:spacing w:after="0"/>
              <w:rPr>
                <w:sz w:val="1"/>
                <w:szCs w:val="1"/>
                <w:color w:val="auto"/>
              </w:rPr>
            </w:pPr>
          </w:p>
        </w:tc>
      </w:tr>
      <w:tr>
        <w:trPr>
          <w:trHeight w:val="180"/>
        </w:trPr>
        <w:tc>
          <w:tcPr>
            <w:tcW w:w="7280" w:type="dxa"/>
            <w:vAlign w:val="bottom"/>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2,329,417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2,294,773</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717677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7"/>
        </w:trPr>
        <w:tc>
          <w:tcPr>
            <w:tcW w:w="7280" w:type="dxa"/>
            <w:vAlign w:val="bottom"/>
          </w:tcPr>
          <w:p>
            <w:pPr>
              <w:jc w:val="center"/>
              <w:ind w:left="4030"/>
              <w:spacing w:after="0"/>
              <w:rPr>
                <w:sz w:val="20"/>
                <w:szCs w:val="20"/>
                <w:color w:val="auto"/>
              </w:rPr>
            </w:pPr>
            <w:r>
              <w:rPr>
                <w:rFonts w:ascii="Arial" w:cs="Arial" w:eastAsia="Arial" w:hAnsi="Arial"/>
                <w:sz w:val="15"/>
                <w:szCs w:val="15"/>
                <w:b w:val="1"/>
                <w:bCs w:val="1"/>
                <w:color w:val="auto"/>
              </w:rPr>
              <w:t>LIVANOVA PLC AND SUBSIDIARIES</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540" w:type="dxa"/>
            <w:vAlign w:val="bottom"/>
            <w:gridSpan w:val="2"/>
          </w:tcPr>
          <w:p>
            <w:pPr>
              <w:jc w:val="center"/>
              <w:ind w:left="2790"/>
              <w:spacing w:after="0"/>
              <w:rPr>
                <w:sz w:val="20"/>
                <w:szCs w:val="20"/>
                <w:color w:val="auto"/>
              </w:rPr>
            </w:pPr>
            <w:r>
              <w:rPr>
                <w:rFonts w:ascii="Arial" w:cs="Arial" w:eastAsia="Arial" w:hAnsi="Arial"/>
                <w:sz w:val="15"/>
                <w:szCs w:val="15"/>
                <w:b w:val="1"/>
                <w:bCs w:val="1"/>
                <w:color w:val="auto"/>
              </w:rPr>
              <w:t>CONDENSED CONSOLIDATED STATEMENTS OF CASH FLOWS</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80" w:type="dxa"/>
            <w:vAlign w:val="bottom"/>
          </w:tcPr>
          <w:p>
            <w:pPr>
              <w:jc w:val="center"/>
              <w:ind w:left="4050"/>
              <w:spacing w:after="0"/>
              <w:rPr>
                <w:sz w:val="20"/>
                <w:szCs w:val="20"/>
                <w:color w:val="auto"/>
              </w:rPr>
            </w:pPr>
            <w:r>
              <w:rPr>
                <w:rFonts w:ascii="Arial" w:cs="Arial" w:eastAsia="Arial" w:hAnsi="Arial"/>
                <w:sz w:val="15"/>
                <w:szCs w:val="15"/>
                <w:b w:val="1"/>
                <w:bCs w:val="1"/>
                <w:color w:val="auto"/>
              </w:rPr>
              <w:t>(UNAUDITED)</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tcPr>
          <w:p>
            <w:pPr>
              <w:jc w:val="center"/>
              <w:ind w:left="4050"/>
              <w:spacing w:after="0"/>
              <w:rPr>
                <w:sz w:val="20"/>
                <w:szCs w:val="20"/>
                <w:color w:val="auto"/>
              </w:rPr>
            </w:pPr>
            <w:r>
              <w:rPr>
                <w:rFonts w:ascii="Arial" w:cs="Arial" w:eastAsia="Arial" w:hAnsi="Arial"/>
                <w:sz w:val="15"/>
                <w:szCs w:val="15"/>
                <w:b w:val="1"/>
                <w:bCs w:val="1"/>
                <w:color w:val="auto"/>
                <w:w w:val="92"/>
              </w:rPr>
              <w:t>(In thousands)</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80" w:type="dxa"/>
            <w:vAlign w:val="bottom"/>
          </w:tcPr>
          <w:p>
            <w:pPr>
              <w:spacing w:after="0"/>
              <w:rPr>
                <w:sz w:val="21"/>
                <w:szCs w:val="21"/>
                <w:color w:val="auto"/>
              </w:rPr>
            </w:pPr>
          </w:p>
        </w:tc>
        <w:tc>
          <w:tcPr>
            <w:tcW w:w="328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5"/>
                <w:szCs w:val="15"/>
                <w:b w:val="1"/>
                <w:bCs w:val="1"/>
                <w:color w:val="auto"/>
              </w:rPr>
              <w:t>Nine Months Ended September 30,</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1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rPr>
              <w:t>2022</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7280" w:type="dxa"/>
            <w:vAlign w:val="bottom"/>
            <w:vMerge w:val="continue"/>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 (loss)</w:t>
            </w:r>
          </w:p>
        </w:tc>
        <w:tc>
          <w:tcPr>
            <w:tcW w:w="1260" w:type="dxa"/>
            <w:vAlign w:val="bottom"/>
            <w:shd w:val="clear" w:color="auto" w:fill="CCEEFF"/>
          </w:tcPr>
          <w:p>
            <w:pPr>
              <w:jc w:val="right"/>
              <w:ind w:right="1106"/>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(87,907)</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28,069</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32,492</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Remeasurement of derivative instruments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(25,730)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(38,825)</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19,129</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18,970</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18,582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16,593</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debt issuance costs</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16,394</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Amortization of operating lease assets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7,270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7,100</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Remeasurement of contingent consideration to fair value</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(33,323)</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Impairment of goodwill</w:t>
            </w:r>
          </w:p>
        </w:tc>
        <w:tc>
          <w:tcPr>
            <w:tcW w:w="1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129,396</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b w:val="1"/>
                <w:bCs w:val="1"/>
                <w:color w:val="auto"/>
              </w:rPr>
              <w:t>Changes in operating assets and liabilities:</w:t>
            </w:r>
          </w:p>
        </w:tc>
        <w:tc>
          <w:tcPr>
            <w:tcW w:w="1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Accounts receivable, net</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(8,239)</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(33,024)</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(22,571)</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current and non-current assets</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12,191</w:t>
            </w:r>
          </w:p>
        </w:tc>
        <w:tc>
          <w:tcPr>
            <w:tcW w:w="0" w:type="dxa"/>
            <w:vAlign w:val="bottom"/>
          </w:tcPr>
          <w:p>
            <w:pPr>
              <w:spacing w:after="0"/>
              <w:rPr>
                <w:sz w:val="1"/>
                <w:szCs w:val="1"/>
                <w:color w:val="auto"/>
              </w:rPr>
            </w:pPr>
          </w:p>
        </w:tc>
      </w:tr>
      <w:tr>
        <w:trPr>
          <w:trHeight w:val="184"/>
        </w:trPr>
        <w:tc>
          <w:tcPr>
            <w:tcW w:w="7280" w:type="dxa"/>
            <w:vAlign w:val="bottom"/>
          </w:tcPr>
          <w:p>
            <w:pPr>
              <w:ind w:left="200"/>
              <w:spacing w:after="0"/>
              <w:rPr>
                <w:sz w:val="20"/>
                <w:szCs w:val="20"/>
                <w:color w:val="auto"/>
              </w:rPr>
            </w:pPr>
            <w:r>
              <w:rPr>
                <w:rFonts w:ascii="Arial" w:cs="Arial" w:eastAsia="Arial" w:hAnsi="Arial"/>
                <w:sz w:val="14"/>
                <w:szCs w:val="14"/>
                <w:color w:val="auto"/>
              </w:rPr>
              <w:t>Accounts payable and accrued current and non-current liabilities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(8,084)</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payable</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6,347</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Litigation provision liability</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(2,865)</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8,171</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cash provided by operating activities</w:t>
            </w:r>
          </w:p>
        </w:tc>
        <w:tc>
          <w:tcPr>
            <w:tcW w:w="1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20,956</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51,218</w:t>
            </w:r>
          </w:p>
        </w:tc>
        <w:tc>
          <w:tcPr>
            <w:tcW w:w="0" w:type="dxa"/>
            <w:vAlign w:val="bottom"/>
          </w:tcPr>
          <w:p>
            <w:pPr>
              <w:spacing w:after="0"/>
              <w:rPr>
                <w:sz w:val="1"/>
                <w:szCs w:val="1"/>
                <w:color w:val="auto"/>
              </w:rPr>
            </w:pPr>
          </w:p>
        </w:tc>
      </w:tr>
      <w:tr>
        <w:trPr>
          <w:trHeight w:val="164"/>
        </w:trPr>
        <w:tc>
          <w:tcPr>
            <w:tcW w:w="7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(22,062)</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(17,383)</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color w:val="auto"/>
              </w:rPr>
              <w:t>Purchase of investments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(6,570)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Acquisition, net of cash acquired</w:t>
            </w:r>
          </w:p>
        </w:tc>
        <w:tc>
          <w:tcPr>
            <w:tcW w:w="1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(8,857)</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cash used in investing activities</w:t>
            </w:r>
          </w:p>
        </w:tc>
        <w:tc>
          <w:tcPr>
            <w:tcW w:w="1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(28,193)</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(27,461)</w:t>
            </w:r>
          </w:p>
        </w:tc>
        <w:tc>
          <w:tcPr>
            <w:tcW w:w="0" w:type="dxa"/>
            <w:vAlign w:val="bottom"/>
          </w:tcPr>
          <w:p>
            <w:pPr>
              <w:spacing w:after="0"/>
              <w:rPr>
                <w:sz w:val="1"/>
                <w:szCs w:val="1"/>
                <w:color w:val="auto"/>
              </w:rPr>
            </w:pPr>
          </w:p>
        </w:tc>
      </w:tr>
      <w:tr>
        <w:trPr>
          <w:trHeight w:val="164"/>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long-term debt obligations</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507,547</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color w:val="auto"/>
              </w:rPr>
              <w:t>Repayment of long-term debt obligations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(16,061)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(220,784)</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(8,550)</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color w:val="auto"/>
              </w:rPr>
              <w:t>Repayments of short-term borrowings (maturities greater than 90 days)</w:t>
            </w: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share issuances under ESPP</w:t>
            </w:r>
          </w:p>
        </w:tc>
        <w:tc>
          <w:tcPr>
            <w:tcW w:w="1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84"/>
        </w:trPr>
        <w:tc>
          <w:tcPr>
            <w:tcW w:w="7280" w:type="dxa"/>
            <w:vAlign w:val="bottom"/>
          </w:tcPr>
          <w:p>
            <w:pPr>
              <w:ind w:left="100"/>
              <w:spacing w:after="0"/>
              <w:rPr>
                <w:sz w:val="20"/>
                <w:szCs w:val="20"/>
                <w:color w:val="auto"/>
              </w:rPr>
            </w:pPr>
            <w:r>
              <w:rPr>
                <w:rFonts w:ascii="Arial" w:cs="Arial" w:eastAsia="Arial" w:hAnsi="Arial"/>
                <w:sz w:val="14"/>
                <w:szCs w:val="14"/>
                <w:color w:val="auto"/>
              </w:rPr>
              <w:t>Proceeds from deferred consideration from sale of Heart Valves, net of working capital adjustments</w:t>
            </w:r>
          </w:p>
        </w:tc>
        <w:tc>
          <w:tcPr>
            <w:tcW w:w="1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4,597</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of debt issuance costs</w:t>
            </w:r>
          </w:p>
        </w:tc>
        <w:tc>
          <w:tcPr>
            <w:tcW w:w="12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cash provided by financing activities</w:t>
            </w:r>
          </w:p>
        </w:tc>
        <w:tc>
          <w:tcPr>
            <w:tcW w:w="1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26,502</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281,787</w:t>
            </w:r>
          </w:p>
        </w:tc>
        <w:tc>
          <w:tcPr>
            <w:tcW w:w="0" w:type="dxa"/>
            <w:vAlign w:val="bottom"/>
          </w:tcPr>
          <w:p>
            <w:pPr>
              <w:spacing w:after="0"/>
              <w:rPr>
                <w:sz w:val="1"/>
                <w:szCs w:val="1"/>
                <w:color w:val="auto"/>
              </w:rPr>
            </w:pPr>
          </w:p>
        </w:tc>
      </w:tr>
      <w:tr>
        <w:trPr>
          <w:trHeight w:val="17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(7,257)</w:t>
            </w:r>
          </w:p>
        </w:tc>
        <w:tc>
          <w:tcPr>
            <w:tcW w:w="0" w:type="dxa"/>
            <w:vAlign w:val="bottom"/>
          </w:tcPr>
          <w:p>
            <w:pPr>
              <w:spacing w:after="0"/>
              <w:rPr>
                <w:sz w:val="1"/>
                <w:szCs w:val="1"/>
                <w:color w:val="auto"/>
              </w:rPr>
            </w:pPr>
          </w:p>
        </w:tc>
      </w:tr>
      <w:tr>
        <w:trPr>
          <w:trHeight w:val="180"/>
        </w:trPr>
        <w:tc>
          <w:tcPr>
            <w:tcW w:w="7280" w:type="dxa"/>
            <w:vAlign w:val="bottom"/>
            <w:shd w:val="clear" w:color="auto" w:fill="CCEEFF"/>
          </w:tcPr>
          <w:p>
            <w:pPr>
              <w:ind w:left="28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1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298,287</w:t>
            </w:r>
          </w:p>
        </w:tc>
        <w:tc>
          <w:tcPr>
            <w:tcW w:w="0" w:type="dxa"/>
            <w:vAlign w:val="bottom"/>
          </w:tcPr>
          <w:p>
            <w:pPr>
              <w:spacing w:after="0"/>
              <w:rPr>
                <w:sz w:val="1"/>
                <w:szCs w:val="1"/>
                <w:color w:val="auto"/>
              </w:rPr>
            </w:pPr>
          </w:p>
        </w:tc>
      </w:tr>
      <w:tr>
        <w:trPr>
          <w:trHeight w:val="184"/>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515,618</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207,992</w:t>
            </w:r>
          </w:p>
        </w:tc>
        <w:tc>
          <w:tcPr>
            <w:tcW w:w="0" w:type="dxa"/>
            <w:vAlign w:val="bottom"/>
          </w:tcPr>
          <w:p>
            <w:pPr>
              <w:spacing w:after="0"/>
              <w:rPr>
                <w:sz w:val="1"/>
                <w:szCs w:val="1"/>
                <w:color w:val="auto"/>
              </w:rPr>
            </w:pPr>
          </w:p>
        </w:tc>
      </w:tr>
      <w:tr>
        <w:trPr>
          <w:trHeight w:val="205"/>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end of period</w:t>
            </w:r>
          </w:p>
        </w:tc>
        <w:tc>
          <w:tcPr>
            <w:tcW w:w="1260" w:type="dxa"/>
            <w:vAlign w:val="bottom"/>
            <w:tcBorders>
              <w:bottom w:val="single" w:sz="8" w:color="auto"/>
            </w:tcBorders>
            <w:shd w:val="clear" w:color="auto" w:fill="CCEEFF"/>
          </w:tcPr>
          <w:p>
            <w:pPr>
              <w:jc w:val="right"/>
              <w:ind w:right="1106"/>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532,722</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506,279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53975</wp:posOffset>
            </wp:positionV>
            <wp:extent cx="717677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9" w:name="page10"/>
    <w:bookmarkEnd w:id="9"/>
    <w:p>
      <w:pPr>
        <w:jc w:val="center"/>
        <w:ind w:right="-146"/>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46"/>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13" w:lineRule="exact"/>
        <w:rPr>
          <w:sz w:val="20"/>
          <w:szCs w:val="20"/>
          <w:color w:val="auto"/>
        </w:rPr>
      </w:pPr>
    </w:p>
    <w:p>
      <w:pPr>
        <w:jc w:val="center"/>
        <w:ind w:right="-146"/>
        <w:spacing w:after="0"/>
        <w:rPr>
          <w:sz w:val="20"/>
          <w:szCs w:val="20"/>
          <w:color w:val="auto"/>
        </w:rPr>
      </w:pPr>
      <w:r>
        <w:rPr>
          <w:rFonts w:ascii="Arial" w:cs="Arial" w:eastAsia="Arial" w:hAnsi="Arial"/>
          <w:sz w:val="15"/>
          <w:szCs w:val="15"/>
          <w:b w:val="1"/>
          <w:bCs w:val="1"/>
          <w:color w:val="auto"/>
        </w:rPr>
        <w:t>(Unaudited)</w:t>
      </w:r>
    </w:p>
    <w:p>
      <w:pPr>
        <w:spacing w:after="0" w:line="100" w:lineRule="exact"/>
        <w:rPr>
          <w:sz w:val="20"/>
          <w:szCs w:val="20"/>
          <w:color w:val="auto"/>
        </w:rPr>
      </w:pPr>
    </w:p>
    <w:p>
      <w:pPr>
        <w:ind w:left="7"/>
        <w:spacing w:after="0"/>
        <w:rPr>
          <w:sz w:val="20"/>
          <w:szCs w:val="20"/>
          <w:color w:val="auto"/>
        </w:rPr>
      </w:pPr>
      <w:r>
        <w:rPr>
          <w:rFonts w:ascii="Arial" w:cs="Arial" w:eastAsia="Arial" w:hAnsi="Arial"/>
          <w:sz w:val="17"/>
          <w:szCs w:val="17"/>
          <w:b w:val="1"/>
          <w:bCs w:val="1"/>
          <w:color w:val="auto"/>
        </w:rPr>
        <w:t>Note 1. Unaudited Condensed Consolidated Financial Statements</w:t>
      </w:r>
    </w:p>
    <w:p>
      <w:pPr>
        <w:spacing w:after="0" w:line="110" w:lineRule="exact"/>
        <w:rPr>
          <w:sz w:val="20"/>
          <w:szCs w:val="20"/>
          <w:color w:val="auto"/>
        </w:rPr>
      </w:pPr>
    </w:p>
    <w:p>
      <w:pPr>
        <w:ind w:left="7"/>
        <w:spacing w:after="0"/>
        <w:rPr>
          <w:sz w:val="20"/>
          <w:szCs w:val="20"/>
          <w:color w:val="auto"/>
        </w:rPr>
      </w:pPr>
      <w:r>
        <w:rPr>
          <w:rFonts w:ascii="Arial" w:cs="Arial" w:eastAsia="Arial" w:hAnsi="Arial"/>
          <w:sz w:val="17"/>
          <w:szCs w:val="17"/>
          <w:color w:val="auto"/>
        </w:rPr>
        <w:t>Basis of Presentation</w:t>
      </w:r>
    </w:p>
    <w:p>
      <w:pPr>
        <w:spacing w:after="0" w:line="111" w:lineRule="exact"/>
        <w:rPr>
          <w:sz w:val="20"/>
          <w:szCs w:val="20"/>
          <w:color w:val="auto"/>
        </w:rPr>
      </w:pPr>
    </w:p>
    <w:p>
      <w:pPr>
        <w:ind w:left="7" w:right="80" w:firstLine="139"/>
        <w:spacing w:after="0" w:line="297" w:lineRule="auto"/>
        <w:rPr>
          <w:sz w:val="20"/>
          <w:szCs w:val="20"/>
          <w:color w:val="auto"/>
        </w:rPr>
      </w:pPr>
      <w:r>
        <w:rPr>
          <w:rFonts w:ascii="Arial" w:cs="Arial" w:eastAsia="Arial" w:hAnsi="Arial"/>
          <w:sz w:val="14"/>
          <w:szCs w:val="14"/>
          <w:color w:val="auto"/>
        </w:rPr>
        <w:t>The accompanying condensed consolidated financial statements of LivaNova as of, and for the three and nine months ended September 30, 2023 and 2022, have been prepared in accordance with U.S. GAAP for interim financial information and the instructions to Form 10-Q and Article 10 of Regulation S-X. The accompanying condensed consolidated balance sheet of LivaNova at December 31, 2022 has been derived from audited financial statements contained in LivaNova’s 2022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nine months ended September 30, 2023, and are not necessarily indicative of the results that may be expected for the year ending December 31, 2023. The financial information presented herein should be read in conjunction with the audited consolidated financial statements and notes thereto accompanying LivaNova’s 2022 Form 10-K.</w:t>
      </w:r>
    </w:p>
    <w:p>
      <w:pPr>
        <w:spacing w:after="0" w:line="53" w:lineRule="exact"/>
        <w:rPr>
          <w:sz w:val="20"/>
          <w:szCs w:val="20"/>
          <w:color w:val="auto"/>
        </w:rPr>
      </w:pPr>
    </w:p>
    <w:p>
      <w:pPr>
        <w:ind w:left="7"/>
        <w:spacing w:after="0"/>
        <w:rPr>
          <w:sz w:val="20"/>
          <w:szCs w:val="20"/>
          <w:color w:val="auto"/>
        </w:rPr>
      </w:pPr>
      <w:r>
        <w:rPr>
          <w:rFonts w:ascii="Arial" w:cs="Arial" w:eastAsia="Arial" w:hAnsi="Arial"/>
          <w:sz w:val="17"/>
          <w:szCs w:val="17"/>
          <w:color w:val="auto"/>
        </w:rPr>
        <w:t>Macroeconomic Environment</w:t>
      </w:r>
    </w:p>
    <w:p>
      <w:pPr>
        <w:spacing w:after="0" w:line="111" w:lineRule="exact"/>
        <w:rPr>
          <w:sz w:val="20"/>
          <w:szCs w:val="20"/>
          <w:color w:val="auto"/>
        </w:rPr>
      </w:pPr>
    </w:p>
    <w:p>
      <w:pPr>
        <w:ind w:left="7" w:right="20" w:firstLine="139"/>
        <w:spacing w:after="0" w:line="274" w:lineRule="auto"/>
        <w:rPr>
          <w:sz w:val="20"/>
          <w:szCs w:val="20"/>
          <w:color w:val="auto"/>
        </w:rPr>
      </w:pPr>
      <w:r>
        <w:rPr>
          <w:rFonts w:ascii="Arial" w:cs="Arial" w:eastAsia="Arial" w:hAnsi="Arial"/>
          <w:sz w:val="15"/>
          <w:szCs w:val="15"/>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72" w:lineRule="exact"/>
        <w:rPr>
          <w:sz w:val="20"/>
          <w:szCs w:val="20"/>
          <w:color w:val="auto"/>
        </w:rPr>
      </w:pPr>
    </w:p>
    <w:p>
      <w:pPr>
        <w:ind w:left="7" w:right="140" w:firstLine="139"/>
        <w:spacing w:after="0" w:line="274" w:lineRule="auto"/>
        <w:rPr>
          <w:sz w:val="20"/>
          <w:szCs w:val="20"/>
          <w:color w:val="auto"/>
        </w:rPr>
      </w:pPr>
      <w:r>
        <w:rPr>
          <w:rFonts w:ascii="Arial" w:cs="Arial" w:eastAsia="Arial" w:hAnsi="Arial"/>
          <w:sz w:val="15"/>
          <w:szCs w:val="15"/>
          <w:color w:val="auto"/>
        </w:rPr>
        <w:t>Conflicts, including those in Ukraine and the Middle East, have caused the Company to assess its ability to sell in certain markets due to any applicable international sanctions, consider the potential impact of raw material sourced from these areas, and determine whether LivaNova is able to transact in a compliant fashion. Net revenues from each of these conflict areas represented approximately 1%, respectively, of LivaNova’s total net revenue for 2022. These conflicts have increased economic uncertainties, and a significant escalation or continuation of these conflicts could have a material, global impact on the Company’s operating results.</w:t>
      </w:r>
    </w:p>
    <w:p>
      <w:pPr>
        <w:spacing w:after="0" w:line="79" w:lineRule="exact"/>
        <w:rPr>
          <w:sz w:val="20"/>
          <w:szCs w:val="20"/>
          <w:color w:val="auto"/>
        </w:rPr>
      </w:pPr>
    </w:p>
    <w:p>
      <w:pPr>
        <w:ind w:left="7"/>
        <w:spacing w:after="0"/>
        <w:rPr>
          <w:sz w:val="20"/>
          <w:szCs w:val="20"/>
          <w:color w:val="auto"/>
        </w:rPr>
      </w:pPr>
      <w:r>
        <w:rPr>
          <w:rFonts w:ascii="Arial" w:cs="Arial" w:eastAsia="Arial" w:hAnsi="Arial"/>
          <w:sz w:val="17"/>
          <w:szCs w:val="17"/>
          <w:color w:val="auto"/>
        </w:rPr>
        <w:t>Reclassifications</w:t>
      </w:r>
    </w:p>
    <w:p>
      <w:pPr>
        <w:spacing w:after="0" w:line="99" w:lineRule="exact"/>
        <w:rPr>
          <w:sz w:val="20"/>
          <w:szCs w:val="20"/>
          <w:color w:val="auto"/>
        </w:rPr>
      </w:pPr>
    </w:p>
    <w:p>
      <w:pPr>
        <w:ind w:left="7" w:right="380" w:firstLine="139"/>
        <w:spacing w:after="0" w:line="307" w:lineRule="auto"/>
        <w:rPr>
          <w:sz w:val="20"/>
          <w:szCs w:val="20"/>
          <w:color w:val="auto"/>
        </w:rPr>
      </w:pPr>
      <w:r>
        <w:rPr>
          <w:rFonts w:ascii="Arial" w:cs="Arial" w:eastAsia="Arial" w:hAnsi="Arial"/>
          <w:sz w:val="15"/>
          <w:szCs w:val="15"/>
          <w:color w:val="auto"/>
        </w:rPr>
        <w:t>The Company has reclassified certain prior period amounts on the condensed consolidated balance sheets for comparative purposes. These reclassifications had no impact on LivaNova’s financial condition.</w:t>
      </w:r>
    </w:p>
    <w:p>
      <w:pPr>
        <w:spacing w:after="0" w:line="54" w:lineRule="exact"/>
        <w:rPr>
          <w:sz w:val="20"/>
          <w:szCs w:val="20"/>
          <w:color w:val="auto"/>
        </w:rPr>
      </w:pPr>
    </w:p>
    <w:p>
      <w:pPr>
        <w:ind w:left="7"/>
        <w:spacing w:after="0"/>
        <w:rPr>
          <w:sz w:val="20"/>
          <w:szCs w:val="20"/>
          <w:color w:val="auto"/>
        </w:rPr>
      </w:pPr>
      <w:r>
        <w:rPr>
          <w:rFonts w:ascii="Arial" w:cs="Arial" w:eastAsia="Arial" w:hAnsi="Arial"/>
          <w:sz w:val="17"/>
          <w:szCs w:val="17"/>
          <w:color w:val="auto"/>
        </w:rPr>
        <w:t>Significant Accounting Policies</w:t>
      </w:r>
    </w:p>
    <w:p>
      <w:pPr>
        <w:spacing w:after="0" w:line="99" w:lineRule="exact"/>
        <w:rPr>
          <w:sz w:val="20"/>
          <w:szCs w:val="20"/>
          <w:color w:val="auto"/>
        </w:rPr>
      </w:pPr>
    </w:p>
    <w:p>
      <w:pPr>
        <w:ind w:left="147"/>
        <w:spacing w:after="0"/>
        <w:rPr>
          <w:sz w:val="20"/>
          <w:szCs w:val="20"/>
          <w:color w:val="auto"/>
        </w:rPr>
      </w:pPr>
      <w:r>
        <w:rPr>
          <w:rFonts w:ascii="Arial" w:cs="Arial" w:eastAsia="Arial" w:hAnsi="Arial"/>
          <w:sz w:val="14"/>
          <w:szCs w:val="14"/>
          <w:color w:val="auto"/>
        </w:rPr>
        <w:t>LivaNova’s significant accounting policies are detailed below and in “Note 2. Basis of Presentation, Use of Accounting Estimates and Significant Accounting Policies” and “Note</w:t>
      </w:r>
    </w:p>
    <w:p>
      <w:pPr>
        <w:spacing w:after="0" w:line="36" w:lineRule="exact"/>
        <w:rPr>
          <w:sz w:val="20"/>
          <w:szCs w:val="20"/>
          <w:color w:val="auto"/>
        </w:rPr>
      </w:pPr>
    </w:p>
    <w:p>
      <w:pPr>
        <w:ind w:left="147" w:hanging="147"/>
        <w:spacing w:after="0"/>
        <w:tabs>
          <w:tab w:leader="none" w:pos="147"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Revenue Recognition” of LivaNova’s 2022 Form 10-K.</w:t>
      </w:r>
    </w:p>
    <w:p>
      <w:pPr>
        <w:spacing w:after="0" w:line="109" w:lineRule="exact"/>
        <w:rPr>
          <w:rFonts w:ascii="Arial" w:cs="Arial" w:eastAsia="Arial" w:hAnsi="Arial"/>
          <w:sz w:val="15"/>
          <w:szCs w:val="15"/>
          <w:color w:val="auto"/>
        </w:rPr>
      </w:pPr>
    </w:p>
    <w:p>
      <w:pPr>
        <w:ind w:left="7"/>
        <w:spacing w:after="0"/>
        <w:rPr>
          <w:rFonts w:ascii="Arial" w:cs="Arial" w:eastAsia="Arial" w:hAnsi="Arial"/>
          <w:sz w:val="15"/>
          <w:szCs w:val="15"/>
          <w:color w:val="auto"/>
        </w:rPr>
      </w:pPr>
      <w:r>
        <w:rPr>
          <w:rFonts w:ascii="Arial" w:cs="Arial" w:eastAsia="Arial" w:hAnsi="Arial"/>
          <w:sz w:val="17"/>
          <w:szCs w:val="17"/>
          <w:b w:val="1"/>
          <w:bCs w:val="1"/>
          <w:color w:val="auto"/>
        </w:rPr>
        <w:t>Note 2. Business Combinations</w:t>
      </w:r>
    </w:p>
    <w:p>
      <w:pPr>
        <w:spacing w:after="0" w:line="115" w:lineRule="exact"/>
        <w:rPr>
          <w:sz w:val="20"/>
          <w:szCs w:val="20"/>
          <w:color w:val="auto"/>
        </w:rPr>
      </w:pPr>
    </w:p>
    <w:p>
      <w:pPr>
        <w:ind w:left="7" w:firstLine="139"/>
        <w:spacing w:after="0" w:line="280" w:lineRule="auto"/>
        <w:rPr>
          <w:sz w:val="20"/>
          <w:szCs w:val="20"/>
          <w:color w:val="auto"/>
        </w:rPr>
      </w:pPr>
      <w:r>
        <w:rPr>
          <w:rFonts w:ascii="Arial" w:cs="Arial" w:eastAsia="Arial" w:hAnsi="Arial"/>
          <w:sz w:val="15"/>
          <w:szCs w:val="15"/>
          <w:color w:val="auto"/>
        </w:rPr>
        <w:t>As of December 31, 2021, LivaNova owned a 3% investment in ALung, a privately held medical device company focused on creating advanced medical devices for treating respiratory failure. On May 2, 2022, LivaNova acquired the remaining 97% of equity interests in ALung for a purchase price of up to $110.0 million, consisting of $10.0 million paid at closing, subject to customary adjustments, and contingent consideration of up to $100.0 million payable upon achievement of certain sales-based milestones beginning in 2023 and ending in 2027. Total consideration included approximately $5.5 million of non-cash consideration.</w:t>
      </w:r>
    </w:p>
    <w:p>
      <w:pPr>
        <w:spacing w:after="0" w:line="200" w:lineRule="exact"/>
        <w:rPr>
          <w:sz w:val="20"/>
          <w:szCs w:val="20"/>
          <w:color w:val="auto"/>
        </w:rPr>
      </w:pPr>
    </w:p>
    <w:p>
      <w:pPr>
        <w:spacing w:after="0" w:line="237" w:lineRule="exact"/>
        <w:rPr>
          <w:sz w:val="20"/>
          <w:szCs w:val="20"/>
          <w:color w:val="auto"/>
        </w:rPr>
      </w:pPr>
    </w:p>
    <w:p>
      <w:pPr>
        <w:jc w:val="center"/>
        <w:ind w:right="-146"/>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17677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7"/>
          </w:cols>
          <w:pgMar w:left="313" w:top="785" w:right="339" w:bottom="1440" w:gutter="0" w:footer="0" w:header="0"/>
        </w:sectPr>
      </w:pPr>
    </w:p>
    <w:bookmarkStart w:id="10" w:name="page11"/>
    <w:bookmarkEnd w:id="10"/>
    <w:p>
      <w:pPr>
        <w:ind w:right="240" w:firstLine="139"/>
        <w:spacing w:after="0" w:line="307" w:lineRule="auto"/>
        <w:rPr>
          <w:sz w:val="20"/>
          <w:szCs w:val="20"/>
          <w:color w:val="auto"/>
        </w:rPr>
      </w:pPr>
      <w:r>
        <w:rPr>
          <w:rFonts w:ascii="Arial" w:cs="Arial" w:eastAsia="Arial" w:hAnsi="Arial"/>
          <w:sz w:val="15"/>
          <w:szCs w:val="15"/>
          <w:color w:val="auto"/>
        </w:rPr>
        <w:t>The following table presents the acquisition date fair value of the consideration transferred and the fair value of LivaNova’s interest in ALung prior to the acquisition, including certain measurement period adjustments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2"/>
          </w:tcPr>
          <w:p>
            <w:pPr>
              <w:ind w:left="180"/>
              <w:spacing w:after="0"/>
              <w:rPr>
                <w:sz w:val="20"/>
                <w:szCs w:val="20"/>
                <w:color w:val="auto"/>
              </w:rPr>
            </w:pPr>
            <w:r>
              <w:rPr>
                <w:rFonts w:ascii="Arial" w:cs="Arial" w:eastAsia="Arial" w:hAnsi="Arial"/>
                <w:sz w:val="15"/>
                <w:szCs w:val="15"/>
                <w:b w:val="1"/>
                <w:bCs w:val="1"/>
                <w:color w:val="auto"/>
              </w:rPr>
              <w:t>Initial Fair Value of</w:t>
            </w:r>
          </w:p>
        </w:tc>
        <w:tc>
          <w:tcPr>
            <w:tcW w:w="240" w:type="dxa"/>
            <w:vAlign w:val="bottom"/>
          </w:tcPr>
          <w:p>
            <w:pPr>
              <w:spacing w:after="0"/>
              <w:rPr>
                <w:sz w:val="14"/>
                <w:szCs w:val="14"/>
                <w:color w:val="auto"/>
              </w:rPr>
            </w:pPr>
          </w:p>
        </w:tc>
        <w:tc>
          <w:tcPr>
            <w:tcW w:w="2080" w:type="dxa"/>
            <w:vAlign w:val="bottom"/>
            <w:gridSpan w:val="2"/>
          </w:tcPr>
          <w:p>
            <w:pPr>
              <w:ind w:left="180"/>
              <w:spacing w:after="0"/>
              <w:rPr>
                <w:sz w:val="20"/>
                <w:szCs w:val="20"/>
                <w:color w:val="auto"/>
              </w:rPr>
            </w:pPr>
            <w:r>
              <w:rPr>
                <w:rFonts w:ascii="Arial" w:cs="Arial" w:eastAsia="Arial" w:hAnsi="Arial"/>
                <w:sz w:val="15"/>
                <w:szCs w:val="15"/>
                <w:b w:val="1"/>
                <w:bCs w:val="1"/>
                <w:color w:val="auto"/>
              </w:rPr>
              <w:t>Measurement Period</w:t>
            </w:r>
          </w:p>
        </w:tc>
        <w:tc>
          <w:tcPr>
            <w:tcW w:w="220" w:type="dxa"/>
            <w:vAlign w:val="bottom"/>
          </w:tcPr>
          <w:p>
            <w:pPr>
              <w:spacing w:after="0"/>
              <w:rPr>
                <w:sz w:val="14"/>
                <w:szCs w:val="14"/>
                <w:color w:val="auto"/>
              </w:rPr>
            </w:pPr>
          </w:p>
        </w:tc>
        <w:tc>
          <w:tcPr>
            <w:tcW w:w="2000" w:type="dxa"/>
            <w:vAlign w:val="bottom"/>
          </w:tcPr>
          <w:p>
            <w:pPr>
              <w:jc w:val="right"/>
              <w:ind w:right="283"/>
              <w:spacing w:after="0"/>
              <w:rPr>
                <w:sz w:val="20"/>
                <w:szCs w:val="20"/>
                <w:color w:val="auto"/>
              </w:rPr>
            </w:pPr>
            <w:r>
              <w:rPr>
                <w:rFonts w:ascii="Arial" w:cs="Arial" w:eastAsia="Arial" w:hAnsi="Arial"/>
                <w:sz w:val="15"/>
                <w:szCs w:val="15"/>
                <w:b w:val="1"/>
                <w:bCs w:val="1"/>
                <w:color w:val="auto"/>
              </w:rPr>
              <w:t>Adjusted Fair Value of</w:t>
            </w:r>
          </w:p>
        </w:tc>
      </w:tr>
      <w:tr>
        <w:trPr>
          <w:trHeight w:val="204"/>
        </w:trPr>
        <w:tc>
          <w:tcPr>
            <w:tcW w:w="44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Consideration</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543"/>
              <w:spacing w:after="0" w:line="204" w:lineRule="exact"/>
              <w:rPr>
                <w:sz w:val="20"/>
                <w:szCs w:val="20"/>
                <w:color w:val="auto"/>
              </w:rPr>
            </w:pPr>
            <w:r>
              <w:rPr>
                <w:rFonts w:ascii="Arial" w:cs="Arial" w:eastAsia="Arial" w:hAnsi="Arial"/>
                <w:sz w:val="15"/>
                <w:szCs w:val="15"/>
                <w:b w:val="1"/>
                <w:bCs w:val="1"/>
                <w:color w:val="auto"/>
              </w:rPr>
              <w:t xml:space="preserve">Adjustments </w:t>
            </w:r>
            <w:r>
              <w:rPr>
                <w:rFonts w:ascii="Arial" w:cs="Arial" w:eastAsia="Arial" w:hAnsi="Arial"/>
                <w:sz w:val="20"/>
                <w:szCs w:val="20"/>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Consideration</w:t>
            </w: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Cash and other considerations</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15,586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2080" w:type="dxa"/>
            <w:vAlign w:val="bottom"/>
            <w:gridSpan w:val="2"/>
            <w:shd w:val="clear" w:color="auto" w:fill="CCEEFF"/>
          </w:tcPr>
          <w:p>
            <w:pPr>
              <w:ind w:left="17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15,586</w:t>
            </w:r>
          </w:p>
        </w:tc>
      </w:tr>
      <w:tr>
        <w:trPr>
          <w:trHeight w:val="197"/>
        </w:trPr>
        <w:tc>
          <w:tcPr>
            <w:tcW w:w="44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Contingent consideration</w:t>
            </w: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26,369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16,791</w:t>
            </w:r>
          </w:p>
        </w:tc>
      </w:tr>
      <w:tr>
        <w:trPr>
          <w:trHeight w:val="214"/>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Fair value of consideration transferred</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41,955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(9,578)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32,377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During the third quarter of 2022, measurement period adjustments were recorded based on information obtained about facts and circumstances that existed as of the acquisition date.</w:t>
      </w:r>
    </w:p>
    <w:p>
      <w:pPr>
        <w:spacing w:after="0" w:line="104" w:lineRule="exact"/>
        <w:rPr>
          <w:sz w:val="20"/>
          <w:szCs w:val="20"/>
          <w:color w:val="auto"/>
        </w:rPr>
      </w:pPr>
    </w:p>
    <w:p>
      <w:pPr>
        <w:jc w:val="both"/>
        <w:ind w:right="20" w:firstLine="139"/>
        <w:spacing w:after="0" w:line="307" w:lineRule="auto"/>
        <w:rPr>
          <w:sz w:val="20"/>
          <w:szCs w:val="20"/>
          <w:color w:val="auto"/>
        </w:rPr>
      </w:pPr>
      <w:r>
        <w:rPr>
          <w:rFonts w:ascii="Arial" w:cs="Arial" w:eastAsia="Arial" w:hAnsi="Arial"/>
          <w:sz w:val="15"/>
          <w:szCs w:val="15"/>
          <w:color w:val="auto"/>
        </w:rPr>
        <w:t>The purchase price allocation at fair value for the ALung acquisition was finalized during the second quarter of 2023 and is presented in the following table, which includes certain measurement period adjustments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3"/>
              </w:rPr>
              <w:t>Measurement Period</w:t>
            </w:r>
          </w:p>
        </w:tc>
        <w:tc>
          <w:tcPr>
            <w:tcW w:w="200" w:type="dxa"/>
            <w:vAlign w:val="bottom"/>
          </w:tcPr>
          <w:p>
            <w:pPr>
              <w:spacing w:after="0"/>
              <w:rPr>
                <w:sz w:val="14"/>
                <w:szCs w:val="14"/>
                <w:color w:val="auto"/>
              </w:rPr>
            </w:pPr>
          </w:p>
        </w:tc>
        <w:tc>
          <w:tcPr>
            <w:tcW w:w="2020" w:type="dxa"/>
            <w:vAlign w:val="bottom"/>
          </w:tcPr>
          <w:p>
            <w:pPr>
              <w:jc w:val="right"/>
              <w:ind w:right="223"/>
              <w:spacing w:after="0"/>
              <w:rPr>
                <w:sz w:val="20"/>
                <w:szCs w:val="20"/>
                <w:color w:val="auto"/>
              </w:rPr>
            </w:pPr>
            <w:r>
              <w:rPr>
                <w:rFonts w:ascii="Arial" w:cs="Arial" w:eastAsia="Arial" w:hAnsi="Arial"/>
                <w:sz w:val="15"/>
                <w:szCs w:val="15"/>
                <w:b w:val="1"/>
                <w:bCs w:val="1"/>
                <w:color w:val="auto"/>
                <w:w w:val="96"/>
              </w:rPr>
              <w:t>Adjusted Purchase Price</w:t>
            </w:r>
          </w:p>
        </w:tc>
      </w:tr>
      <w:tr>
        <w:trPr>
          <w:trHeight w:val="209"/>
        </w:trPr>
        <w:tc>
          <w:tcPr>
            <w:tcW w:w="4400" w:type="dxa"/>
            <w:vAlign w:val="bottom"/>
          </w:tcPr>
          <w:p>
            <w:pPr>
              <w:spacing w:after="0"/>
              <w:rPr>
                <w:sz w:val="18"/>
                <w:szCs w:val="18"/>
                <w:color w:val="auto"/>
              </w:rPr>
            </w:pPr>
          </w:p>
        </w:tc>
        <w:tc>
          <w:tcPr>
            <w:tcW w:w="2320" w:type="dxa"/>
            <w:vAlign w:val="bottom"/>
            <w:gridSpan w:val="3"/>
          </w:tcPr>
          <w:p>
            <w:pPr>
              <w:ind w:left="40"/>
              <w:spacing w:after="0"/>
              <w:rPr>
                <w:sz w:val="20"/>
                <w:szCs w:val="20"/>
                <w:color w:val="auto"/>
              </w:rPr>
            </w:pPr>
            <w:r>
              <w:rPr>
                <w:rFonts w:ascii="Arial" w:cs="Arial" w:eastAsia="Arial" w:hAnsi="Arial"/>
                <w:sz w:val="15"/>
                <w:szCs w:val="15"/>
                <w:b w:val="1"/>
                <w:bCs w:val="1"/>
                <w:color w:val="auto"/>
                <w:w w:val="98"/>
              </w:rPr>
              <w:t>Initial Purchase Price Allocation</w:t>
            </w:r>
          </w:p>
        </w:tc>
        <w:tc>
          <w:tcPr>
            <w:tcW w:w="240" w:type="dxa"/>
            <w:vAlign w:val="bottom"/>
          </w:tcPr>
          <w:p>
            <w:pPr>
              <w:spacing w:after="0"/>
              <w:rPr>
                <w:sz w:val="18"/>
                <w:szCs w:val="18"/>
                <w:color w:val="auto"/>
              </w:rPr>
            </w:pPr>
          </w:p>
        </w:tc>
        <w:tc>
          <w:tcPr>
            <w:tcW w:w="2080" w:type="dxa"/>
            <w:vAlign w:val="bottom"/>
            <w:gridSpan w:val="2"/>
          </w:tcPr>
          <w:p>
            <w:pPr>
              <w:jc w:val="center"/>
              <w:ind w:right="360"/>
              <w:spacing w:after="0" w:line="209" w:lineRule="exact"/>
              <w:rPr>
                <w:sz w:val="20"/>
                <w:szCs w:val="20"/>
                <w:color w:val="auto"/>
              </w:rPr>
            </w:pPr>
            <w:r>
              <w:rPr>
                <w:rFonts w:ascii="Arial" w:cs="Arial" w:eastAsia="Arial" w:hAnsi="Arial"/>
                <w:sz w:val="15"/>
                <w:szCs w:val="15"/>
                <w:b w:val="1"/>
                <w:bCs w:val="1"/>
                <w:color w:val="auto"/>
                <w:w w:val="89"/>
              </w:rPr>
              <w:t xml:space="preserve">Adjustments </w:t>
            </w:r>
            <w:r>
              <w:rPr>
                <w:rFonts w:ascii="Arial" w:cs="Arial" w:eastAsia="Arial" w:hAnsi="Arial"/>
                <w:sz w:val="20"/>
                <w:szCs w:val="20"/>
                <w:b w:val="1"/>
                <w:bCs w:val="1"/>
                <w:color w:val="auto"/>
                <w:w w:val="89"/>
                <w:vertAlign w:val="superscript"/>
              </w:rPr>
              <w:t>(1)</w:t>
            </w:r>
          </w:p>
        </w:tc>
        <w:tc>
          <w:tcPr>
            <w:tcW w:w="200" w:type="dxa"/>
            <w:vAlign w:val="bottom"/>
          </w:tcPr>
          <w:p>
            <w:pPr>
              <w:spacing w:after="0"/>
              <w:rPr>
                <w:sz w:val="18"/>
                <w:szCs w:val="18"/>
                <w:color w:val="auto"/>
              </w:rPr>
            </w:pPr>
          </w:p>
        </w:tc>
        <w:tc>
          <w:tcPr>
            <w:tcW w:w="2020" w:type="dxa"/>
            <w:vAlign w:val="bottom"/>
          </w:tcPr>
          <w:p>
            <w:pPr>
              <w:jc w:val="right"/>
              <w:ind w:right="703"/>
              <w:spacing w:after="0"/>
              <w:rPr>
                <w:sz w:val="20"/>
                <w:szCs w:val="20"/>
                <w:color w:val="auto"/>
              </w:rPr>
            </w:pPr>
            <w:r>
              <w:rPr>
                <w:rFonts w:ascii="Arial" w:cs="Arial" w:eastAsia="Arial" w:hAnsi="Arial"/>
                <w:sz w:val="15"/>
                <w:szCs w:val="15"/>
                <w:b w:val="1"/>
                <w:bCs w:val="1"/>
                <w:color w:val="auto"/>
              </w:rPr>
              <w:t>Allocation</w:t>
            </w:r>
          </w:p>
        </w:tc>
      </w:tr>
      <w:tr>
        <w:trPr>
          <w:trHeight w:val="18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Developed technology - 15-year life</w:t>
            </w: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13,950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(11,050)</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2,900</w:t>
            </w:r>
          </w:p>
        </w:tc>
      </w:tr>
      <w:tr>
        <w:trPr>
          <w:trHeight w:val="197"/>
        </w:trPr>
        <w:tc>
          <w:tcPr>
            <w:tcW w:w="4400" w:type="dxa"/>
            <w:vAlign w:val="bottom"/>
          </w:tcPr>
          <w:p>
            <w:pPr>
              <w:spacing w:after="0"/>
              <w:rPr>
                <w:sz w:val="20"/>
                <w:szCs w:val="20"/>
                <w:color w:val="auto"/>
              </w:rPr>
            </w:pPr>
            <w:r>
              <w:rPr>
                <w:rFonts w:ascii="Arial" w:cs="Arial" w:eastAsia="Arial" w:hAnsi="Arial"/>
                <w:sz w:val="15"/>
                <w:szCs w:val="15"/>
                <w:color w:val="auto"/>
              </w:rPr>
              <w:t>Goodwill</w:t>
            </w:r>
          </w:p>
        </w:tc>
        <w:tc>
          <w:tcPr>
            <w:tcW w:w="920" w:type="dxa"/>
            <w:vAlign w:val="bottom"/>
          </w:tcPr>
          <w:p>
            <w:pPr>
              <w:spacing w:after="0"/>
              <w:rPr>
                <w:sz w:val="17"/>
                <w:szCs w:val="17"/>
                <w:color w:val="auto"/>
              </w:rPr>
            </w:pPr>
          </w:p>
        </w:tc>
        <w:tc>
          <w:tcPr>
            <w:tcW w:w="1300" w:type="dxa"/>
            <w:vAlign w:val="bottom"/>
          </w:tcPr>
          <w:p>
            <w:pPr>
              <w:jc w:val="right"/>
              <w:ind w:right="3"/>
              <w:spacing w:after="0"/>
              <w:rPr>
                <w:sz w:val="20"/>
                <w:szCs w:val="20"/>
                <w:color w:val="auto"/>
              </w:rPr>
            </w:pPr>
            <w:r>
              <w:rPr>
                <w:rFonts w:ascii="Arial" w:cs="Arial" w:eastAsia="Arial" w:hAnsi="Arial"/>
                <w:sz w:val="15"/>
                <w:szCs w:val="15"/>
                <w:color w:val="auto"/>
              </w:rPr>
              <w:t>25,893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977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5"/>
                <w:szCs w:val="15"/>
                <w:color w:val="auto"/>
              </w:rPr>
              <w:t>26,870</w:t>
            </w:r>
          </w:p>
        </w:tc>
      </w:tr>
      <w:tr>
        <w:trPr>
          <w:trHeight w:val="197"/>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Other assets and liabilities, net</w:t>
            </w:r>
          </w:p>
        </w:tc>
        <w:tc>
          <w:tcPr>
            <w:tcW w:w="9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2,112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2,607</w:t>
            </w:r>
          </w:p>
        </w:tc>
      </w:tr>
      <w:tr>
        <w:trPr>
          <w:trHeight w:val="189"/>
        </w:trPr>
        <w:tc>
          <w:tcPr>
            <w:tcW w:w="4400" w:type="dxa"/>
            <w:vAlign w:val="bottom"/>
          </w:tcPr>
          <w:p>
            <w:pPr>
              <w:spacing w:after="0"/>
              <w:rPr>
                <w:sz w:val="20"/>
                <w:szCs w:val="20"/>
                <w:color w:val="auto"/>
              </w:rPr>
            </w:pPr>
            <w:r>
              <w:rPr>
                <w:rFonts w:ascii="Arial" w:cs="Arial" w:eastAsia="Arial" w:hAnsi="Arial"/>
                <w:sz w:val="15"/>
                <w:szCs w:val="15"/>
                <w:color w:val="auto"/>
              </w:rPr>
              <w:t>Net assets acquired</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41,955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32,377</w:t>
            </w:r>
          </w:p>
        </w:tc>
      </w:tr>
      <w:tr>
        <w:trPr>
          <w:trHeight w:val="20"/>
        </w:trPr>
        <w:tc>
          <w:tcPr>
            <w:tcW w:w="4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During the third quarter of 2022, measurement period adjustments were recorded based on information obtained about facts and circumstances that existed as of the acquisition date.</w:t>
      </w:r>
    </w:p>
    <w:p>
      <w:pPr>
        <w:spacing w:after="0" w:line="104" w:lineRule="exact"/>
        <w:rPr>
          <w:sz w:val="20"/>
          <w:szCs w:val="20"/>
          <w:color w:val="auto"/>
        </w:rPr>
      </w:pPr>
    </w:p>
    <w:p>
      <w:pPr>
        <w:ind w:right="140" w:firstLine="139"/>
        <w:spacing w:after="0" w:line="282" w:lineRule="auto"/>
        <w:rPr>
          <w:sz w:val="20"/>
          <w:szCs w:val="20"/>
          <w:color w:val="auto"/>
        </w:rPr>
      </w:pPr>
      <w:r>
        <w:rPr>
          <w:rFonts w:ascii="Arial" w:cs="Arial" w:eastAsia="Arial" w:hAnsi="Arial"/>
          <w:sz w:val="15"/>
          <w:szCs w:val="15"/>
          <w:color w:val="auto"/>
        </w:rPr>
        <w:t>Goodwill arising from the ALung acquisition, which is not deductible for tax purposes, primarily represents the synergies anticipated between ALung and the Company’s ACS business. The assets acquired, including goodwill, are recognized in LivaNova’s ACS segment. The goodwill for the ACS reporting unit was fully impaired during the third quarter of 2022.</w:t>
      </w:r>
    </w:p>
    <w:p>
      <w:pPr>
        <w:spacing w:after="0" w:line="65" w:lineRule="exact"/>
        <w:rPr>
          <w:sz w:val="20"/>
          <w:szCs w:val="20"/>
          <w:color w:val="auto"/>
        </w:rPr>
      </w:pPr>
    </w:p>
    <w:p>
      <w:pPr>
        <w:ind w:right="140" w:firstLine="139"/>
        <w:spacing w:after="0" w:line="291" w:lineRule="auto"/>
        <w:rPr>
          <w:sz w:val="20"/>
          <w:szCs w:val="20"/>
          <w:color w:val="auto"/>
        </w:rPr>
      </w:pPr>
      <w:r>
        <w:rPr>
          <w:rFonts w:ascii="Arial" w:cs="Arial" w:eastAsia="Arial" w:hAnsi="Arial"/>
          <w:sz w:val="15"/>
          <w:szCs w:val="15"/>
          <w:color w:val="auto"/>
        </w:rPr>
        <w:t>The Company’s condensed consolidated financial statements include the operating results of ALung from the acquisition date. Separate post-acquisition operating results and pro forma financial information for this acquisition have not been presented as the effect was not material.</w:t>
      </w:r>
    </w:p>
    <w:p>
      <w:pPr>
        <w:spacing w:after="0" w:line="58" w:lineRule="exact"/>
        <w:rPr>
          <w:sz w:val="20"/>
          <w:szCs w:val="20"/>
          <w:color w:val="auto"/>
        </w:rPr>
      </w:pPr>
    </w:p>
    <w:p>
      <w:pPr>
        <w:ind w:right="60" w:firstLine="139"/>
        <w:spacing w:after="0" w:line="282" w:lineRule="auto"/>
        <w:rPr>
          <w:sz w:val="20"/>
          <w:szCs w:val="20"/>
          <w:color w:val="auto"/>
        </w:rPr>
      </w:pPr>
      <w:r>
        <w:rPr>
          <w:rFonts w:ascii="Arial" w:cs="Arial" w:eastAsia="Arial" w:hAnsi="Arial"/>
          <w:sz w:val="15"/>
          <w:szCs w:val="15"/>
          <w:color w:val="auto"/>
        </w:rPr>
        <w:t>The contingent consideration payments are triggered upon the achievement of thresholds associated with sales of products covered by the purchase agreement and are estimated to occur during the years reflected in the table below. The sales-based earnout was valued using projected sales from the Company’s internal strategic plan and is a Level 3 fair value measurement, which includes the following significant unobservable inputs (in thousands):</w:t>
      </w:r>
    </w:p>
    <w:tbl>
      <w:tblPr>
        <w:tblLayout w:type="fixed"/>
        <w:tblInd w:w="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180"/>
              <w:spacing w:after="0" w:line="157" w:lineRule="exact"/>
              <w:rPr>
                <w:sz w:val="20"/>
                <w:szCs w:val="20"/>
                <w:color w:val="auto"/>
              </w:rPr>
            </w:pPr>
            <w:r>
              <w:rPr>
                <w:rFonts w:ascii="Arial" w:cs="Arial" w:eastAsia="Arial" w:hAnsi="Arial"/>
                <w:sz w:val="15"/>
                <w:szCs w:val="15"/>
                <w:b w:val="1"/>
                <w:bCs w:val="1"/>
                <w:color w:val="auto"/>
                <w:w w:val="98"/>
              </w:rPr>
              <w:t>Fair value at May 2,</w:t>
            </w: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09"/>
        </w:trPr>
        <w:tc>
          <w:tcPr>
            <w:tcW w:w="25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ALung Acquisition</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80" w:type="dxa"/>
            <w:vAlign w:val="bottom"/>
            <w:tcBorders>
              <w:bottom w:val="single" w:sz="8" w:color="auto"/>
            </w:tcBorders>
          </w:tcPr>
          <w:p>
            <w:pPr>
              <w:ind w:left="560"/>
              <w:spacing w:after="0"/>
              <w:rPr>
                <w:sz w:val="20"/>
                <w:szCs w:val="20"/>
                <w:color w:val="auto"/>
              </w:rPr>
            </w:pPr>
            <w:r>
              <w:rPr>
                <w:rFonts w:ascii="Arial" w:cs="Arial" w:eastAsia="Arial" w:hAnsi="Arial"/>
                <w:sz w:val="15"/>
                <w:szCs w:val="15"/>
                <w:b w:val="1"/>
                <w:bCs w:val="1"/>
                <w:color w:val="auto"/>
              </w:rPr>
              <w:t>Valuation Technique</w:t>
            </w:r>
          </w:p>
        </w:tc>
        <w:tc>
          <w:tcPr>
            <w:tcW w:w="120" w:type="dxa"/>
            <w:vAlign w:val="bottom"/>
            <w:tcBorders>
              <w:bottom w:val="single" w:sz="8" w:color="CCEEFF"/>
            </w:tcBorders>
          </w:tcPr>
          <w:p>
            <w:pPr>
              <w:spacing w:after="0"/>
              <w:rPr>
                <w:sz w:val="18"/>
                <w:szCs w:val="18"/>
                <w:color w:val="auto"/>
              </w:rPr>
            </w:pPr>
          </w:p>
        </w:tc>
        <w:tc>
          <w:tcPr>
            <w:tcW w:w="260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2"/>
              </w:rPr>
              <w:t>Ranges</w:t>
            </w:r>
          </w:p>
        </w:tc>
        <w:tc>
          <w:tcPr>
            <w:tcW w:w="580" w:type="dxa"/>
            <w:vAlign w:val="bottom"/>
            <w:tcBorders>
              <w:bottom w:val="single" w:sz="8" w:color="auto"/>
            </w:tcBorders>
          </w:tcPr>
          <w:p>
            <w:pPr>
              <w:spacing w:after="0"/>
              <w:rPr>
                <w:sz w:val="18"/>
                <w:szCs w:val="18"/>
                <w:color w:val="auto"/>
              </w:rPr>
            </w:pPr>
          </w:p>
        </w:tc>
      </w:tr>
      <w:tr>
        <w:trPr>
          <w:trHeight w:val="189"/>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Sales-based earnout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16,791</w:t>
            </w:r>
          </w:p>
        </w:tc>
        <w:tc>
          <w:tcPr>
            <w:tcW w:w="120" w:type="dxa"/>
            <w:vAlign w:val="bottom"/>
            <w:shd w:val="clear" w:color="auto" w:fill="CCEEFF"/>
          </w:tcPr>
          <w:p>
            <w:pPr>
              <w:spacing w:after="0"/>
              <w:rPr>
                <w:sz w:val="16"/>
                <w:szCs w:val="16"/>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Monte Carlo simulation</w:t>
            </w:r>
          </w:p>
        </w:tc>
        <w:tc>
          <w:tcPr>
            <w:tcW w:w="2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Risk-adjusted discount rate</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79"/>
              </w:rPr>
              <w:t>-</w:t>
            </w:r>
          </w:p>
        </w:tc>
        <w:tc>
          <w:tcPr>
            <w:tcW w:w="5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8.4%</w:t>
            </w:r>
          </w:p>
        </w:tc>
      </w:tr>
      <w:tr>
        <w:trPr>
          <w:trHeight w:val="19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5"/>
                <w:szCs w:val="15"/>
                <w:color w:val="auto"/>
              </w:rPr>
              <w:t>Credit risk discount rate</w:t>
            </w:r>
          </w:p>
        </w:tc>
        <w:tc>
          <w:tcPr>
            <w:tcW w:w="560" w:type="dxa"/>
            <w:vAlign w:val="bottom"/>
          </w:tcPr>
          <w:p>
            <w:pPr>
              <w:jc w:val="right"/>
              <w:spacing w:after="0"/>
              <w:rPr>
                <w:sz w:val="20"/>
                <w:szCs w:val="20"/>
                <w:color w:val="auto"/>
              </w:rPr>
            </w:pPr>
            <w:r>
              <w:rPr>
                <w:rFonts w:ascii="Arial" w:cs="Arial" w:eastAsia="Arial" w:hAnsi="Arial"/>
                <w:sz w:val="15"/>
                <w:szCs w:val="15"/>
                <w:color w:val="auto"/>
              </w:rPr>
              <w:t>6.4%</w:t>
            </w:r>
          </w:p>
        </w:tc>
        <w:tc>
          <w:tcPr>
            <w:tcW w:w="58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580" w:type="dxa"/>
            <w:vAlign w:val="bottom"/>
          </w:tcPr>
          <w:p>
            <w:pPr>
              <w:jc w:val="right"/>
              <w:ind w:right="123"/>
              <w:spacing w:after="0"/>
              <w:rPr>
                <w:sz w:val="20"/>
                <w:szCs w:val="20"/>
                <w:color w:val="auto"/>
              </w:rPr>
            </w:pPr>
            <w:r>
              <w:rPr>
                <w:rFonts w:ascii="Arial" w:cs="Arial" w:eastAsia="Arial" w:hAnsi="Arial"/>
                <w:sz w:val="15"/>
                <w:szCs w:val="15"/>
                <w:color w:val="auto"/>
              </w:rPr>
              <w:t>8.0%</w:t>
            </w:r>
          </w:p>
        </w:tc>
      </w:tr>
      <w:tr>
        <w:trPr>
          <w:trHeight w:val="198"/>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 volatility</w:t>
            </w: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25.7%</w:t>
            </w:r>
          </w:p>
        </w:tc>
        <w:tc>
          <w:tcPr>
            <w:tcW w:w="580" w:type="dxa"/>
            <w:vAlign w:val="bottom"/>
            <w:shd w:val="clear" w:color="auto" w:fill="CCEEFF"/>
          </w:tcPr>
          <w:p>
            <w:pPr>
              <w:spacing w:after="0"/>
              <w:rPr>
                <w:sz w:val="17"/>
                <w:szCs w:val="17"/>
                <w:color w:val="auto"/>
              </w:rPr>
            </w:pPr>
          </w:p>
        </w:tc>
      </w:tr>
      <w:tr>
        <w:trPr>
          <w:trHeight w:val="197"/>
        </w:trPr>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2"/>
          </w:tcPr>
          <w:p>
            <w:pPr>
              <w:spacing w:after="0"/>
              <w:rPr>
                <w:sz w:val="20"/>
                <w:szCs w:val="20"/>
                <w:color w:val="auto"/>
              </w:rPr>
            </w:pPr>
            <w:r>
              <w:rPr>
                <w:rFonts w:ascii="Arial" w:cs="Arial" w:eastAsia="Arial" w:hAnsi="Arial"/>
                <w:sz w:val="15"/>
                <w:szCs w:val="15"/>
                <w:color w:val="auto"/>
              </w:rPr>
              <w:t>Projected years of earnout</w:t>
            </w:r>
          </w:p>
        </w:tc>
        <w:tc>
          <w:tcPr>
            <w:tcW w:w="560" w:type="dxa"/>
            <w:vAlign w:val="bottom"/>
          </w:tcPr>
          <w:p>
            <w:pPr>
              <w:jc w:val="right"/>
              <w:spacing w:after="0"/>
              <w:rPr>
                <w:sz w:val="20"/>
                <w:szCs w:val="20"/>
                <w:color w:val="auto"/>
              </w:rPr>
            </w:pPr>
            <w:r>
              <w:rPr>
                <w:rFonts w:ascii="Arial" w:cs="Arial" w:eastAsia="Arial" w:hAnsi="Arial"/>
                <w:sz w:val="15"/>
                <w:szCs w:val="15"/>
                <w:color w:val="auto"/>
              </w:rPr>
              <w:t>2023</w:t>
            </w:r>
          </w:p>
        </w:tc>
        <w:tc>
          <w:tcPr>
            <w:tcW w:w="58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580" w:type="dxa"/>
            <w:vAlign w:val="bottom"/>
          </w:tcPr>
          <w:p>
            <w:pPr>
              <w:jc w:val="right"/>
              <w:ind w:right="123"/>
              <w:spacing w:after="0"/>
              <w:rPr>
                <w:sz w:val="20"/>
                <w:szCs w:val="20"/>
                <w:color w:val="auto"/>
              </w:rPr>
            </w:pPr>
            <w:r>
              <w:rPr>
                <w:rFonts w:ascii="Arial" w:cs="Arial" w:eastAsia="Arial" w:hAnsi="Arial"/>
                <w:sz w:val="15"/>
                <w:szCs w:val="15"/>
                <w:color w:val="auto"/>
              </w:rPr>
              <w:t>2027</w:t>
            </w:r>
          </w:p>
        </w:tc>
      </w:tr>
    </w:tbl>
    <w:p>
      <w:pPr>
        <w:spacing w:after="0" w:line="7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For a reconciliation of the beginning and ending balance of contingent consideration liabilities, refer to “Note 5. Fair Value Measurements.”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Divestiture of Heart Valve Business</w:t>
      </w:r>
    </w:p>
    <w:p>
      <w:pPr>
        <w:spacing w:after="0" w:line="103" w:lineRule="exact"/>
        <w:rPr>
          <w:sz w:val="20"/>
          <w:szCs w:val="20"/>
          <w:color w:val="auto"/>
        </w:rPr>
      </w:pPr>
    </w:p>
    <w:p>
      <w:pPr>
        <w:ind w:right="100" w:firstLine="139"/>
        <w:spacing w:after="0" w:line="280" w:lineRule="auto"/>
        <w:rPr>
          <w:sz w:val="20"/>
          <w:szCs w:val="20"/>
          <w:color w:val="auto"/>
        </w:rPr>
      </w:pPr>
      <w:r>
        <w:rPr>
          <w:rFonts w:ascii="Arial" w:cs="Arial" w:eastAsia="Arial" w:hAnsi="Arial"/>
          <w:sz w:val="15"/>
          <w:szCs w:val="15"/>
          <w:color w:val="auto"/>
        </w:rPr>
        <w:t>On December 2, 2020, LivaNova entered into a Purchase Agreement with Mitral, a company incorporated under the laws of Luxembourg and wholly owned and controlled by funds advised by Gyrus Capital S.A., a Swiss private equity firm. The Purchase Agreement provided for the divestiture of certain of LivaNova’s subsidiaries as well as certain other assets and liabilities relating to the Company’s Heart Valve business and site management operations conducted by the Company’s subsidiary LSM at the Company’s Saluggia campus for $64.1 million.</w:t>
      </w:r>
    </w:p>
    <w:p>
      <w:pPr>
        <w:spacing w:after="0" w:line="66" w:lineRule="exact"/>
        <w:rPr>
          <w:sz w:val="20"/>
          <w:szCs w:val="20"/>
          <w:color w:val="auto"/>
        </w:rPr>
      </w:pPr>
    </w:p>
    <w:p>
      <w:pPr>
        <w:ind w:right="60" w:firstLine="139"/>
        <w:spacing w:after="0" w:line="280" w:lineRule="auto"/>
        <w:rPr>
          <w:sz w:val="20"/>
          <w:szCs w:val="20"/>
          <w:color w:val="auto"/>
        </w:rPr>
      </w:pPr>
      <w:r>
        <w:rPr>
          <w:rFonts w:ascii="Arial" w:cs="Arial" w:eastAsia="Arial" w:hAnsi="Arial"/>
          <w:sz w:val="15"/>
          <w:szCs w:val="15"/>
          <w:color w:val="auto"/>
        </w:rPr>
        <w:t>On April 9, 2021, LivaNova and Mitral entered into an Amended &amp; Restated Purchase Agreement to, among other things, defer the closing of the sale and purchase of LSM by up to two years and include or amend certain additional terms relating to such deferral, including certain amendments relating to the potential hazardous substances provision of LSM and the related expense reimbursement provisions. On April 7, 2023, Mitral provided notice to LivaNova, consistent with the terms of the Amended &amp; Restated Purchase Agreement, that they would not exercise their right to purchase LSM.</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4. Goodwill and Intangible Assets</w:t>
      </w:r>
    </w:p>
    <w:p>
      <w:pPr>
        <w:spacing w:after="0" w:line="103" w:lineRule="exact"/>
        <w:rPr>
          <w:sz w:val="20"/>
          <w:szCs w:val="20"/>
          <w:color w:val="auto"/>
        </w:rPr>
      </w:pPr>
    </w:p>
    <w:p>
      <w:pPr>
        <w:ind w:right="60" w:firstLine="139"/>
        <w:spacing w:after="0" w:line="307" w:lineRule="auto"/>
        <w:rPr>
          <w:sz w:val="20"/>
          <w:szCs w:val="20"/>
          <w:color w:val="auto"/>
        </w:rPr>
      </w:pPr>
      <w:r>
        <w:rPr>
          <w:rFonts w:ascii="Arial" w:cs="Arial" w:eastAsia="Arial" w:hAnsi="Arial"/>
          <w:sz w:val="15"/>
          <w:szCs w:val="15"/>
          <w:color w:val="auto"/>
        </w:rPr>
        <w:t>LivaNova tests goodwill and indefinite-lived intangible assets for impairment on an annual basis on October 1 or when events or changes in circumstances indicate that a potential impairment exists.</w:t>
      </w:r>
    </w:p>
    <w:p>
      <w:pPr>
        <w:spacing w:after="0" w:line="46" w:lineRule="exact"/>
        <w:rPr>
          <w:sz w:val="20"/>
          <w:szCs w:val="20"/>
          <w:color w:val="auto"/>
        </w:rPr>
      </w:pPr>
    </w:p>
    <w:p>
      <w:pPr>
        <w:ind w:right="40" w:firstLine="139"/>
        <w:spacing w:after="0" w:line="297" w:lineRule="auto"/>
        <w:rPr>
          <w:sz w:val="20"/>
          <w:szCs w:val="20"/>
          <w:color w:val="auto"/>
        </w:rPr>
      </w:pPr>
      <w:r>
        <w:rPr>
          <w:rFonts w:ascii="Arial" w:cs="Arial" w:eastAsia="Arial" w:hAnsi="Arial"/>
          <w:sz w:val="14"/>
          <w:szCs w:val="14"/>
          <w:color w:val="auto"/>
        </w:rPr>
        <w:t>As part of LivaNova’s assessment as of September 30, 2022, the Company considered that revenue for the ACS reporting unit during the nine months ended September 30, 2022, had declined by approximately 29% compared to the prior year period, primarily as a result of a reduction in severe COVID-19 cases, hospital-related challenges and product mix. Furthermore, future revenue projections were reduced. Based on these circumstances, LivaNova concluded it was more likely than not that the goodwill of the Company’s ACS reporting unit was impaired, and performed a quantitative assessment of the goodwill as of September 30, 2022, using management’s current estimate of future cash flows. Based on the valuation performed, LivaNova determined that the fair value of the ACS reporting unit was less than the carrying value and recognized a goodwill impairment of $129.4 million in the Company’s condensed consolidated statements of income (loss) for the three and nine months ended September 30, 2022. Cumulative goodwill impairments from continuing operations since the merger of Cyberonics, Inc. and Sorin S.p.A. in October 2015 through September 30, 2022 totaled $193.1 million.</w:t>
      </w:r>
    </w:p>
    <w:p>
      <w:pPr>
        <w:spacing w:after="0" w:line="45" w:lineRule="exact"/>
        <w:rPr>
          <w:sz w:val="20"/>
          <w:szCs w:val="20"/>
          <w:color w:val="auto"/>
        </w:rPr>
      </w:pPr>
    </w:p>
    <w:p>
      <w:pPr>
        <w:ind w:right="420" w:firstLine="139"/>
        <w:spacing w:after="0" w:line="307" w:lineRule="auto"/>
        <w:rPr>
          <w:sz w:val="20"/>
          <w:szCs w:val="20"/>
          <w:color w:val="auto"/>
        </w:rPr>
      </w:pPr>
      <w:r>
        <w:rPr>
          <w:rFonts w:ascii="Arial" w:cs="Arial" w:eastAsia="Arial" w:hAnsi="Arial"/>
          <w:sz w:val="15"/>
          <w:szCs w:val="15"/>
          <w:color w:val="auto"/>
        </w:rPr>
        <w:t>LivaNova also performed an interim impairment analysis related to the ImThera IPR&amp;D intangible asset as of September 30, 2022. As a result of this analysis, the Company determined that the fair value of the asset exceeded the carrying value by 11% and that the IPR&amp;D intangible asset was not impaired.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Fair Value Measurements</w:t>
      </w:r>
    </w:p>
    <w:p>
      <w:pPr>
        <w:spacing w:after="0" w:line="103" w:lineRule="exact"/>
        <w:rPr>
          <w:sz w:val="20"/>
          <w:szCs w:val="20"/>
          <w:color w:val="auto"/>
        </w:rPr>
      </w:pPr>
    </w:p>
    <w:p>
      <w:pPr>
        <w:ind w:right="300" w:firstLine="139"/>
        <w:spacing w:after="0" w:line="346" w:lineRule="auto"/>
        <w:rPr>
          <w:sz w:val="20"/>
          <w:szCs w:val="20"/>
          <w:color w:val="auto"/>
        </w:rPr>
      </w:pPr>
      <w:r>
        <w:rPr>
          <w:rFonts w:ascii="Arial" w:cs="Arial" w:eastAsia="Arial" w:hAnsi="Arial"/>
          <w:sz w:val="14"/>
          <w:szCs w:val="14"/>
          <w:color w:val="auto"/>
        </w:rPr>
        <w:t>The Company reviews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nine months ended September 30, 2023 and 2022.</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on a Recurring Basis</w:t>
      </w:r>
    </w:p>
    <w:p>
      <w:pPr>
        <w:spacing w:after="0" w:line="11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tables provide information by level for assets and liabilities that are measured at fair value on a recurring basis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Fair Value as of</w:t>
            </w: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September 30, 2023</w:t>
            </w:r>
          </w:p>
        </w:tc>
        <w:tc>
          <w:tcPr>
            <w:tcW w:w="12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freestanding instruments (FX)</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2,625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00"/>
              <w:spacing w:after="0"/>
              <w:rPr>
                <w:sz w:val="20"/>
                <w:szCs w:val="20"/>
                <w:color w:val="auto"/>
              </w:rPr>
            </w:pPr>
            <w:r>
              <w:rPr>
                <w:rFonts w:ascii="Arial" w:cs="Arial" w:eastAsia="Arial" w:hAnsi="Arial"/>
                <w:sz w:val="15"/>
                <w:szCs w:val="15"/>
                <w:color w:val="auto"/>
              </w:rPr>
              <w:t>Derivative assets - capped call derivatives</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43,669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43,669</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Convertible notes receivable</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46,569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2,625</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43,944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53,303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53,303</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arrangements</w:t>
            </w:r>
          </w:p>
        </w:tc>
        <w:tc>
          <w:tcPr>
            <w:tcW w:w="1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89,808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89,808</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143,318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207</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143,111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2"/>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3"/>
              </w:rPr>
              <w:t>Fair Value as of</w:t>
            </w: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62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14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3"/>
              </w:rPr>
              <w:t>December 31, 2022</w:t>
            </w:r>
          </w:p>
        </w:tc>
        <w:tc>
          <w:tcPr>
            <w:tcW w:w="12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4"/>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designated as cash flow hedges (interest rate swap)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620" w:type="dxa"/>
            <w:vAlign w:val="bottom"/>
          </w:tcPr>
          <w:p>
            <w:pPr>
              <w:ind w:left="120"/>
              <w:spacing w:after="0"/>
              <w:rPr>
                <w:sz w:val="20"/>
                <w:szCs w:val="20"/>
                <w:color w:val="auto"/>
              </w:rPr>
            </w:pPr>
            <w:r>
              <w:rPr>
                <w:rFonts w:ascii="Arial" w:cs="Arial" w:eastAsia="Arial" w:hAnsi="Arial"/>
                <w:sz w:val="15"/>
                <w:szCs w:val="15"/>
                <w:color w:val="auto"/>
              </w:rPr>
              <w:t>Derivative assets - capped call derivatives</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54,393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54,393</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Convertible notes receivable</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56,011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1,333</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54,678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20" w:type="dxa"/>
            <w:vAlign w:val="bottom"/>
          </w:tcPr>
          <w:p>
            <w:pPr>
              <w:spacing w:after="0"/>
              <w:rPr>
                <w:sz w:val="20"/>
                <w:szCs w:val="20"/>
                <w:color w:val="auto"/>
              </w:rPr>
            </w:pPr>
            <w:r>
              <w:rPr>
                <w:rFonts w:ascii="Arial" w:cs="Arial" w:eastAsia="Arial" w:hAnsi="Arial"/>
                <w:sz w:val="15"/>
                <w:szCs w:val="15"/>
                <w:b w:val="1"/>
                <w:bCs w:val="1"/>
                <w:color w:val="auto"/>
              </w:rPr>
              <w:t>Liabilities:</w:t>
            </w: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620" w:type="dxa"/>
            <w:vAlign w:val="bottom"/>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1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85,675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85,675</w:t>
            </w: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arrangements</w:t>
            </w:r>
          </w:p>
        </w:tc>
        <w:tc>
          <w:tcPr>
            <w:tcW w:w="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85,292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85,292</w:t>
            </w:r>
          </w:p>
        </w:tc>
        <w:tc>
          <w:tcPr>
            <w:tcW w:w="0" w:type="dxa"/>
            <w:vAlign w:val="bottom"/>
          </w:tcPr>
          <w:p>
            <w:pPr>
              <w:spacing w:after="0"/>
              <w:rPr>
                <w:sz w:val="1"/>
                <w:szCs w:val="1"/>
                <w:color w:val="auto"/>
              </w:rPr>
            </w:pPr>
          </w:p>
        </w:tc>
      </w:tr>
      <w:tr>
        <w:trPr>
          <w:trHeight w:val="189"/>
        </w:trPr>
        <w:tc>
          <w:tcPr>
            <w:tcW w:w="56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176,853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ind w:left="88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5,886</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170,967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500" w:firstLine="139"/>
        <w:spacing w:after="0" w:line="286" w:lineRule="auto"/>
        <w:rPr>
          <w:sz w:val="20"/>
          <w:szCs w:val="20"/>
          <w:color w:val="auto"/>
        </w:rPr>
      </w:pPr>
      <w:r>
        <w:rPr>
          <w:rFonts w:ascii="Arial" w:cs="Arial" w:eastAsia="Arial" w:hAnsi="Arial"/>
          <w:sz w:val="15"/>
          <w:szCs w:val="15"/>
          <w:color w:val="auto"/>
        </w:rPr>
        <w:t>The following table provides a reconciliation of the beginning and ending balances of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57"/>
        </w:trPr>
        <w:tc>
          <w:tcPr>
            <w:tcW w:w="3980" w:type="dxa"/>
            <w:vAlign w:val="bottom"/>
          </w:tcPr>
          <w:p>
            <w:pPr>
              <w:spacing w:after="0"/>
              <w:rPr>
                <w:sz w:val="13"/>
                <w:szCs w:val="13"/>
                <w:color w:val="auto"/>
              </w:rPr>
            </w:pPr>
          </w:p>
        </w:tc>
        <w:tc>
          <w:tcPr>
            <w:tcW w:w="184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95"/>
              </w:rPr>
              <w:t>Capped Call Derivative</w:t>
            </w:r>
          </w:p>
        </w:tc>
        <w:tc>
          <w:tcPr>
            <w:tcW w:w="180" w:type="dxa"/>
            <w:vAlign w:val="bottom"/>
          </w:tcPr>
          <w:p>
            <w:pPr>
              <w:spacing w:after="0"/>
              <w:rPr>
                <w:sz w:val="13"/>
                <w:szCs w:val="13"/>
                <w:color w:val="auto"/>
              </w:rPr>
            </w:pPr>
          </w:p>
        </w:tc>
        <w:tc>
          <w:tcPr>
            <w:tcW w:w="1660" w:type="dxa"/>
            <w:vAlign w:val="bottom"/>
            <w:gridSpan w:val="2"/>
            <w:vMerge w:val="restart"/>
          </w:tcPr>
          <w:p>
            <w:pPr>
              <w:jc w:val="center"/>
              <w:ind w:right="280"/>
              <w:spacing w:after="0"/>
              <w:rPr>
                <w:sz w:val="20"/>
                <w:szCs w:val="20"/>
                <w:color w:val="auto"/>
              </w:rPr>
            </w:pPr>
            <w:r>
              <w:rPr>
                <w:rFonts w:ascii="Arial" w:cs="Arial" w:eastAsia="Arial" w:hAnsi="Arial"/>
                <w:sz w:val="15"/>
                <w:szCs w:val="15"/>
                <w:b w:val="1"/>
                <w:bCs w:val="1"/>
                <w:color w:val="auto"/>
                <w:w w:val="91"/>
              </w:rPr>
              <w:t>Convertible Notes</w:t>
            </w:r>
          </w:p>
        </w:tc>
        <w:tc>
          <w:tcPr>
            <w:tcW w:w="120" w:type="dxa"/>
            <w:vAlign w:val="bottom"/>
          </w:tcPr>
          <w:p>
            <w:pPr>
              <w:spacing w:after="0"/>
              <w:rPr>
                <w:sz w:val="13"/>
                <w:szCs w:val="13"/>
                <w:color w:val="auto"/>
              </w:rPr>
            </w:pPr>
          </w:p>
        </w:tc>
        <w:tc>
          <w:tcPr>
            <w:tcW w:w="172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2"/>
              </w:rPr>
              <w:t>Embedded Exchange</w:t>
            </w:r>
          </w:p>
        </w:tc>
        <w:tc>
          <w:tcPr>
            <w:tcW w:w="80" w:type="dxa"/>
            <w:vAlign w:val="bottom"/>
          </w:tcPr>
          <w:p>
            <w:pPr>
              <w:spacing w:after="0"/>
              <w:rPr>
                <w:sz w:val="13"/>
                <w:szCs w:val="13"/>
                <w:color w:val="auto"/>
              </w:rPr>
            </w:pPr>
          </w:p>
        </w:tc>
        <w:tc>
          <w:tcPr>
            <w:tcW w:w="1660" w:type="dxa"/>
            <w:vAlign w:val="bottom"/>
          </w:tcPr>
          <w:p>
            <w:pPr>
              <w:jc w:val="center"/>
              <w:ind w:right="3"/>
              <w:spacing w:after="0" w:line="157" w:lineRule="exact"/>
              <w:rPr>
                <w:sz w:val="20"/>
                <w:szCs w:val="20"/>
                <w:color w:val="auto"/>
              </w:rPr>
            </w:pPr>
            <w:r>
              <w:rPr>
                <w:rFonts w:ascii="Arial" w:cs="Arial" w:eastAsia="Arial" w:hAnsi="Arial"/>
                <w:sz w:val="15"/>
                <w:szCs w:val="15"/>
                <w:b w:val="1"/>
                <w:bCs w:val="1"/>
                <w:color w:val="auto"/>
                <w:w w:val="93"/>
              </w:rPr>
              <w:t>Contingent</w:t>
            </w:r>
          </w:p>
        </w:tc>
        <w:tc>
          <w:tcPr>
            <w:tcW w:w="0" w:type="dxa"/>
            <w:vAlign w:val="bottom"/>
          </w:tcPr>
          <w:p>
            <w:pPr>
              <w:spacing w:after="0"/>
              <w:rPr>
                <w:sz w:val="1"/>
                <w:szCs w:val="1"/>
                <w:color w:val="auto"/>
              </w:rPr>
            </w:pPr>
          </w:p>
        </w:tc>
      </w:tr>
      <w:tr>
        <w:trPr>
          <w:trHeight w:val="151"/>
        </w:trPr>
        <w:tc>
          <w:tcPr>
            <w:tcW w:w="398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5"/>
              </w:rPr>
              <w:t>Feature Derivative</w:t>
            </w:r>
          </w:p>
        </w:tc>
        <w:tc>
          <w:tcPr>
            <w:tcW w:w="80" w:type="dxa"/>
            <w:vAlign w:val="bottom"/>
          </w:tcPr>
          <w:p>
            <w:pPr>
              <w:spacing w:after="0"/>
              <w:rPr>
                <w:sz w:val="13"/>
                <w:szCs w:val="13"/>
                <w:color w:val="auto"/>
              </w:rPr>
            </w:pPr>
          </w:p>
        </w:tc>
        <w:tc>
          <w:tcPr>
            <w:tcW w:w="1660" w:type="dxa"/>
            <w:vAlign w:val="bottom"/>
          </w:tcPr>
          <w:p>
            <w:pPr>
              <w:jc w:val="center"/>
              <w:ind w:right="23"/>
              <w:spacing w:after="0" w:line="151" w:lineRule="exact"/>
              <w:rPr>
                <w:sz w:val="20"/>
                <w:szCs w:val="20"/>
                <w:color w:val="auto"/>
              </w:rPr>
            </w:pPr>
            <w:r>
              <w:rPr>
                <w:rFonts w:ascii="Arial" w:cs="Arial" w:eastAsia="Arial" w:hAnsi="Arial"/>
                <w:sz w:val="15"/>
                <w:szCs w:val="15"/>
                <w:b w:val="1"/>
                <w:bCs w:val="1"/>
                <w:color w:val="auto"/>
                <w:w w:val="96"/>
              </w:rPr>
              <w:t>Consideration Liability</w:t>
            </w:r>
          </w:p>
        </w:tc>
        <w:tc>
          <w:tcPr>
            <w:tcW w:w="0" w:type="dxa"/>
            <w:vAlign w:val="bottom"/>
          </w:tcPr>
          <w:p>
            <w:pPr>
              <w:spacing w:after="0"/>
              <w:rPr>
                <w:sz w:val="1"/>
                <w:szCs w:val="1"/>
                <w:color w:val="auto"/>
              </w:rPr>
            </w:pPr>
          </w:p>
        </w:tc>
      </w:tr>
      <w:tr>
        <w:trPr>
          <w:trHeight w:val="209"/>
        </w:trPr>
        <w:tc>
          <w:tcPr>
            <w:tcW w:w="3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3"/>
              </w:rPr>
              <w:t>Asset</w:t>
            </w: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Receivable</w:t>
            </w: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Liability</w:t>
            </w:r>
          </w:p>
        </w:tc>
        <w:tc>
          <w:tcPr>
            <w:tcW w:w="80" w:type="dxa"/>
            <w:vAlign w:val="bottom"/>
          </w:tcPr>
          <w:p>
            <w:pPr>
              <w:spacing w:after="0"/>
              <w:rPr>
                <w:sz w:val="18"/>
                <w:szCs w:val="18"/>
                <w:color w:val="auto"/>
              </w:rPr>
            </w:pPr>
          </w:p>
        </w:tc>
        <w:tc>
          <w:tcPr>
            <w:tcW w:w="1660" w:type="dxa"/>
            <w:vAlign w:val="bottom"/>
          </w:tcPr>
          <w:p>
            <w:pPr>
              <w:jc w:val="center"/>
              <w:ind w:right="23"/>
              <w:spacing w:after="0"/>
              <w:rPr>
                <w:sz w:val="20"/>
                <w:szCs w:val="20"/>
                <w:color w:val="auto"/>
              </w:rPr>
            </w:pPr>
            <w:r>
              <w:rPr>
                <w:rFonts w:ascii="Arial" w:cs="Arial" w:eastAsia="Arial" w:hAnsi="Arial"/>
                <w:sz w:val="15"/>
                <w:szCs w:val="15"/>
                <w:b w:val="1"/>
                <w:bCs w:val="1"/>
                <w:color w:val="auto"/>
                <w:w w:val="94"/>
              </w:rPr>
              <w:t>Arrangements</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As of December 31, 2022 - long-term</w:t>
            </w:r>
          </w:p>
        </w:tc>
        <w:tc>
          <w:tcPr>
            <w:tcW w:w="400" w:type="dxa"/>
            <w:vAlign w:val="bottom"/>
            <w:tcBorders>
              <w:top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center"/>
              <w:ind w:left="703"/>
              <w:spacing w:after="0"/>
              <w:rPr>
                <w:sz w:val="20"/>
                <w:szCs w:val="20"/>
                <w:color w:val="auto"/>
              </w:rPr>
            </w:pPr>
            <w:r>
              <w:rPr>
                <w:rFonts w:ascii="Arial" w:cs="Arial" w:eastAsia="Arial" w:hAnsi="Arial"/>
                <w:sz w:val="15"/>
                <w:szCs w:val="15"/>
                <w:color w:val="auto"/>
                <w:w w:val="95"/>
              </w:rPr>
              <w:t>54,393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rPr>
              <w:t>285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center"/>
              <w:ind w:left="983"/>
              <w:spacing w:after="0"/>
              <w:rPr>
                <w:sz w:val="20"/>
                <w:szCs w:val="20"/>
                <w:color w:val="auto"/>
              </w:rPr>
            </w:pPr>
            <w:r>
              <w:rPr>
                <w:rFonts w:ascii="Arial" w:cs="Arial" w:eastAsia="Arial" w:hAnsi="Arial"/>
                <w:sz w:val="15"/>
                <w:szCs w:val="15"/>
                <w:color w:val="auto"/>
                <w:w w:val="91"/>
              </w:rPr>
              <w:t>85,675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85,292</w:t>
            </w: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Changes in fair value</w:t>
            </w: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683"/>
              <w:spacing w:after="0"/>
              <w:rPr>
                <w:sz w:val="20"/>
                <w:szCs w:val="20"/>
                <w:color w:val="auto"/>
              </w:rPr>
            </w:pPr>
            <w:r>
              <w:rPr>
                <w:rFonts w:ascii="Arial" w:cs="Arial" w:eastAsia="Arial" w:hAnsi="Arial"/>
                <w:sz w:val="15"/>
                <w:szCs w:val="15"/>
                <w:color w:val="auto"/>
                <w:w w:val="96"/>
              </w:rPr>
              <w:t>(10,724)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ind w:left="1280"/>
              <w:spacing w:after="0"/>
              <w:rPr>
                <w:sz w:val="20"/>
                <w:szCs w:val="20"/>
                <w:color w:val="auto"/>
              </w:rPr>
            </w:pPr>
            <w:r>
              <w:rPr>
                <w:rFonts w:ascii="Arial" w:cs="Arial" w:eastAsia="Arial" w:hAnsi="Arial"/>
                <w:sz w:val="15"/>
                <w:szCs w:val="15"/>
                <w:color w:val="auto"/>
                <w:w w:val="97"/>
              </w:rPr>
              <w:t>(10)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left="963"/>
              <w:spacing w:after="0"/>
              <w:rPr>
                <w:sz w:val="20"/>
                <w:szCs w:val="20"/>
                <w:color w:val="auto"/>
              </w:rPr>
            </w:pPr>
            <w:r>
              <w:rPr>
                <w:rFonts w:ascii="Arial" w:cs="Arial" w:eastAsia="Arial" w:hAnsi="Arial"/>
                <w:sz w:val="15"/>
                <w:szCs w:val="15"/>
                <w:color w:val="auto"/>
                <w:w w:val="93"/>
              </w:rPr>
              <w:t>(32,372)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4,516</w:t>
            </w:r>
          </w:p>
        </w:tc>
        <w:tc>
          <w:tcPr>
            <w:tcW w:w="0" w:type="dxa"/>
            <w:vAlign w:val="bottom"/>
          </w:tcPr>
          <w:p>
            <w:pPr>
              <w:spacing w:after="0"/>
              <w:rPr>
                <w:sz w:val="1"/>
                <w:szCs w:val="1"/>
                <w:color w:val="auto"/>
              </w:rPr>
            </w:pPr>
          </w:p>
        </w:tc>
      </w:tr>
      <w:tr>
        <w:trPr>
          <w:trHeight w:val="214"/>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at September 30, 2023 - long-term</w:t>
            </w:r>
          </w:p>
        </w:tc>
        <w:tc>
          <w:tcPr>
            <w:tcW w:w="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center"/>
              <w:ind w:left="703"/>
              <w:spacing w:after="0"/>
              <w:rPr>
                <w:sz w:val="20"/>
                <w:szCs w:val="20"/>
                <w:color w:val="auto"/>
              </w:rPr>
            </w:pPr>
            <w:r>
              <w:rPr>
                <w:rFonts w:ascii="Arial" w:cs="Arial" w:eastAsia="Arial" w:hAnsi="Arial"/>
                <w:sz w:val="15"/>
                <w:szCs w:val="15"/>
                <w:color w:val="auto"/>
                <w:w w:val="95"/>
              </w:rPr>
              <w:t>43,669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5"/>
                <w:szCs w:val="15"/>
                <w:color w:val="auto"/>
              </w:rPr>
              <w:t>275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center"/>
              <w:ind w:left="983"/>
              <w:spacing w:after="0"/>
              <w:rPr>
                <w:sz w:val="20"/>
                <w:szCs w:val="20"/>
                <w:color w:val="auto"/>
              </w:rPr>
            </w:pPr>
            <w:r>
              <w:rPr>
                <w:rFonts w:ascii="Arial" w:cs="Arial" w:eastAsia="Arial" w:hAnsi="Arial"/>
                <w:sz w:val="15"/>
                <w:szCs w:val="15"/>
                <w:color w:val="auto"/>
                <w:w w:val="91"/>
              </w:rPr>
              <w:t>53,303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89,808</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 and Capped Call Derivatives</w:t>
      </w:r>
    </w:p>
    <w:p>
      <w:pPr>
        <w:spacing w:after="0" w:line="99" w:lineRule="exact"/>
        <w:rPr>
          <w:sz w:val="20"/>
          <w:szCs w:val="20"/>
          <w:color w:val="auto"/>
        </w:rPr>
      </w:pPr>
    </w:p>
    <w:p>
      <w:pPr>
        <w:ind w:right="80" w:firstLine="139"/>
        <w:spacing w:after="0" w:line="278" w:lineRule="auto"/>
        <w:rPr>
          <w:sz w:val="20"/>
          <w:szCs w:val="20"/>
          <w:color w:val="auto"/>
        </w:rPr>
      </w:pPr>
      <w:r>
        <w:rPr>
          <w:rFonts w:ascii="Arial" w:cs="Arial" w:eastAsia="Arial" w:hAnsi="Arial"/>
          <w:sz w:val="15"/>
          <w:szCs w:val="15"/>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6.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58" w:lineRule="exact"/>
        <w:rPr>
          <w:sz w:val="20"/>
          <w:szCs w:val="20"/>
          <w:color w:val="auto"/>
        </w:rPr>
      </w:pPr>
    </w:p>
    <w:p>
      <w:pPr>
        <w:ind w:right="120" w:firstLine="139"/>
        <w:spacing w:after="0" w:line="277" w:lineRule="auto"/>
        <w:rPr>
          <w:sz w:val="20"/>
          <w:szCs w:val="20"/>
          <w:color w:val="auto"/>
        </w:rPr>
      </w:pPr>
      <w:r>
        <w:rPr>
          <w:rFonts w:ascii="Arial" w:cs="Arial" w:eastAsia="Arial" w:hAnsi="Arial"/>
          <w:sz w:val="15"/>
          <w:szCs w:val="15"/>
          <w:color w:val="auto"/>
        </w:rPr>
        <w:t>The embedded exchange feature and capped call derivatives are classified as Level 3 as the Company uses historical volatility and implied volatility from options traded to determine expected stock price volatility, an unobservable input that is significant to the valuation. In general, an increase in LivaNova’s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income/(expense) in the condensed consolidated statements of income.</w:t>
      </w:r>
    </w:p>
    <w:p>
      <w:pPr>
        <w:spacing w:after="0" w:line="59" w:lineRule="exact"/>
        <w:rPr>
          <w:sz w:val="20"/>
          <w:szCs w:val="20"/>
          <w:color w:val="auto"/>
        </w:rPr>
      </w:pPr>
    </w:p>
    <w:p>
      <w:pPr>
        <w:ind w:right="60" w:firstLine="139"/>
        <w:spacing w:after="0" w:line="278" w:lineRule="auto"/>
        <w:rPr>
          <w:sz w:val="20"/>
          <w:szCs w:val="20"/>
          <w:color w:val="auto"/>
        </w:rPr>
      </w:pPr>
      <w:r>
        <w:rPr>
          <w:rFonts w:ascii="Arial" w:cs="Arial" w:eastAsia="Arial" w:hAnsi="Arial"/>
          <w:sz w:val="15"/>
          <w:szCs w:val="15"/>
          <w:color w:val="auto"/>
        </w:rPr>
        <w:t>The fair value of the embedded exchange feature derivative liability and the capped call derivative assets was $53.3 million and $43.7 million, respectively, as of September 30, 2023, and the stock price volatility was 37%. As of September 30, 2023, a 10% lower volatility, holding other inputs constant, would reduce the fair value for the embedded exchange feature derivative liability by $14.0 million, and a 10% higher volatility, holding other inputs constant, would increase the fair value by $14.1 million. As of September 30, 2023, a 10% lower volatility, holding other inputs constant, would reduce the fair value for the capped call derivatives by $8.5 million, and a 10% higher volatility, holding other inputs constant, would increase the fair value by $3.7 million.</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994"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Contingent Consideration Arrangements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00" w:type="dxa"/>
            <w:vAlign w:val="bottom"/>
            <w:gridSpan w:val="4"/>
          </w:tcPr>
          <w:p>
            <w:pPr>
              <w:ind w:left="140"/>
              <w:spacing w:after="0"/>
              <w:rPr>
                <w:sz w:val="20"/>
                <w:szCs w:val="20"/>
                <w:color w:val="auto"/>
              </w:rPr>
            </w:pPr>
            <w:r>
              <w:rPr>
                <w:rFonts w:ascii="Arial" w:cs="Arial" w:eastAsia="Arial" w:hAnsi="Arial"/>
                <w:sz w:val="15"/>
                <w:szCs w:val="15"/>
                <w:color w:val="auto"/>
              </w:rPr>
              <w:t>The following table provides the fair value of Level 3 contingent consideration arrangements by acquisition (in thousands):</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7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20"/>
                <w:szCs w:val="20"/>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ImThera</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78,525</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69,389</w:t>
            </w:r>
          </w:p>
        </w:tc>
      </w:tr>
      <w:tr>
        <w:trPr>
          <w:trHeight w:val="197"/>
        </w:trPr>
        <w:tc>
          <w:tcPr>
            <w:tcW w:w="72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ALung</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11,283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15,903</w:t>
            </w:r>
          </w:p>
        </w:tc>
      </w:tr>
      <w:tr>
        <w:trPr>
          <w:trHeight w:val="214"/>
        </w:trPr>
        <w:tc>
          <w:tcPr>
            <w:tcW w:w="7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89,808</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85,292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120" w:firstLine="139"/>
        <w:spacing w:after="0" w:line="282" w:lineRule="auto"/>
        <w:rPr>
          <w:sz w:val="20"/>
          <w:szCs w:val="20"/>
          <w:color w:val="auto"/>
        </w:rPr>
      </w:pPr>
      <w:r>
        <w:rPr>
          <w:rFonts w:ascii="Arial" w:cs="Arial" w:eastAsia="Arial" w:hAnsi="Arial"/>
          <w:sz w:val="15"/>
          <w:szCs w:val="15"/>
          <w:color w:val="auto"/>
        </w:rPr>
        <w:t>The ImThera business combination involved contingent consideration arrangements composed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 the following significant unobservable inputs as of September 30, 2023:</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ImThera Acquisition</w:t>
            </w: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auto"/>
            </w:tcBorders>
            <w:gridSpan w:val="2"/>
          </w:tcPr>
          <w:p>
            <w:pPr>
              <w:ind w:left="800"/>
              <w:spacing w:after="0"/>
              <w:rPr>
                <w:sz w:val="20"/>
                <w:szCs w:val="20"/>
                <w:color w:val="auto"/>
              </w:rPr>
            </w:pPr>
            <w:r>
              <w:rPr>
                <w:rFonts w:ascii="Arial" w:cs="Arial" w:eastAsia="Arial" w:hAnsi="Arial"/>
                <w:sz w:val="15"/>
                <w:szCs w:val="15"/>
                <w:b w:val="1"/>
                <w:bCs w:val="1"/>
                <w:color w:val="auto"/>
              </w:rPr>
              <w:t>Inputs</w:t>
            </w:r>
          </w:p>
        </w:tc>
      </w:tr>
      <w:tr>
        <w:trPr>
          <w:trHeight w:val="189"/>
        </w:trPr>
        <w:tc>
          <w:tcPr>
            <w:tcW w:w="3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milestone-based payment</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Discounted cash flow</w:t>
            </w: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Discount rate</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9"/>
              </w:rPr>
              <w:t>7.9%</w:t>
            </w: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Probability of payment</w:t>
            </w:r>
          </w:p>
        </w:tc>
        <w:tc>
          <w:tcPr>
            <w:tcW w:w="2020" w:type="dxa"/>
            <w:vAlign w:val="bottom"/>
            <w:gridSpan w:val="2"/>
          </w:tcPr>
          <w:p>
            <w:pPr>
              <w:jc w:val="center"/>
              <w:spacing w:after="0"/>
              <w:rPr>
                <w:sz w:val="20"/>
                <w:szCs w:val="20"/>
                <w:color w:val="auto"/>
              </w:rPr>
            </w:pPr>
            <w:r>
              <w:rPr>
                <w:rFonts w:ascii="Arial" w:cs="Arial" w:eastAsia="Arial" w:hAnsi="Arial"/>
                <w:sz w:val="15"/>
                <w:szCs w:val="15"/>
                <w:color w:val="auto"/>
                <w:w w:val="99"/>
              </w:rPr>
              <w:t>85%</w:t>
            </w:r>
          </w:p>
        </w:tc>
      </w:tr>
      <w:tr>
        <w:trPr>
          <w:trHeight w:val="198"/>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Projected payment year</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89"/>
              </w:rPr>
              <w:t>2026</w:t>
            </w:r>
          </w:p>
        </w:tc>
      </w:tr>
      <w:tr>
        <w:trPr>
          <w:trHeight w:val="232"/>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97"/>
        </w:trPr>
        <w:tc>
          <w:tcPr>
            <w:tcW w:w="3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Sales-based earnout</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Monte Carlo simulation</w:t>
            </w: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Risk-adjusted discount rate</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1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- 14.8%</w:t>
            </w: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Credit risk discount rate</w:t>
            </w:r>
          </w:p>
        </w:tc>
        <w:tc>
          <w:tcPr>
            <w:tcW w:w="960" w:type="dxa"/>
            <w:vAlign w:val="bottom"/>
          </w:tcPr>
          <w:p>
            <w:pPr>
              <w:jc w:val="right"/>
              <w:spacing w:after="0"/>
              <w:rPr>
                <w:sz w:val="20"/>
                <w:szCs w:val="20"/>
                <w:color w:val="auto"/>
              </w:rPr>
            </w:pPr>
            <w:r>
              <w:rPr>
                <w:rFonts w:ascii="Arial" w:cs="Arial" w:eastAsia="Arial" w:hAnsi="Arial"/>
                <w:sz w:val="15"/>
                <w:szCs w:val="15"/>
                <w:color w:val="auto"/>
              </w:rPr>
              <w:t>8.1%</w:t>
            </w:r>
          </w:p>
        </w:tc>
        <w:tc>
          <w:tcPr>
            <w:tcW w:w="1060" w:type="dxa"/>
            <w:vAlign w:val="bottom"/>
          </w:tcPr>
          <w:p>
            <w:pPr>
              <w:ind w:left="20"/>
              <w:spacing w:after="0"/>
              <w:rPr>
                <w:sz w:val="20"/>
                <w:szCs w:val="20"/>
                <w:color w:val="auto"/>
              </w:rPr>
            </w:pPr>
            <w:r>
              <w:rPr>
                <w:rFonts w:ascii="Arial" w:cs="Arial" w:eastAsia="Arial" w:hAnsi="Arial"/>
                <w:sz w:val="15"/>
                <w:szCs w:val="15"/>
                <w:color w:val="auto"/>
              </w:rPr>
              <w:t>- 8.6%</w:t>
            </w:r>
          </w:p>
        </w:tc>
      </w:tr>
      <w:tr>
        <w:trPr>
          <w:trHeight w:val="198"/>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 volatility</w:t>
            </w:r>
          </w:p>
        </w:tc>
        <w:tc>
          <w:tcPr>
            <w:tcW w:w="202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w w:val="93"/>
              </w:rPr>
              <w:t>32.5%</w:t>
            </w: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Probability of payment</w:t>
            </w:r>
          </w:p>
        </w:tc>
        <w:tc>
          <w:tcPr>
            <w:tcW w:w="2020" w:type="dxa"/>
            <w:vAlign w:val="bottom"/>
            <w:gridSpan w:val="2"/>
          </w:tcPr>
          <w:p>
            <w:pPr>
              <w:jc w:val="center"/>
              <w:spacing w:after="0"/>
              <w:rPr>
                <w:sz w:val="20"/>
                <w:szCs w:val="20"/>
                <w:color w:val="auto"/>
              </w:rPr>
            </w:pPr>
            <w:r>
              <w:rPr>
                <w:rFonts w:ascii="Arial" w:cs="Arial" w:eastAsia="Arial" w:hAnsi="Arial"/>
                <w:sz w:val="15"/>
                <w:szCs w:val="15"/>
                <w:color w:val="auto"/>
                <w:w w:val="99"/>
              </w:rPr>
              <w:t>85%</w:t>
            </w:r>
          </w:p>
        </w:tc>
      </w:tr>
      <w:tr>
        <w:trPr>
          <w:trHeight w:val="198"/>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Projected years of earnout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2026</w:t>
            </w:r>
          </w:p>
        </w:tc>
        <w:tc>
          <w:tcPr>
            <w:tcW w:w="10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- 2029</w:t>
            </w:r>
          </w:p>
        </w:tc>
      </w:tr>
    </w:tbl>
    <w:p>
      <w:pPr>
        <w:spacing w:after="0" w:line="164" w:lineRule="exact"/>
        <w:rPr>
          <w:sz w:val="20"/>
          <w:szCs w:val="20"/>
          <w:color w:val="auto"/>
        </w:rPr>
      </w:pPr>
    </w:p>
    <w:p>
      <w:pPr>
        <w:ind w:right="160" w:firstLine="139"/>
        <w:spacing w:after="0" w:line="391" w:lineRule="auto"/>
        <w:rPr>
          <w:sz w:val="20"/>
          <w:szCs w:val="20"/>
          <w:color w:val="auto"/>
        </w:rPr>
      </w:pPr>
      <w:r>
        <w:rPr>
          <w:rFonts w:ascii="Arial" w:cs="Arial" w:eastAsia="Arial" w:hAnsi="Arial"/>
          <w:sz w:val="13"/>
          <w:szCs w:val="13"/>
          <w:color w:val="auto"/>
        </w:rPr>
        <w:t>The ALung business combination involved a contingent consideration arrangement composed of potential cash payments upon the achievement of certain sales-based thresholds associated with sales of products. The arrangement is a Level 3 fair value measurement and includes the following significant unobservable inputs as of September 30, 2023:</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80" w:type="dxa"/>
            <w:vAlign w:val="bottom"/>
            <w:tcBorders>
              <w:bottom w:val="single" w:sz="8" w:color="auto"/>
            </w:tcBorders>
          </w:tcPr>
          <w:p>
            <w:pPr>
              <w:ind w:left="1060"/>
              <w:spacing w:after="0"/>
              <w:rPr>
                <w:sz w:val="20"/>
                <w:szCs w:val="20"/>
                <w:color w:val="auto"/>
              </w:rPr>
            </w:pPr>
            <w:r>
              <w:rPr>
                <w:rFonts w:ascii="Arial" w:cs="Arial" w:eastAsia="Arial" w:hAnsi="Arial"/>
                <w:sz w:val="15"/>
                <w:szCs w:val="15"/>
                <w:b w:val="1"/>
                <w:bCs w:val="1"/>
                <w:color w:val="auto"/>
              </w:rPr>
              <w:t>ALung Acquisition</w:t>
            </w:r>
          </w:p>
        </w:tc>
        <w:tc>
          <w:tcPr>
            <w:tcW w:w="100" w:type="dxa"/>
            <w:vAlign w:val="bottom"/>
            <w:tcBorders>
              <w:bottom w:val="single" w:sz="8" w:color="CCEEFF"/>
            </w:tcBorders>
          </w:tcPr>
          <w:p>
            <w:pPr>
              <w:spacing w:after="0"/>
              <w:rPr>
                <w:sz w:val="17"/>
                <w:szCs w:val="17"/>
                <w:color w:val="auto"/>
              </w:rPr>
            </w:pPr>
          </w:p>
        </w:tc>
        <w:tc>
          <w:tcPr>
            <w:tcW w:w="294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Valuation Technique</w:t>
            </w:r>
          </w:p>
        </w:tc>
        <w:tc>
          <w:tcPr>
            <w:tcW w:w="10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gridSpan w:val="2"/>
          </w:tcPr>
          <w:p>
            <w:pPr>
              <w:ind w:left="600"/>
              <w:spacing w:after="0"/>
              <w:rPr>
                <w:sz w:val="20"/>
                <w:szCs w:val="20"/>
                <w:color w:val="auto"/>
              </w:rPr>
            </w:pPr>
            <w:r>
              <w:rPr>
                <w:rFonts w:ascii="Arial" w:cs="Arial" w:eastAsia="Arial" w:hAnsi="Arial"/>
                <w:sz w:val="15"/>
                <w:szCs w:val="15"/>
                <w:b w:val="1"/>
                <w:bCs w:val="1"/>
                <w:color w:val="auto"/>
              </w:rPr>
              <w:t>Inputs</w:t>
            </w:r>
          </w:p>
        </w:tc>
      </w:tr>
      <w:tr>
        <w:trPr>
          <w:trHeight w:val="189"/>
        </w:trPr>
        <w:tc>
          <w:tcPr>
            <w:tcW w:w="3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Sales-based earnout</w:t>
            </w:r>
          </w:p>
        </w:tc>
        <w:tc>
          <w:tcPr>
            <w:tcW w:w="3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Monte Carlo simulation</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Risk-adjusted 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c>
          <w:tcPr>
            <w:tcW w:w="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- 11.0%</w:t>
            </w:r>
          </w:p>
        </w:tc>
      </w:tr>
      <w:tr>
        <w:trPr>
          <w:trHeight w:val="197"/>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2"/>
          </w:tcPr>
          <w:p>
            <w:pPr>
              <w:ind w:left="20"/>
              <w:spacing w:after="0"/>
              <w:rPr>
                <w:sz w:val="20"/>
                <w:szCs w:val="20"/>
                <w:color w:val="auto"/>
              </w:rPr>
            </w:pPr>
            <w:r>
              <w:rPr>
                <w:rFonts w:ascii="Arial" w:cs="Arial" w:eastAsia="Arial" w:hAnsi="Arial"/>
                <w:sz w:val="15"/>
                <w:szCs w:val="15"/>
                <w:color w:val="auto"/>
              </w:rPr>
              <w:t>Credit risk discount rate</w:t>
            </w:r>
          </w:p>
        </w:tc>
        <w:tc>
          <w:tcPr>
            <w:tcW w:w="760" w:type="dxa"/>
            <w:vAlign w:val="bottom"/>
          </w:tcPr>
          <w:p>
            <w:pPr>
              <w:jc w:val="right"/>
              <w:spacing w:after="0"/>
              <w:rPr>
                <w:sz w:val="20"/>
                <w:szCs w:val="20"/>
                <w:color w:val="auto"/>
              </w:rPr>
            </w:pPr>
            <w:r>
              <w:rPr>
                <w:rFonts w:ascii="Arial" w:cs="Arial" w:eastAsia="Arial" w:hAnsi="Arial"/>
                <w:sz w:val="15"/>
                <w:szCs w:val="15"/>
                <w:color w:val="auto"/>
              </w:rPr>
              <w:t>7.6%</w:t>
            </w:r>
          </w:p>
        </w:tc>
        <w:tc>
          <w:tcPr>
            <w:tcW w:w="860" w:type="dxa"/>
            <w:vAlign w:val="bottom"/>
          </w:tcPr>
          <w:p>
            <w:pPr>
              <w:ind w:left="20"/>
              <w:spacing w:after="0"/>
              <w:rPr>
                <w:sz w:val="20"/>
                <w:szCs w:val="20"/>
                <w:color w:val="auto"/>
              </w:rPr>
            </w:pPr>
            <w:r>
              <w:rPr>
                <w:rFonts w:ascii="Arial" w:cs="Arial" w:eastAsia="Arial" w:hAnsi="Arial"/>
                <w:sz w:val="15"/>
                <w:szCs w:val="15"/>
                <w:color w:val="auto"/>
              </w:rPr>
              <w:t>- 8.3%</w:t>
            </w:r>
          </w:p>
        </w:tc>
      </w:tr>
      <w:tr>
        <w:trPr>
          <w:trHeight w:val="198"/>
        </w:trPr>
        <w:tc>
          <w:tcPr>
            <w:tcW w:w="3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Revenue volatility</w:t>
            </w:r>
          </w:p>
        </w:tc>
        <w:tc>
          <w:tcPr>
            <w:tcW w:w="16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27.4%</w:t>
            </w:r>
          </w:p>
        </w:tc>
      </w:tr>
      <w:tr>
        <w:trPr>
          <w:trHeight w:val="197"/>
        </w:trPr>
        <w:tc>
          <w:tcPr>
            <w:tcW w:w="3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2"/>
          </w:tcPr>
          <w:p>
            <w:pPr>
              <w:ind w:left="20"/>
              <w:spacing w:after="0"/>
              <w:rPr>
                <w:sz w:val="20"/>
                <w:szCs w:val="20"/>
                <w:color w:val="auto"/>
              </w:rPr>
            </w:pPr>
            <w:r>
              <w:rPr>
                <w:rFonts w:ascii="Arial" w:cs="Arial" w:eastAsia="Arial" w:hAnsi="Arial"/>
                <w:sz w:val="15"/>
                <w:szCs w:val="15"/>
                <w:color w:val="auto"/>
              </w:rPr>
              <w:t>Projected years of earnout</w:t>
            </w:r>
          </w:p>
        </w:tc>
        <w:tc>
          <w:tcPr>
            <w:tcW w:w="760" w:type="dxa"/>
            <w:vAlign w:val="bottom"/>
          </w:tcPr>
          <w:p>
            <w:pPr>
              <w:jc w:val="right"/>
              <w:spacing w:after="0"/>
              <w:rPr>
                <w:sz w:val="20"/>
                <w:szCs w:val="20"/>
                <w:color w:val="auto"/>
              </w:rPr>
            </w:pPr>
            <w:r>
              <w:rPr>
                <w:rFonts w:ascii="Arial" w:cs="Arial" w:eastAsia="Arial" w:hAnsi="Arial"/>
                <w:sz w:val="15"/>
                <w:szCs w:val="15"/>
                <w:color w:val="auto"/>
              </w:rPr>
              <w:t>2023</w:t>
            </w:r>
          </w:p>
        </w:tc>
        <w:tc>
          <w:tcPr>
            <w:tcW w:w="860" w:type="dxa"/>
            <w:vAlign w:val="bottom"/>
          </w:tcPr>
          <w:p>
            <w:pPr>
              <w:ind w:left="20"/>
              <w:spacing w:after="0"/>
              <w:rPr>
                <w:sz w:val="20"/>
                <w:szCs w:val="20"/>
                <w:color w:val="auto"/>
              </w:rPr>
            </w:pPr>
            <w:r>
              <w:rPr>
                <w:rFonts w:ascii="Arial" w:cs="Arial" w:eastAsia="Arial" w:hAnsi="Arial"/>
                <w:sz w:val="15"/>
                <w:szCs w:val="15"/>
                <w:color w:val="auto"/>
              </w:rPr>
              <w:t>- 2027</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Financing Arrangements</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outstanding principal amount of long-term debt as of September 30, 2023 and December 31, 2022 was as follows (in thousands, except interest rates):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5"/>
                <w:szCs w:val="15"/>
                <w:b w:val="1"/>
                <w:bCs w:val="1"/>
                <w:color w:val="auto"/>
              </w:rPr>
              <w:t>September 30,</w:t>
            </w:r>
          </w:p>
        </w:tc>
        <w:tc>
          <w:tcPr>
            <w:tcW w:w="14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Arial" w:cs="Arial" w:eastAsia="Arial" w:hAnsi="Arial"/>
                <w:sz w:val="15"/>
                <w:szCs w:val="15"/>
                <w:b w:val="1"/>
                <w:bCs w:val="1"/>
                <w:color w:val="auto"/>
                <w:w w:val="94"/>
              </w:rPr>
              <w:t>December 31,</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Maturity</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Interest Rate</w:t>
            </w:r>
          </w:p>
        </w:tc>
      </w:tr>
      <w:tr>
        <w:trPr>
          <w:trHeight w:val="189"/>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Term Facilities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332,433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289,294</w:t>
            </w:r>
          </w:p>
        </w:tc>
        <w:tc>
          <w:tcPr>
            <w:tcW w:w="10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3"/>
              </w:rPr>
              <w:t>July 2027</w:t>
            </w: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8.87%</w:t>
            </w:r>
          </w:p>
        </w:tc>
      </w:tr>
      <w:tr>
        <w:trPr>
          <w:trHeight w:val="197"/>
        </w:trPr>
        <w:tc>
          <w:tcPr>
            <w:tcW w:w="4840" w:type="dxa"/>
            <w:vAlign w:val="bottom"/>
          </w:tcPr>
          <w:p>
            <w:pPr>
              <w:spacing w:after="0"/>
              <w:rPr>
                <w:sz w:val="20"/>
                <w:szCs w:val="20"/>
                <w:color w:val="auto"/>
              </w:rPr>
            </w:pPr>
            <w:r>
              <w:rPr>
                <w:rFonts w:ascii="Arial" w:cs="Arial" w:eastAsia="Arial" w:hAnsi="Arial"/>
                <w:sz w:val="15"/>
                <w:szCs w:val="15"/>
                <w:color w:val="auto"/>
              </w:rPr>
              <w:t>2020 Cash Exchangeable Senior Notes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251,315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239,568</w:t>
            </w:r>
          </w:p>
        </w:tc>
        <w:tc>
          <w:tcPr>
            <w:tcW w:w="10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December 2025</w:t>
            </w:r>
          </w:p>
        </w:tc>
        <w:tc>
          <w:tcPr>
            <w:tcW w:w="1880" w:type="dxa"/>
            <w:vAlign w:val="bottom"/>
          </w:tcPr>
          <w:p>
            <w:pPr>
              <w:jc w:val="center"/>
              <w:spacing w:after="0"/>
              <w:rPr>
                <w:sz w:val="20"/>
                <w:szCs w:val="20"/>
                <w:color w:val="auto"/>
              </w:rPr>
            </w:pPr>
            <w:r>
              <w:rPr>
                <w:rFonts w:ascii="Arial" w:cs="Arial" w:eastAsia="Arial" w:hAnsi="Arial"/>
                <w:sz w:val="15"/>
                <w:szCs w:val="15"/>
                <w:color w:val="auto"/>
                <w:w w:val="93"/>
              </w:rPr>
              <w:t>3.00%</w:t>
            </w: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Merrill Lynch Banco Múltiplo S.A.</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6,462</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N/A</w:t>
            </w: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N/A</w:t>
            </w:r>
          </w:p>
        </w:tc>
      </w:tr>
      <w:tr>
        <w:trPr>
          <w:trHeight w:val="197"/>
        </w:trPr>
        <w:tc>
          <w:tcPr>
            <w:tcW w:w="4840" w:type="dxa"/>
            <w:vAlign w:val="bottom"/>
          </w:tcPr>
          <w:p>
            <w:pPr>
              <w:spacing w:after="0"/>
              <w:rPr>
                <w:sz w:val="20"/>
                <w:szCs w:val="20"/>
                <w:color w:val="auto"/>
              </w:rPr>
            </w:pPr>
            <w:r>
              <w:rPr>
                <w:rFonts w:ascii="Arial" w:cs="Arial" w:eastAsia="Arial" w:hAnsi="Arial"/>
                <w:sz w:val="15"/>
                <w:szCs w:val="15"/>
                <w:color w:val="auto"/>
              </w:rPr>
              <w:t>Mediocredito Italiano</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1,601</w:t>
            </w:r>
          </w:p>
        </w:tc>
        <w:tc>
          <w:tcPr>
            <w:tcW w:w="10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December 2023</w:t>
            </w:r>
          </w:p>
        </w:tc>
        <w:tc>
          <w:tcPr>
            <w:tcW w:w="1880" w:type="dxa"/>
            <w:vAlign w:val="bottom"/>
          </w:tcPr>
          <w:p>
            <w:pPr>
              <w:jc w:val="center"/>
              <w:spacing w:after="0"/>
              <w:rPr>
                <w:sz w:val="20"/>
                <w:szCs w:val="20"/>
                <w:color w:val="auto"/>
              </w:rPr>
            </w:pPr>
            <w:r>
              <w:rPr>
                <w:rFonts w:ascii="Arial" w:cs="Arial" w:eastAsia="Arial" w:hAnsi="Arial"/>
                <w:sz w:val="15"/>
                <w:szCs w:val="15"/>
                <w:color w:val="auto"/>
                <w:w w:val="93"/>
              </w:rPr>
              <w:t>0.50% - 7.15%</w:t>
            </w:r>
          </w:p>
        </w:tc>
      </w:tr>
      <w:tr>
        <w:trPr>
          <w:trHeight w:val="198"/>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U.S.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10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2"/>
              </w:rPr>
              <w:t>January 2025</w:t>
            </w:r>
          </w:p>
        </w:tc>
        <w:tc>
          <w:tcPr>
            <w:tcW w:w="18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8.31%</w:t>
            </w:r>
          </w:p>
        </w:tc>
      </w:tr>
      <w:tr>
        <w:trPr>
          <w:trHeight w:val="197"/>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534</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r>
      <w:tr>
        <w:trPr>
          <w:trHeight w:val="189"/>
        </w:trPr>
        <w:tc>
          <w:tcPr>
            <w:tcW w:w="48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long-term facilities</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586,580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538,959</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r>
      <w:tr>
        <w:trPr>
          <w:trHeight w:val="197"/>
        </w:trPr>
        <w:tc>
          <w:tcPr>
            <w:tcW w:w="4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current portion of long-term debt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18,417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20,892</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80" w:type="dxa"/>
            <w:vAlign w:val="bottom"/>
            <w:tcBorders>
              <w:bottom w:val="single" w:sz="8" w:color="CCEEFF"/>
            </w:tcBorders>
          </w:tcPr>
          <w:p>
            <w:pPr>
              <w:spacing w:after="0"/>
              <w:rPr>
                <w:sz w:val="17"/>
                <w:szCs w:val="17"/>
                <w:color w:val="auto"/>
              </w:rPr>
            </w:pPr>
          </w:p>
        </w:tc>
      </w:tr>
      <w:tr>
        <w:trPr>
          <w:trHeight w:val="214"/>
        </w:trPr>
        <w:tc>
          <w:tcPr>
            <w:tcW w:w="4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long-term debt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568,163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518,067</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spacing w:after="0"/>
              <w:rPr>
                <w:sz w:val="18"/>
                <w:szCs w:val="18"/>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r>
        <w:trPr>
          <w:trHeight w:val="721"/>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243"/>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01"/>
        </w:trPr>
        <w:tc>
          <w:tcPr>
            <w:tcW w:w="4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Revolving Credit</w:t>
      </w:r>
    </w:p>
    <w:p>
      <w:pPr>
        <w:spacing w:after="0" w:line="99" w:lineRule="exact"/>
        <w:rPr>
          <w:sz w:val="20"/>
          <w:szCs w:val="20"/>
          <w:color w:val="auto"/>
        </w:rPr>
      </w:pPr>
    </w:p>
    <w:p>
      <w:pPr>
        <w:ind w:right="100" w:firstLine="139"/>
        <w:spacing w:after="0" w:line="346" w:lineRule="auto"/>
        <w:rPr>
          <w:sz w:val="20"/>
          <w:szCs w:val="20"/>
          <w:color w:val="auto"/>
        </w:rPr>
      </w:pPr>
      <w:r>
        <w:rPr>
          <w:rFonts w:ascii="Arial" w:cs="Arial" w:eastAsia="Arial" w:hAnsi="Arial"/>
          <w:sz w:val="14"/>
          <w:szCs w:val="14"/>
          <w:color w:val="auto"/>
        </w:rPr>
        <w:t>The outstanding principal amount of LivaNova’s short-term unsecured revolving credit agreements and other agreements with various banks was $0.6 million and $2.5 million as of September 30, 2023 and December 31, 2022, respectively, with an interest rate of 4.24% and loan terms ranging from overnight to 364 days as of September 30, 2023.</w:t>
      </w:r>
    </w:p>
    <w:p>
      <w:pPr>
        <w:spacing w:after="0" w:line="23" w:lineRule="exact"/>
        <w:rPr>
          <w:sz w:val="20"/>
          <w:szCs w:val="20"/>
          <w:color w:val="auto"/>
        </w:rPr>
      </w:pPr>
    </w:p>
    <w:p>
      <w:pPr>
        <w:ind w:right="80" w:firstLine="139"/>
        <w:spacing w:after="0" w:line="294" w:lineRule="auto"/>
        <w:rPr>
          <w:sz w:val="20"/>
          <w:szCs w:val="20"/>
          <w:color w:val="auto"/>
        </w:rPr>
      </w:pPr>
      <w:r>
        <w:rPr>
          <w:rFonts w:ascii="Arial" w:cs="Arial" w:eastAsia="Arial" w:hAnsi="Arial"/>
          <w:sz w:val="14"/>
          <w:szCs w:val="14"/>
          <w:color w:val="auto"/>
        </w:rPr>
        <w:t>On August 13, 2021, LivaNova PLC and its wholly-owned subsidiary, LivaNova USA as borrower, entered into a First Lien Credit Agreement with the lenders and issuing banks party thereto and Goldman Sachs Bank USA, as First Lien Administrative Agent and First Lien Collateral Agent, relating to a $125 million senior secured multi-currency revolving credit facility to be made available to the borrower, referred to as the 2021 First Lien Credit Agreement. The 2021 First Lien Credit Agreement, as amended from time to time, expires on August 13, 2026, and bears interest at a rate equal to, for USD-denominated loans, an adjusted SOFR with a floor of 0.00%, or a Base Rate, plus, in each case, a variable margin based on the Company’s Total Net Leverage Ratio, as defined in the agreement. Interest is paid monthly or quarterly, as selected by the borrower, with any outstanding principal due at maturity. The 2021 First Lien Credit Agreement also contemplates the payment of commitment fees on the unused portion of the commitments, at a variable percentage based on the Company’s Total Net Leverage Ratio. As of September 30, 2023 and December 31, 2022, the applicable commitment fee percentage was 0.5% per annum. The 2021 First Lien Credit Agreement is available for working capital and other general corporate purposes and, if drawn, can be repaid at any time without premium or penalty. As of September 30, 2023, the Company was in compliance with the financial covenants contained in its 2021 First Lien Credit Agreement.</w:t>
      </w:r>
    </w:p>
    <w:p>
      <w:pPr>
        <w:spacing w:after="0" w:line="6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There were no outstanding borrowings under the 2021 First Lien Credit Agreement’s $125 million revolving credit facility as of September 30, 2023 and December 31,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Bridge Loan Facility</w:t>
      </w:r>
    </w:p>
    <w:p>
      <w:pPr>
        <w:spacing w:after="0" w:line="111" w:lineRule="exact"/>
        <w:rPr>
          <w:sz w:val="20"/>
          <w:szCs w:val="20"/>
          <w:color w:val="auto"/>
        </w:rPr>
      </w:pPr>
    </w:p>
    <w:p>
      <w:pPr>
        <w:ind w:right="20" w:firstLine="139"/>
        <w:spacing w:after="0" w:line="280" w:lineRule="auto"/>
        <w:rPr>
          <w:sz w:val="20"/>
          <w:szCs w:val="20"/>
          <w:color w:val="auto"/>
        </w:rPr>
      </w:pPr>
      <w:r>
        <w:rPr>
          <w:rFonts w:ascii="Arial" w:cs="Arial" w:eastAsia="Arial" w:hAnsi="Arial"/>
          <w:sz w:val="15"/>
          <w:szCs w:val="15"/>
          <w:color w:val="auto"/>
        </w:rPr>
        <w:t>On February 24, 2022, LivaNova PLC and its wholly-owned subsidiary LivaNova USA entered into the €200 million Bridge Loan Facility. On March 16, 2022, LivaNova entered into Amendment No. 2 to the 2021 First Lien Credit Agreement, which converted the available borrowings under the Bridge Loan Facility from €200 million to $220 million and converted the EURIBOR rate in the 2021 First Lien Credit Agreement to SOFR. LivaNova delivered a borrowing notice for $220 million in connection with the Bridge Loan Facility, which was funded on March 17, 2022.</w:t>
      </w:r>
    </w:p>
    <w:p>
      <w:pPr>
        <w:spacing w:after="0" w:line="54"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The proceeds of the Bridge Loan Facility were used by LivaNova to post a portion of the cash collateral supporting the SNIA Litigation Guarantee. Cash collateral classified as restricted cash on the condensed consolidated balance sheet was $298.8 million and $301.4 million as of September 30, 2023 and December 31, 2022, respectively. For additional information regarding the SNIA litigation, please refer to “Note 8. Commitments and Contingencies.”</w:t>
      </w:r>
    </w:p>
    <w:p>
      <w:pPr>
        <w:spacing w:after="0" w:line="72" w:lineRule="exact"/>
        <w:rPr>
          <w:sz w:val="20"/>
          <w:szCs w:val="20"/>
          <w:color w:val="auto"/>
        </w:rPr>
      </w:pPr>
    </w:p>
    <w:p>
      <w:pPr>
        <w:ind w:right="400" w:firstLine="139"/>
        <w:spacing w:after="0" w:line="346" w:lineRule="auto"/>
        <w:rPr>
          <w:sz w:val="20"/>
          <w:szCs w:val="20"/>
          <w:color w:val="auto"/>
        </w:rPr>
      </w:pPr>
      <w:r>
        <w:rPr>
          <w:rFonts w:ascii="Arial" w:cs="Arial" w:eastAsia="Arial" w:hAnsi="Arial"/>
          <w:sz w:val="14"/>
          <w:szCs w:val="14"/>
          <w:color w:val="auto"/>
        </w:rPr>
        <w:t>Debt discounts and issuance costs related to the Bridge Loan Facility were approximately $4.5 million. Amortization of debt discount and issuance costs for the Bridge Loan Facility was $4.5 million for the nine months ended September 30, 2022 and is included in interest expense on the condensed consolidated statement of income.</w:t>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Bridge Loan Facility was repaid in full on July 6, 2022.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Term Facilities</w:t>
      </w:r>
    </w:p>
    <w:p>
      <w:pPr>
        <w:spacing w:after="0" w:line="99" w:lineRule="exact"/>
        <w:rPr>
          <w:sz w:val="20"/>
          <w:szCs w:val="20"/>
          <w:color w:val="auto"/>
        </w:rPr>
      </w:pPr>
    </w:p>
    <w:p>
      <w:pPr>
        <w:ind w:right="100" w:firstLine="139"/>
        <w:spacing w:after="0" w:line="280" w:lineRule="auto"/>
        <w:rPr>
          <w:sz w:val="20"/>
          <w:szCs w:val="20"/>
          <w:color w:val="auto"/>
        </w:rPr>
      </w:pPr>
      <w:r>
        <w:rPr>
          <w:rFonts w:ascii="Arial" w:cs="Arial" w:eastAsia="Arial" w:hAnsi="Arial"/>
          <w:sz w:val="15"/>
          <w:szCs w:val="15"/>
          <w:color w:val="auto"/>
        </w:rPr>
        <w:t>On July 6, 2022, LivaNova and its wholly-owned subsidiary, LivaNova USA, entered into Incremental Facility Amendment No. 2. Incremental Facility Amendment No. 2 provides for LivaNova USA to, among other things, obtain commitments for term loan facilities from a syndicate of lenders in an aggregate principal amount of $350 million consisting of (i) the Initial Term Facility with an aggregate principal amount of $300 million and (ii) the Delayed Draw Term Facility with an additional aggregate principal amount of $50 million. On April 6, 2023, LivaNova drew $50 million under the Delayed Draw Term Facility for general corporate purposes.</w:t>
      </w:r>
    </w:p>
    <w:p>
      <w:pPr>
        <w:spacing w:after="0" w:line="66" w:lineRule="exact"/>
        <w:rPr>
          <w:sz w:val="20"/>
          <w:szCs w:val="20"/>
          <w:color w:val="auto"/>
        </w:rPr>
      </w:pPr>
    </w:p>
    <w:p>
      <w:pPr>
        <w:ind w:right="260" w:firstLine="139"/>
        <w:spacing w:after="0" w:line="302" w:lineRule="auto"/>
        <w:rPr>
          <w:sz w:val="20"/>
          <w:szCs w:val="20"/>
          <w:color w:val="auto"/>
        </w:rPr>
      </w:pPr>
      <w:r>
        <w:rPr>
          <w:rFonts w:ascii="Arial" w:cs="Arial" w:eastAsia="Arial" w:hAnsi="Arial"/>
          <w:sz w:val="14"/>
          <w:szCs w:val="14"/>
          <w:color w:val="auto"/>
        </w:rPr>
        <w:t>Proceeds from the Initial Term Facility were used to repay in full the Bridge Loan Facility on July 6, 2022, with the remainder used for general corporate purposes of the Company. The Term Facilities have a maturity of the earlier of (i) five years or (ii) 91 days prior to December 15, 2025, the maturity date of the 2020 Cash Exchangeable Senior Notes, unless by that date LivaNova USA will have either redeemed or refinanced the Notes, or set aside an amount of cash equal to the then-outstanding principal amount of the Notes. The Term Facilities bear interest at a rate equal to an adjusted term SOFR plus a variable margin based on the Company’s consolidated total net leverage ratio. As of September 30, 2023, the applicable margin over Adjusted SOFR was equal to 3.50% per annum. The Term Facilities are subject to an original issue discount of 1.5% of</w:t>
      </w: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their principal amount. The Term Facilities are subject to quarterly principal repayment, based on the following amortization schedule: (i) during the first year from the initial</w:t>
      </w:r>
    </w:p>
    <w:p>
      <w:pPr>
        <w:spacing w:after="0" w:line="36"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funding date: 1.9%; (ii) year two: 5.0%; (ii) year three: 5.0%; (iv) year four: 7.5%; and (v) year five: 10.0%, with the remainder to be paid at maturity. The effective interest rate of the Term Facilities at September 30, 2023 was 6.53%.</w:t>
      </w:r>
    </w:p>
    <w:p>
      <w:pPr>
        <w:spacing w:after="0" w:line="58" w:lineRule="exact"/>
        <w:rPr>
          <w:sz w:val="20"/>
          <w:szCs w:val="20"/>
          <w:color w:val="auto"/>
        </w:rPr>
      </w:pPr>
    </w:p>
    <w:p>
      <w:pPr>
        <w:ind w:right="40" w:firstLine="139"/>
        <w:spacing w:after="0" w:line="302" w:lineRule="auto"/>
        <w:rPr>
          <w:sz w:val="20"/>
          <w:szCs w:val="20"/>
          <w:color w:val="auto"/>
        </w:rPr>
      </w:pPr>
      <w:r>
        <w:rPr>
          <w:rFonts w:ascii="Arial" w:cs="Arial" w:eastAsia="Arial" w:hAnsi="Arial"/>
          <w:sz w:val="14"/>
          <w:szCs w:val="14"/>
          <w:color w:val="auto"/>
        </w:rPr>
        <w:t>The 2021 First Lien Credit Agreement, as amended, contains customary representations, warranties and covenants, including the requirement to maintain a Senior Secured First Lien Net Leverage Ratio, calculated as the ratio of Consolidated Senior Secured First Lien Net Indebtedness to Consolidated EBITDA, as defined in the credit agreement, for the period of four consecutive fiscal quarters ended on the calculation date, of not more than 3.50 to 1.00 and an Interest Coverage Ratio, calculated as the ratio of Consolidated EBITDA to Consolidated Interest Expense, as defined in the credit agreement, for the period of four consecutive fiscal quarters ended on the calculation date, of not less than 3.00 to 1.00. As of September 30, 2023, the Company was in compliance with the financial covenants contained in the 2021 First Lien Credit Agreement.</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Debt discounts and issuance costs related to the Initial Term Facility were approximately $9.6 million. Amortization of debt discount and issuance costs for the Initial Term</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Facility was $0.5 million and $1.5 million for the three and nine months ended September 30, 2023, respectively, and is included in interest expense on the condensed consolidated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statement of income. The unamortized discount and issuance costs related to the Initial Term Facility as of September 30, 2023 and December 31, 2022 were $7.3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$8.7 million, respectively. Issuance costs related to the Delayed Draw Term Facility were approximately $1.6 million. Amortization of issuance costs for the Delayed Draw Term</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Facility was nil and $0.5 million for the three and nine months ended September 30, 2023, respectively, and is included in interest expense on the condensed consolidated statement</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of income. The issuance costs related to the Delayed Draw Term Facility were fully amortized as of September 30, 2023.</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2020 Cash Exchangeable Senior Notes</w:t>
      </w:r>
    </w:p>
    <w:p>
      <w:pPr>
        <w:spacing w:after="0" w:line="111" w:lineRule="exact"/>
        <w:rPr>
          <w:sz w:val="20"/>
          <w:szCs w:val="20"/>
          <w:color w:val="auto"/>
        </w:rPr>
      </w:pPr>
    </w:p>
    <w:p>
      <w:pPr>
        <w:ind w:right="140" w:firstLine="139"/>
        <w:spacing w:after="0" w:line="274" w:lineRule="auto"/>
        <w:rPr>
          <w:sz w:val="20"/>
          <w:szCs w:val="20"/>
          <w:color w:val="auto"/>
        </w:rPr>
      </w:pPr>
      <w:r>
        <w:rPr>
          <w:rFonts w:ascii="Arial" w:cs="Arial" w:eastAsia="Arial" w:hAnsi="Arial"/>
          <w:sz w:val="15"/>
          <w:szCs w:val="15"/>
          <w:color w:val="auto"/>
        </w:rPr>
        <w:t>On June 17, 2020, LivaNova’s wholly-owned subsidiary, LivaNova USA, issued $287.5 million aggregate principal amount of 3.00% Notes by private placement to qualified institutional buyers pursuant to Rule 144A under the Securities Act. The sale of the Notes resulted in approximately $278.0 million in net proceeds to the Company after deducting issuance costs. Interest is payable semiannually in arrears on June 15 and December 15 of each year. The effective interest rate of the Notes at September 30, 2023 was 9.95%. The Notes mature on December 15, 2025 unless earlier exchanged, repurchased, or redeemed.</w:t>
      </w:r>
    </w:p>
    <w:p>
      <w:pPr>
        <w:spacing w:after="0" w:line="72" w:lineRule="exact"/>
        <w:rPr>
          <w:sz w:val="20"/>
          <w:szCs w:val="20"/>
          <w:color w:val="auto"/>
        </w:rPr>
      </w:pPr>
    </w:p>
    <w:p>
      <w:pPr>
        <w:ind w:right="120" w:firstLine="139"/>
        <w:spacing w:after="0" w:line="278" w:lineRule="auto"/>
        <w:rPr>
          <w:sz w:val="20"/>
          <w:szCs w:val="20"/>
          <w:color w:val="auto"/>
        </w:rPr>
      </w:pPr>
      <w:r>
        <w:rPr>
          <w:rFonts w:ascii="Arial" w:cs="Arial" w:eastAsia="Arial" w:hAnsi="Arial"/>
          <w:sz w:val="15"/>
          <w:szCs w:val="15"/>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for the Notes was $4.1 million and $11.7 million for the three and nine months ended September 30, 2023, respectively, and $3.7 million and $10.6 million for the three and nine months ended September 30, 2022, respectively, and is included in interest expense on the condensed consolidated statement of income. The unamortized discount related to the Notes as of September 30, 2023 and December 31, 2022 was $36.2 million and $47.9 million, respectively.</w:t>
      </w:r>
    </w:p>
    <w:p>
      <w:pPr>
        <w:spacing w:after="0" w:line="58" w:lineRule="exact"/>
        <w:rPr>
          <w:sz w:val="20"/>
          <w:szCs w:val="20"/>
          <w:color w:val="auto"/>
        </w:rPr>
      </w:pPr>
    </w:p>
    <w:p>
      <w:pPr>
        <w:ind w:firstLine="139"/>
        <w:spacing w:after="0" w:line="296" w:lineRule="auto"/>
        <w:rPr>
          <w:sz w:val="20"/>
          <w:szCs w:val="20"/>
          <w:color w:val="auto"/>
        </w:rPr>
      </w:pPr>
      <w:r>
        <w:rPr>
          <w:rFonts w:ascii="Arial" w:cs="Arial" w:eastAsia="Arial" w:hAnsi="Arial"/>
          <w:sz w:val="14"/>
          <w:szCs w:val="14"/>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during the quarterly period ending September 30, 2023. As a result, the Company has included its obligations from the Notes and the associated embedded exchange feature derivative as a long-term liability on the condensed consolidated balance sheet as of September 30, 2023.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54" w:lineRule="exact"/>
        <w:rPr>
          <w:sz w:val="20"/>
          <w:szCs w:val="20"/>
          <w:color w:val="auto"/>
        </w:rPr>
      </w:pPr>
    </w:p>
    <w:p>
      <w:pPr>
        <w:ind w:right="180" w:firstLine="139"/>
        <w:spacing w:after="0" w:line="259" w:lineRule="auto"/>
        <w:rPr>
          <w:sz w:val="20"/>
          <w:szCs w:val="20"/>
          <w:color w:val="auto"/>
        </w:rPr>
      </w:pPr>
      <w:r>
        <w:rPr>
          <w:rFonts w:ascii="Arial" w:cs="Arial" w:eastAsia="Arial" w:hAnsi="Arial"/>
          <w:sz w:val="15"/>
          <w:szCs w:val="15"/>
          <w:color w:val="auto"/>
        </w:rPr>
        <w:t>The Company may redeem the Notes at its option, on or after June 20, 2023 and prior to the 51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Embedded Exchange Feature</w:t>
      </w:r>
    </w:p>
    <w:p>
      <w:pPr>
        <w:spacing w:after="0" w:line="99" w:lineRule="exact"/>
        <w:rPr>
          <w:sz w:val="20"/>
          <w:szCs w:val="20"/>
          <w:color w:val="auto"/>
        </w:rPr>
      </w:pPr>
    </w:p>
    <w:p>
      <w:pPr>
        <w:ind w:firstLine="139"/>
        <w:spacing w:after="0" w:line="277" w:lineRule="auto"/>
        <w:rPr>
          <w:sz w:val="20"/>
          <w:szCs w:val="20"/>
          <w:color w:val="auto"/>
        </w:rPr>
      </w:pPr>
      <w:r>
        <w:rPr>
          <w:rFonts w:ascii="Arial" w:cs="Arial" w:eastAsia="Arial" w:hAnsi="Arial"/>
          <w:sz w:val="15"/>
          <w:szCs w:val="15"/>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income/(expense)” in the condensed consolidated statements of income. The fair value of the embedded exchange feature derivative liability was $53.3 million and $85.7 million as of September 30, 2023 and December 31, 2022,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Capped Call Transactions</w:t>
      </w:r>
    </w:p>
    <w:p>
      <w:pPr>
        <w:spacing w:after="0" w:line="111" w:lineRule="exact"/>
        <w:rPr>
          <w:sz w:val="20"/>
          <w:szCs w:val="20"/>
          <w:color w:val="auto"/>
        </w:rPr>
      </w:pPr>
    </w:p>
    <w:p>
      <w:pPr>
        <w:ind w:right="20" w:firstLine="139"/>
        <w:spacing w:after="0" w:line="319" w:lineRule="auto"/>
        <w:rPr>
          <w:sz w:val="20"/>
          <w:szCs w:val="20"/>
          <w:color w:val="auto"/>
        </w:rPr>
      </w:pPr>
      <w:r>
        <w:rPr>
          <w:rFonts w:ascii="Arial" w:cs="Arial" w:eastAsia="Arial" w:hAnsi="Arial"/>
          <w:sz w:val="13"/>
          <w:szCs w:val="13"/>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carried on the condensed consolidated balance sheets as a derivative asset at their estimated fair value and are adjusted at the end of each reporting period, with unrealized gain or loss reflected within foreign exchange and other income/(expense) in the condensed consolidated statements of income. The fair value of the capped call derivative assets was $43.7 million and $54.4 million as of September 30, 2023 and December 31, 2022, respectively. As of September 30, 2023, the capped call derivative assets were classified as long-term.</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Derivatives and Risk Management</w:t>
      </w:r>
    </w:p>
    <w:p>
      <w:pPr>
        <w:spacing w:after="0" w:line="103" w:lineRule="exact"/>
        <w:rPr>
          <w:sz w:val="20"/>
          <w:szCs w:val="20"/>
          <w:color w:val="auto"/>
        </w:rPr>
      </w:pPr>
    </w:p>
    <w:p>
      <w:pPr>
        <w:ind w:right="60" w:firstLine="139"/>
        <w:spacing w:after="0" w:line="274" w:lineRule="auto"/>
        <w:rPr>
          <w:sz w:val="20"/>
          <w:szCs w:val="20"/>
          <w:color w:val="auto"/>
        </w:rPr>
      </w:pPr>
      <w:r>
        <w:rPr>
          <w:rFonts w:ascii="Arial" w:cs="Arial" w:eastAsia="Arial" w:hAnsi="Arial"/>
          <w:sz w:val="15"/>
          <w:szCs w:val="15"/>
          <w:color w:val="auto"/>
        </w:rPr>
        <w:t>Due to the global nature of LivaNova’s operations, LivaNova is exposed to FX fluctuations. Historically, the Company has entered into FX derivative contracts and interest rate swap contracts to reduce the impact of FX and interest rate fluctuations, respectively, on earnings and cash flow. LivaNova is also exposed to equity price risk in connection with its Notes, including exchange and settlement provisions based on the price of the Company’s ordinary shares at exchange or maturity of the Notes. The capped call transactions associated with the Notes also include settlement provisions that are based on the price of LivaNova’s ordinary shares, subject to a capped price per share. LivaNova does not enter into derivative contracts for speculative purposes.</w:t>
      </w:r>
    </w:p>
    <w:p>
      <w:pPr>
        <w:spacing w:after="0" w:line="72" w:lineRule="exact"/>
        <w:rPr>
          <w:sz w:val="20"/>
          <w:szCs w:val="20"/>
          <w:color w:val="auto"/>
        </w:rPr>
      </w:pPr>
    </w:p>
    <w:p>
      <w:pPr>
        <w:jc w:val="both"/>
        <w:ind w:right="40" w:firstLine="139"/>
        <w:spacing w:after="0" w:line="305" w:lineRule="auto"/>
        <w:rPr>
          <w:sz w:val="20"/>
          <w:szCs w:val="20"/>
          <w:color w:val="auto"/>
        </w:rPr>
      </w:pPr>
      <w:r>
        <w:rPr>
          <w:rFonts w:ascii="Arial" w:cs="Arial" w:eastAsia="Arial" w:hAnsi="Arial"/>
          <w:sz w:val="14"/>
          <w:szCs w:val="14"/>
          <w:color w:val="auto"/>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condensed consolidated statements of cash flows.</w:t>
      </w:r>
    </w:p>
    <w:p>
      <w:pPr>
        <w:spacing w:after="0" w:line="52" w:lineRule="exact"/>
        <w:rPr>
          <w:sz w:val="20"/>
          <w:szCs w:val="20"/>
          <w:color w:val="auto"/>
        </w:rPr>
      </w:pPr>
    </w:p>
    <w:p>
      <w:pPr>
        <w:ind w:right="200" w:firstLine="139"/>
        <w:spacing w:after="0" w:line="344" w:lineRule="auto"/>
        <w:rPr>
          <w:sz w:val="20"/>
          <w:szCs w:val="20"/>
          <w:color w:val="auto"/>
        </w:rPr>
      </w:pPr>
      <w:r>
        <w:rPr>
          <w:rFonts w:ascii="Arial" w:cs="Arial" w:eastAsia="Arial" w:hAnsi="Arial"/>
          <w:sz w:val="13"/>
          <w:szCs w:val="13"/>
          <w:color w:val="auto"/>
        </w:rPr>
        <w:t>If the derivative qualifies for hedge accounting, changes in the fair value of the derivative will be recorded in AOCI until the hedged item is recognized in earnings upon settlement/termination. FX derivative gains and losses in AOCI are reclassified to the condensed consolidated statements of income as shown in the tables below, and interest rate swap gains and losses in AOCI are reclassified to interest expense on the condensed consolidated statements of income. The Company evaluates hedge effectiveness at inception.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Freestanding FX Derivative Contracts</w:t>
      </w:r>
    </w:p>
    <w:p>
      <w:pPr>
        <w:spacing w:after="0" w:line="99" w:lineRule="exact"/>
        <w:rPr>
          <w:sz w:val="20"/>
          <w:szCs w:val="20"/>
          <w:color w:val="auto"/>
        </w:rPr>
      </w:pPr>
    </w:p>
    <w:p>
      <w:pPr>
        <w:ind w:right="80" w:firstLine="139"/>
        <w:spacing w:after="0" w:line="278" w:lineRule="auto"/>
        <w:rPr>
          <w:sz w:val="20"/>
          <w:szCs w:val="20"/>
          <w:color w:val="auto"/>
        </w:rPr>
      </w:pPr>
      <w:r>
        <w:rPr>
          <w:rFonts w:ascii="Arial" w:cs="Arial" w:eastAsia="Arial" w:hAnsi="Arial"/>
          <w:sz w:val="15"/>
          <w:szCs w:val="15"/>
          <w:color w:val="auto"/>
        </w:rPr>
        <w:t>The gross notional amount of FX derivative contracts not designated as hedging instruments outstanding at September 30, 2023 and December 31, 2022 was $174.2 million and $154.5 million, respectively. These derivative contracts are designed to offset the FX effects in earnings of various intercompany loans and trade receivables. For these freestanding derivatives, LivaNova recorded net gains of $5.0 million and $7.7 million for the three months ended September 30, 2023 and 2022, respectively, and net gains of $4.1 million and $12.7 million for the nine months ended September 30, 2023 and 2022, respectively. These gains and losses are included in foreign exchange and other income/(expense) on the condensed consolidated statements of income.</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Counterparty Credit Risk</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LivaNova is exposed to credit risk in the event of non-performance by the counterparties to the Company’s derivatives.</w:t>
      </w:r>
    </w:p>
    <w:p>
      <w:pPr>
        <w:spacing w:after="0" w:line="118" w:lineRule="exact"/>
        <w:rPr>
          <w:sz w:val="20"/>
          <w:szCs w:val="20"/>
          <w:color w:val="auto"/>
        </w:rPr>
      </w:pPr>
    </w:p>
    <w:p>
      <w:pPr>
        <w:ind w:right="220" w:firstLine="139"/>
        <w:spacing w:after="0" w:line="280" w:lineRule="auto"/>
        <w:rPr>
          <w:sz w:val="20"/>
          <w:szCs w:val="20"/>
          <w:color w:val="auto"/>
        </w:rPr>
      </w:pPr>
      <w:r>
        <w:rPr>
          <w:rFonts w:ascii="Arial" w:cs="Arial" w:eastAsia="Arial" w:hAnsi="Arial"/>
          <w:sz w:val="15"/>
          <w:szCs w:val="15"/>
          <w:color w:val="auto"/>
        </w:rPr>
        <w:t>The two counterparties to the capped call transactions are financial institutions. To limit its credit risk, LivaNova selected financial institutions with a minimum long-term investment grade credit rating. LivaNova’s exposure to the credit risk of the counterparties is not secured by any collateral. If a counterparty becomes subject to insolvency proceedings, the Company will become an unsecured creditor in those proceedings, with a claim equal to LivaNova’s exposure at that time under the capped call transactions with that counterparty.</w:t>
      </w:r>
    </w:p>
    <w:p>
      <w:pPr>
        <w:spacing w:after="0" w:line="66" w:lineRule="exact"/>
        <w:rPr>
          <w:sz w:val="20"/>
          <w:szCs w:val="20"/>
          <w:color w:val="auto"/>
        </w:rPr>
      </w:pPr>
    </w:p>
    <w:p>
      <w:pPr>
        <w:ind w:right="140" w:firstLine="139"/>
        <w:spacing w:after="0" w:line="311" w:lineRule="auto"/>
        <w:rPr>
          <w:sz w:val="20"/>
          <w:szCs w:val="20"/>
          <w:color w:val="auto"/>
        </w:rPr>
      </w:pPr>
      <w:r>
        <w:rPr>
          <w:rFonts w:ascii="Arial" w:cs="Arial" w:eastAsia="Arial" w:hAnsi="Arial"/>
          <w:sz w:val="14"/>
          <w:szCs w:val="14"/>
          <w:color w:val="auto"/>
        </w:rPr>
        <w:t>To manage credit risk with respect to its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Cash Flow Hedges</w:t>
      </w:r>
    </w:p>
    <w:p>
      <w:pPr>
        <w:spacing w:after="0" w:line="106"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Foreign Currency Risk</w:t>
      </w:r>
    </w:p>
    <w:p>
      <w:pPr>
        <w:spacing w:after="0" w:line="99" w:lineRule="exact"/>
        <w:rPr>
          <w:sz w:val="20"/>
          <w:szCs w:val="20"/>
          <w:color w:val="auto"/>
        </w:rPr>
      </w:pPr>
    </w:p>
    <w:p>
      <w:pPr>
        <w:ind w:right="20" w:firstLine="139"/>
        <w:spacing w:after="0" w:line="280" w:lineRule="auto"/>
        <w:rPr>
          <w:sz w:val="20"/>
          <w:szCs w:val="20"/>
          <w:color w:val="auto"/>
        </w:rPr>
      </w:pPr>
      <w:r>
        <w:rPr>
          <w:rFonts w:ascii="Arial" w:cs="Arial" w:eastAsia="Arial" w:hAnsi="Arial"/>
          <w:sz w:val="15"/>
          <w:szCs w:val="15"/>
          <w:color w:val="auto"/>
        </w:rPr>
        <w:t>Historically, LivaNova utilized FX derivative contracts, designed as cash flow hedges, to hedge the variability of cash flows associated with LivaNova’s 12-month USD forecasts of revenues and costs denominated in British Pound, Japanese Yen and the Euro. The Company transferred to earnings from AOCI the gain or loss realized on the FX derivative contracts at the time of invoicing. Upon the settlement of LivaNova’s foreign currency cash flow hedges in the fourth quarter of 2022 and following an in-depth analysis of the utility of the Company’s cash flow hedging program, LivaNova discontinued its foreign currency cash flow hedging program.</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Interest Rate Risk</w:t>
      </w:r>
    </w:p>
    <w:p>
      <w:pPr>
        <w:spacing w:after="0" w:line="99" w:lineRule="exact"/>
        <w:rPr>
          <w:sz w:val="20"/>
          <w:szCs w:val="20"/>
          <w:color w:val="auto"/>
        </w:rPr>
      </w:pPr>
    </w:p>
    <w:p>
      <w:pPr>
        <w:ind w:right="40" w:firstLine="139"/>
        <w:spacing w:after="0" w:line="290" w:lineRule="auto"/>
        <w:rPr>
          <w:sz w:val="20"/>
          <w:szCs w:val="20"/>
          <w:color w:val="auto"/>
        </w:rPr>
      </w:pPr>
      <w:r>
        <w:rPr>
          <w:rFonts w:ascii="Arial" w:cs="Arial" w:eastAsia="Arial" w:hAnsi="Arial"/>
          <w:sz w:val="15"/>
          <w:szCs w:val="15"/>
          <w:color w:val="auto"/>
        </w:rPr>
        <w:t>Historically, LivaNova entered into interest rate swaps associated with the Initial Term Facility, which qualified for and were designated as cash flow hedges. The Company’s interest rate swaps expired on April 6, 2023. LivaNova elected not to renew the interest rate swaps as interest expense associated with the Initial Term Facility is principally offset by holding a significant portion of the Initial Term Facility in a depository account, which earns a floating rate of interest.</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gross notional amounts of open derivative contracts designated as cash flow hedges at September 30, 2023 and December 31, 2022 were as follows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Derivative Contract</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September 30, 2023</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67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1860" w:type="dxa"/>
            <w:vAlign w:val="bottom"/>
            <w:shd w:val="clear" w:color="auto" w:fill="CCEEFF"/>
          </w:tcPr>
          <w:p>
            <w:pPr>
              <w:jc w:val="right"/>
              <w:ind w:right="1683"/>
              <w:spacing w:after="0"/>
              <w:rPr>
                <w:sz w:val="20"/>
                <w:szCs w:val="20"/>
                <w:color w:val="auto"/>
              </w:rPr>
            </w:pPr>
            <w:r>
              <w:rPr>
                <w:rFonts w:ascii="Arial" w:cs="Arial" w:eastAsia="Arial" w:hAnsi="Arial"/>
                <w:sz w:val="15"/>
                <w:szCs w:val="15"/>
                <w:color w:val="auto"/>
                <w:w w:val="95"/>
              </w:rPr>
              <w:t>$</w:t>
            </w:r>
          </w:p>
        </w:tc>
        <w:tc>
          <w:tcPr>
            <w:tcW w:w="72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  $</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210,000</w:t>
            </w:r>
          </w:p>
        </w:tc>
      </w:tr>
    </w:tbl>
    <w:p>
      <w:pPr>
        <w:spacing w:after="0" w:line="152" w:lineRule="exact"/>
        <w:rPr>
          <w:sz w:val="20"/>
          <w:szCs w:val="20"/>
          <w:color w:val="auto"/>
        </w:rPr>
      </w:pPr>
    </w:p>
    <w:p>
      <w:pPr>
        <w:ind w:right="740" w:firstLine="139"/>
        <w:spacing w:after="0" w:line="294" w:lineRule="auto"/>
        <w:rPr>
          <w:sz w:val="20"/>
          <w:szCs w:val="20"/>
          <w:color w:val="auto"/>
        </w:rPr>
      </w:pPr>
      <w:r>
        <w:rPr>
          <w:rFonts w:ascii="Arial" w:cs="Arial" w:eastAsia="Arial" w:hAnsi="Arial"/>
          <w:sz w:val="15"/>
          <w:szCs w:val="15"/>
          <w:color w:val="auto"/>
        </w:rPr>
        <w:t>Pre-tax gains (losses) for derivative contracts designated as cash flow hedges recognized in OCI and the amount reclassified to earnings from AOCI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4"/>
          </w:tcPr>
          <w:p>
            <w:pPr>
              <w:jc w:val="center"/>
              <w:ind w:right="103"/>
              <w:spacing w:after="0"/>
              <w:rPr>
                <w:sz w:val="20"/>
                <w:szCs w:val="20"/>
                <w:color w:val="auto"/>
              </w:rPr>
            </w:pPr>
            <w:r>
              <w:rPr>
                <w:rFonts w:ascii="Arial" w:cs="Arial" w:eastAsia="Arial" w:hAnsi="Arial"/>
                <w:sz w:val="15"/>
                <w:szCs w:val="15"/>
                <w:b w:val="1"/>
                <w:bCs w:val="1"/>
                <w:color w:val="auto"/>
                <w:w w:val="94"/>
              </w:rPr>
              <w:t>Three Months Ended September 30,</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5"/>
                <w:szCs w:val="15"/>
                <w:b w:val="1"/>
                <w:bCs w:val="1"/>
                <w:color w:val="auto"/>
              </w:rPr>
              <w:t>2022</w:t>
            </w:r>
          </w:p>
        </w:tc>
        <w:tc>
          <w:tcPr>
            <w:tcW w:w="1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2"/>
          </w:tcPr>
          <w:p>
            <w:pPr>
              <w:ind w:left="20"/>
              <w:spacing w:after="0" w:line="143" w:lineRule="exact"/>
              <w:rPr>
                <w:sz w:val="20"/>
                <w:szCs w:val="20"/>
                <w:color w:val="auto"/>
              </w:rPr>
            </w:pPr>
            <w:r>
              <w:rPr>
                <w:rFonts w:ascii="Arial" w:cs="Arial" w:eastAsia="Arial" w:hAnsi="Arial"/>
                <w:sz w:val="15"/>
                <w:szCs w:val="15"/>
                <w:b w:val="1"/>
                <w:bCs w:val="1"/>
                <w:color w:val="auto"/>
                <w:w w:val="90"/>
              </w:rPr>
              <w:t>Gains (Losses) Reclassified from</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5"/>
              </w:rPr>
              <w:t>Description of Derivative Contract</w:t>
            </w:r>
          </w:p>
        </w:tc>
        <w:tc>
          <w:tcPr>
            <w:tcW w:w="100" w:type="dxa"/>
            <w:vAlign w:val="bottom"/>
            <w:tcBorders>
              <w:bottom w:val="single" w:sz="8" w:color="CCEEFF"/>
            </w:tcBorders>
          </w:tcPr>
          <w:p>
            <w:pPr>
              <w:spacing w:after="0"/>
              <w:rPr>
                <w:sz w:val="18"/>
                <w:szCs w:val="18"/>
                <w:color w:val="auto"/>
              </w:rPr>
            </w:pPr>
          </w:p>
        </w:tc>
        <w:tc>
          <w:tcPr>
            <w:tcW w:w="420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Location in Earnings of Reclassified Gain or Loss</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w w:val="97"/>
              </w:rPr>
              <w:t>Gains Recognized in OCI</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AOCI to Earnings</w:t>
            </w:r>
          </w:p>
        </w:tc>
        <w:tc>
          <w:tcPr>
            <w:tcW w:w="0" w:type="dxa"/>
            <w:vAlign w:val="bottom"/>
          </w:tcPr>
          <w:p>
            <w:pPr>
              <w:spacing w:after="0"/>
              <w:rPr>
                <w:sz w:val="1"/>
                <w:szCs w:val="1"/>
                <w:color w:val="auto"/>
              </w:rPr>
            </w:pPr>
          </w:p>
        </w:tc>
      </w:tr>
      <w:tr>
        <w:trPr>
          <w:trHeight w:val="189"/>
        </w:trPr>
        <w:tc>
          <w:tcPr>
            <w:tcW w:w="2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Foreign exchange and other income/(expense)</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1,838</w:t>
            </w:r>
          </w:p>
        </w:tc>
        <w:tc>
          <w:tcPr>
            <w:tcW w:w="0" w:type="dxa"/>
            <w:vAlign w:val="bottom"/>
          </w:tcPr>
          <w:p>
            <w:pPr>
              <w:spacing w:after="0"/>
              <w:rPr>
                <w:sz w:val="1"/>
                <w:szCs w:val="1"/>
                <w:color w:val="auto"/>
              </w:rPr>
            </w:pPr>
          </w:p>
        </w:tc>
      </w:tr>
      <w:tr>
        <w:trPr>
          <w:trHeight w:val="197"/>
        </w:trPr>
        <w:tc>
          <w:tcPr>
            <w:tcW w:w="248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4300" w:type="dxa"/>
            <w:vAlign w:val="bottom"/>
            <w:gridSpan w:val="2"/>
          </w:tcPr>
          <w:p>
            <w:pPr>
              <w:ind w:left="20"/>
              <w:spacing w:after="0"/>
              <w:rPr>
                <w:sz w:val="20"/>
                <w:szCs w:val="20"/>
                <w:color w:val="auto"/>
              </w:rPr>
            </w:pPr>
            <w:r>
              <w:rPr>
                <w:rFonts w:ascii="Arial" w:cs="Arial" w:eastAsia="Arial" w:hAnsi="Arial"/>
                <w:sz w:val="15"/>
                <w:szCs w:val="15"/>
                <w:color w:val="auto"/>
              </w:rPr>
              <w:t>SG&amp;A</w:t>
            </w:r>
          </w:p>
        </w:tc>
        <w:tc>
          <w:tcPr>
            <w:tcW w:w="180" w:type="dxa"/>
            <w:vAlign w:val="bottom"/>
          </w:tcPr>
          <w:p>
            <w:pPr>
              <w:spacing w:after="0"/>
              <w:rPr>
                <w:sz w:val="17"/>
                <w:szCs w:val="17"/>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5"/>
                <w:szCs w:val="15"/>
                <w:color w:val="auto"/>
              </w:rPr>
              <w:t>(1,927)</w:t>
            </w:r>
          </w:p>
        </w:tc>
        <w:tc>
          <w:tcPr>
            <w:tcW w:w="0" w:type="dxa"/>
            <w:vAlign w:val="bottom"/>
          </w:tcPr>
          <w:p>
            <w:pPr>
              <w:spacing w:after="0"/>
              <w:rPr>
                <w:sz w:val="1"/>
                <w:szCs w:val="1"/>
                <w:color w:val="auto"/>
              </w:rPr>
            </w:pPr>
          </w:p>
        </w:tc>
      </w:tr>
      <w:tr>
        <w:trPr>
          <w:trHeight w:val="197"/>
        </w:trPr>
        <w:tc>
          <w:tcPr>
            <w:tcW w:w="24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1,564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vMerge w:val="restart"/>
          </w:tcPr>
          <w:p>
            <w:pPr>
              <w:ind w:left="3140"/>
              <w:spacing w:after="0"/>
              <w:rPr>
                <w:sz w:val="20"/>
                <w:szCs w:val="20"/>
                <w:color w:val="auto"/>
              </w:rPr>
            </w:pPr>
            <w:r>
              <w:rPr>
                <w:rFonts w:ascii="Arial" w:cs="Arial" w:eastAsia="Arial" w:hAnsi="Arial"/>
                <w:sz w:val="15"/>
                <w:szCs w:val="15"/>
                <w:color w:val="auto"/>
              </w:rPr>
              <w:t>18</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8"/>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3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20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2"/>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ind w:left="340"/>
              <w:spacing w:after="0"/>
              <w:rPr>
                <w:sz w:val="20"/>
                <w:szCs w:val="20"/>
                <w:color w:val="auto"/>
              </w:rPr>
            </w:pPr>
            <w:r>
              <w:rPr>
                <w:rFonts w:ascii="Arial" w:cs="Arial" w:eastAsia="Arial" w:hAnsi="Arial"/>
                <w:sz w:val="15"/>
                <w:szCs w:val="15"/>
                <w:b w:val="1"/>
                <w:bCs w:val="1"/>
                <w:color w:val="auto"/>
              </w:rPr>
              <w:t>Nine Months Ended September 30,</w:t>
            </w: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2023</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2022</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30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3"/>
              </w:rPr>
              <w:t>Description of Derivative</w:t>
            </w:r>
          </w:p>
        </w:tc>
        <w:tc>
          <w:tcPr>
            <w:tcW w:w="23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Location in Earnings of</w:t>
            </w:r>
          </w:p>
        </w:tc>
        <w:tc>
          <w:tcPr>
            <w:tcW w:w="80" w:type="dxa"/>
            <w:vAlign w:val="bottom"/>
          </w:tcPr>
          <w:p>
            <w:pPr>
              <w:spacing w:after="0"/>
              <w:rPr>
                <w:sz w:val="12"/>
                <w:szCs w:val="12"/>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8"/>
              </w:rPr>
              <w:t>Losses Recognized in</w:t>
            </w:r>
          </w:p>
        </w:tc>
        <w:tc>
          <w:tcPr>
            <w:tcW w:w="140" w:type="dxa"/>
            <w:vAlign w:val="bottom"/>
          </w:tcPr>
          <w:p>
            <w:pPr>
              <w:spacing w:after="0"/>
              <w:rPr>
                <w:sz w:val="12"/>
                <w:szCs w:val="12"/>
                <w:color w:val="auto"/>
              </w:rPr>
            </w:pPr>
          </w:p>
        </w:tc>
        <w:tc>
          <w:tcPr>
            <w:tcW w:w="1440" w:type="dxa"/>
            <w:vAlign w:val="bottom"/>
          </w:tcPr>
          <w:p>
            <w:pPr>
              <w:jc w:val="center"/>
              <w:ind w:right="63"/>
              <w:spacing w:after="0" w:line="143" w:lineRule="exact"/>
              <w:rPr>
                <w:sz w:val="20"/>
                <w:szCs w:val="20"/>
                <w:color w:val="auto"/>
              </w:rPr>
            </w:pPr>
            <w:r>
              <w:rPr>
                <w:rFonts w:ascii="Arial" w:cs="Arial" w:eastAsia="Arial" w:hAnsi="Arial"/>
                <w:sz w:val="15"/>
                <w:szCs w:val="15"/>
                <w:b w:val="1"/>
                <w:bCs w:val="1"/>
                <w:color w:val="auto"/>
                <w:w w:val="91"/>
              </w:rPr>
              <w:t>Gains Reclassified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(Losses) Gains</w:t>
            </w:r>
          </w:p>
        </w:tc>
        <w:tc>
          <w:tcPr>
            <w:tcW w:w="160" w:type="dxa"/>
            <w:vAlign w:val="bottom"/>
          </w:tcPr>
          <w:p>
            <w:pPr>
              <w:spacing w:after="0"/>
              <w:rPr>
                <w:sz w:val="12"/>
                <w:szCs w:val="12"/>
                <w:color w:val="auto"/>
              </w:rPr>
            </w:pPr>
          </w:p>
        </w:tc>
        <w:tc>
          <w:tcPr>
            <w:tcW w:w="1440" w:type="dxa"/>
            <w:vAlign w:val="bottom"/>
          </w:tcPr>
          <w:p>
            <w:pPr>
              <w:jc w:val="center"/>
              <w:ind w:right="83"/>
              <w:spacing w:after="0" w:line="143" w:lineRule="exact"/>
              <w:rPr>
                <w:sz w:val="20"/>
                <w:szCs w:val="20"/>
                <w:color w:val="auto"/>
              </w:rPr>
            </w:pPr>
            <w:r>
              <w:rPr>
                <w:rFonts w:ascii="Arial" w:cs="Arial" w:eastAsia="Arial" w:hAnsi="Arial"/>
                <w:sz w:val="15"/>
                <w:szCs w:val="15"/>
                <w:b w:val="1"/>
                <w:bCs w:val="1"/>
                <w:color w:val="auto"/>
                <w:w w:val="89"/>
              </w:rPr>
              <w:t>Gains (Losses)</w:t>
            </w:r>
          </w:p>
        </w:tc>
        <w:tc>
          <w:tcPr>
            <w:tcW w:w="0" w:type="dxa"/>
            <w:vAlign w:val="bottom"/>
          </w:tcPr>
          <w:p>
            <w:pPr>
              <w:spacing w:after="0"/>
              <w:rPr>
                <w:sz w:val="1"/>
                <w:szCs w:val="1"/>
                <w:color w:val="auto"/>
              </w:rPr>
            </w:pPr>
          </w:p>
        </w:tc>
      </w:tr>
      <w:tr>
        <w:trPr>
          <w:trHeight w:val="151"/>
        </w:trPr>
        <w:tc>
          <w:tcPr>
            <w:tcW w:w="2300" w:type="dxa"/>
            <w:vAlign w:val="bottom"/>
            <w:gridSpan w:val="2"/>
            <w:vMerge w:val="continue"/>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rPr>
              <w:t>from AOCI to</w:t>
            </w:r>
          </w:p>
        </w:tc>
        <w:tc>
          <w:tcPr>
            <w:tcW w:w="1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83"/>
              <w:spacing w:after="0" w:line="151" w:lineRule="exact"/>
              <w:rPr>
                <w:sz w:val="20"/>
                <w:szCs w:val="20"/>
                <w:color w:val="auto"/>
              </w:rPr>
            </w:pPr>
            <w:r>
              <w:rPr>
                <w:rFonts w:ascii="Arial" w:cs="Arial" w:eastAsia="Arial" w:hAnsi="Arial"/>
                <w:sz w:val="15"/>
                <w:szCs w:val="15"/>
                <w:b w:val="1"/>
                <w:bCs w:val="1"/>
                <w:color w:val="auto"/>
                <w:w w:val="92"/>
              </w:rPr>
              <w:t>Reclassified from</w:t>
            </w:r>
          </w:p>
        </w:tc>
        <w:tc>
          <w:tcPr>
            <w:tcW w:w="0" w:type="dxa"/>
            <w:vAlign w:val="bottom"/>
          </w:tcPr>
          <w:p>
            <w:pPr>
              <w:spacing w:after="0"/>
              <w:rPr>
                <w:sz w:val="1"/>
                <w:szCs w:val="1"/>
                <w:color w:val="auto"/>
              </w:rPr>
            </w:pPr>
          </w:p>
        </w:tc>
      </w:tr>
      <w:tr>
        <w:trPr>
          <w:trHeight w:val="209"/>
        </w:trPr>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Contract</w:t>
            </w:r>
          </w:p>
        </w:tc>
        <w:tc>
          <w:tcPr>
            <w:tcW w:w="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tcPr>
          <w:p>
            <w:pPr>
              <w:ind w:left="280"/>
              <w:spacing w:after="0"/>
              <w:rPr>
                <w:sz w:val="20"/>
                <w:szCs w:val="20"/>
                <w:color w:val="auto"/>
              </w:rPr>
            </w:pPr>
            <w:r>
              <w:rPr>
                <w:rFonts w:ascii="Arial" w:cs="Arial" w:eastAsia="Arial" w:hAnsi="Arial"/>
                <w:sz w:val="15"/>
                <w:szCs w:val="15"/>
                <w:b w:val="1"/>
                <w:bCs w:val="1"/>
                <w:color w:val="auto"/>
              </w:rPr>
              <w:t>Reclassified Gain or Loss</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3"/>
              </w:rPr>
              <w:t>Earnings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6"/>
              </w:rPr>
              <w:t>Recognized in OCI</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6"/>
              </w:rPr>
              <w:t>AOCI to Earnings</w:t>
            </w:r>
          </w:p>
        </w:tc>
        <w:tc>
          <w:tcPr>
            <w:tcW w:w="0" w:type="dxa"/>
            <w:vAlign w:val="bottom"/>
          </w:tcPr>
          <w:p>
            <w:pPr>
              <w:spacing w:after="0"/>
              <w:rPr>
                <w:sz w:val="1"/>
                <w:szCs w:val="1"/>
                <w:color w:val="auto"/>
              </w:rPr>
            </w:pPr>
          </w:p>
        </w:tc>
      </w:tr>
      <w:tr>
        <w:trPr>
          <w:trHeight w:val="144"/>
        </w:trPr>
        <w:tc>
          <w:tcPr>
            <w:tcW w:w="230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FX derivative contracts</w:t>
            </w:r>
          </w:p>
        </w:tc>
        <w:tc>
          <w:tcPr>
            <w:tcW w:w="232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5"/>
                <w:szCs w:val="15"/>
                <w:color w:val="auto"/>
              </w:rPr>
              <w:t>Foreign exchange and other</w:t>
            </w:r>
          </w:p>
        </w:tc>
        <w:tc>
          <w:tcPr>
            <w:tcW w:w="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ind w:left="1280"/>
              <w:spacing w:after="0" w:line="144"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5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(1,345)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3,517</w:t>
            </w:r>
          </w:p>
        </w:tc>
        <w:tc>
          <w:tcPr>
            <w:tcW w:w="0" w:type="dxa"/>
            <w:vAlign w:val="bottom"/>
          </w:tcPr>
          <w:p>
            <w:pPr>
              <w:spacing w:after="0"/>
              <w:rPr>
                <w:sz w:val="1"/>
                <w:szCs w:val="1"/>
                <w:color w:val="auto"/>
              </w:rPr>
            </w:pPr>
          </w:p>
        </w:tc>
      </w:tr>
      <w:tr>
        <w:trPr>
          <w:trHeight w:val="208"/>
        </w:trPr>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income/(expense)</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320" w:type="dxa"/>
            <w:vAlign w:val="bottom"/>
            <w:gridSpan w:val="2"/>
          </w:tcPr>
          <w:p>
            <w:pPr>
              <w:ind w:left="20"/>
              <w:spacing w:after="0"/>
              <w:rPr>
                <w:sz w:val="20"/>
                <w:szCs w:val="20"/>
                <w:color w:val="auto"/>
              </w:rPr>
            </w:pPr>
            <w:r>
              <w:rPr>
                <w:rFonts w:ascii="Arial" w:cs="Arial" w:eastAsia="Arial" w:hAnsi="Arial"/>
                <w:sz w:val="15"/>
                <w:szCs w:val="15"/>
                <w:color w:val="auto"/>
              </w:rPr>
              <w:t>SG&amp;A</w:t>
            </w:r>
          </w:p>
        </w:tc>
        <w:tc>
          <w:tcPr>
            <w:tcW w:w="8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(3,437)</w:t>
            </w:r>
          </w:p>
        </w:tc>
        <w:tc>
          <w:tcPr>
            <w:tcW w:w="0" w:type="dxa"/>
            <w:vAlign w:val="bottom"/>
          </w:tcPr>
          <w:p>
            <w:pPr>
              <w:spacing w:after="0"/>
              <w:rPr>
                <w:sz w:val="1"/>
                <w:szCs w:val="1"/>
                <w:color w:val="auto"/>
              </w:rPr>
            </w:pPr>
          </w:p>
        </w:tc>
      </w:tr>
      <w:tr>
        <w:trPr>
          <w:trHeight w:val="197"/>
        </w:trPr>
        <w:tc>
          <w:tcPr>
            <w:tcW w:w="2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right="340" w:firstLine="139"/>
        <w:spacing w:after="0" w:line="372" w:lineRule="auto"/>
        <w:rPr>
          <w:sz w:val="20"/>
          <w:szCs w:val="20"/>
          <w:color w:val="auto"/>
        </w:rPr>
      </w:pPr>
      <w:r>
        <w:rPr>
          <w:rFonts w:ascii="Arial" w:cs="Arial" w:eastAsia="Arial" w:hAnsi="Arial"/>
          <w:sz w:val="13"/>
          <w:szCs w:val="13"/>
          <w:color w:val="auto"/>
        </w:rPr>
        <w:t>The Company offsets fair value amounts associated with its derivative instruments on the condensed consolidated balance sheets that are executed with the same counterparty under master netting arrangements. Netting arrangements include a right to set off or net together purchases and sales of similar products in the settlement process.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tables present the fair value and the location of derivative contracts reported on the condensed consolidated balance sheets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00" w:type="dxa"/>
            <w:vAlign w:val="bottom"/>
          </w:tcPr>
          <w:p>
            <w:pPr>
              <w:spacing w:after="0"/>
              <w:rPr>
                <w:sz w:val="17"/>
                <w:szCs w:val="17"/>
                <w:color w:val="auto"/>
              </w:rPr>
            </w:pPr>
          </w:p>
        </w:tc>
        <w:tc>
          <w:tcPr>
            <w:tcW w:w="268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w w:val="95"/>
              </w:rPr>
              <w:t>Asset Derivatives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Borders>
              <w:bottom w:val="single" w:sz="8" w:color="auto"/>
            </w:tcBorders>
          </w:tcPr>
          <w:p>
            <w:pPr>
              <w:ind w:left="1380"/>
              <w:spacing w:after="0"/>
              <w:rPr>
                <w:sz w:val="20"/>
                <w:szCs w:val="20"/>
                <w:color w:val="auto"/>
              </w:rPr>
            </w:pPr>
            <w:r>
              <w:rPr>
                <w:rFonts w:ascii="Arial" w:cs="Arial" w:eastAsia="Arial" w:hAnsi="Arial"/>
                <w:sz w:val="15"/>
                <w:szCs w:val="15"/>
                <w:b w:val="1"/>
                <w:bCs w:val="1"/>
                <w:color w:val="auto"/>
                <w:w w:val="93"/>
              </w:rPr>
              <w:t>Liability Derivatives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89"/>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September 30, 2023</w:t>
            </w:r>
          </w:p>
        </w:tc>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Balance Sheet Location</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3"/>
              <w:spacing w:after="0" w:line="189"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Balance Sheet Location</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3"/>
              <w:spacing w:after="0" w:line="189" w:lineRule="exact"/>
              <w:rPr>
                <w:sz w:val="20"/>
                <w:szCs w:val="20"/>
                <w:color w:val="auto"/>
              </w:rPr>
            </w:pPr>
            <w:r>
              <w:rPr>
                <w:rFonts w:ascii="Arial" w:cs="Arial" w:eastAsia="Arial" w:hAnsi="Arial"/>
                <w:sz w:val="15"/>
                <w:szCs w:val="15"/>
                <w:b w:val="1"/>
                <w:bCs w:val="1"/>
                <w:color w:val="auto"/>
                <w:w w:val="97"/>
              </w:rPr>
              <w:t xml:space="preserve">Fair Value </w:t>
            </w:r>
            <w:r>
              <w:rPr>
                <w:rFonts w:ascii="Arial" w:cs="Arial" w:eastAsia="Arial" w:hAnsi="Arial"/>
                <w:sz w:val="20"/>
                <w:szCs w:val="20"/>
                <w:b w:val="1"/>
                <w:bCs w:val="1"/>
                <w:color w:val="auto"/>
                <w:w w:val="97"/>
                <w:vertAlign w:val="superscript"/>
              </w:rPr>
              <w:t>(1)</w:t>
            </w:r>
          </w:p>
        </w:tc>
      </w:tr>
      <w:tr>
        <w:trPr>
          <w:trHeight w:val="189"/>
        </w:trPr>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Derivatives Not Designated as Hedging Instruments: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5"/>
                <w:szCs w:val="15"/>
                <w:color w:val="auto"/>
              </w:rPr>
              <w:t>Capped call derivatives</w:t>
            </w:r>
          </w:p>
        </w:tc>
        <w:tc>
          <w:tcPr>
            <w:tcW w:w="2680" w:type="dxa"/>
            <w:vAlign w:val="bottom"/>
          </w:tcPr>
          <w:p>
            <w:pPr>
              <w:ind w:left="20"/>
              <w:spacing w:after="0"/>
              <w:rPr>
                <w:sz w:val="20"/>
                <w:szCs w:val="20"/>
                <w:color w:val="auto"/>
              </w:rPr>
            </w:pPr>
            <w:r>
              <w:rPr>
                <w:rFonts w:ascii="Arial" w:cs="Arial" w:eastAsia="Arial" w:hAnsi="Arial"/>
                <w:sz w:val="15"/>
                <w:szCs w:val="15"/>
                <w:color w:val="auto"/>
              </w:rPr>
              <w:t>Long-term derivative assets</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43,669</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8"/>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Embedded exchange feature</w:t>
            </w:r>
          </w:p>
        </w:tc>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53,303</w:t>
            </w:r>
          </w:p>
        </w:tc>
      </w:tr>
      <w:tr>
        <w:trPr>
          <w:trHeight w:val="152"/>
        </w:trPr>
        <w:tc>
          <w:tcPr>
            <w:tcW w:w="3000" w:type="dxa"/>
            <w:vAlign w:val="bottom"/>
          </w:tcPr>
          <w:p>
            <w:pPr>
              <w:spacing w:after="0" w:line="152" w:lineRule="exact"/>
              <w:rPr>
                <w:sz w:val="20"/>
                <w:szCs w:val="20"/>
                <w:color w:val="auto"/>
              </w:rPr>
            </w:pPr>
            <w:r>
              <w:rPr>
                <w:rFonts w:ascii="Arial" w:cs="Arial" w:eastAsia="Arial" w:hAnsi="Arial"/>
                <w:sz w:val="15"/>
                <w:szCs w:val="15"/>
                <w:color w:val="auto"/>
              </w:rPr>
              <w:t>FX derivative contracts</w:t>
            </w:r>
          </w:p>
        </w:tc>
        <w:tc>
          <w:tcPr>
            <w:tcW w:w="2680" w:type="dxa"/>
            <w:vAlign w:val="bottom"/>
          </w:tcPr>
          <w:p>
            <w:pPr>
              <w:ind w:left="20"/>
              <w:spacing w:after="0" w:line="152" w:lineRule="exact"/>
              <w:rPr>
                <w:sz w:val="20"/>
                <w:szCs w:val="20"/>
                <w:color w:val="auto"/>
              </w:rPr>
            </w:pPr>
            <w:r>
              <w:rPr>
                <w:rFonts w:ascii="Arial" w:cs="Arial" w:eastAsia="Arial" w:hAnsi="Arial"/>
                <w:sz w:val="15"/>
                <w:szCs w:val="15"/>
                <w:color w:val="auto"/>
              </w:rPr>
              <w:t>Prepaid expenses and other current</w:t>
            </w:r>
          </w:p>
        </w:tc>
        <w:tc>
          <w:tcPr>
            <w:tcW w:w="180" w:type="dxa"/>
            <w:vAlign w:val="bottom"/>
          </w:tcPr>
          <w:p>
            <w:pPr>
              <w:spacing w:after="0"/>
              <w:rPr>
                <w:sz w:val="13"/>
                <w:szCs w:val="13"/>
                <w:color w:val="auto"/>
              </w:rPr>
            </w:pPr>
          </w:p>
        </w:tc>
        <w:tc>
          <w:tcPr>
            <w:tcW w:w="1200" w:type="dxa"/>
            <w:vAlign w:val="bottom"/>
          </w:tcPr>
          <w:p>
            <w:pPr>
              <w:jc w:val="right"/>
              <w:spacing w:after="0" w:line="152" w:lineRule="exact"/>
              <w:rPr>
                <w:sz w:val="20"/>
                <w:szCs w:val="20"/>
                <w:color w:val="auto"/>
              </w:rPr>
            </w:pPr>
            <w:r>
              <w:rPr>
                <w:rFonts w:ascii="Arial" w:cs="Arial" w:eastAsia="Arial" w:hAnsi="Arial"/>
                <w:sz w:val="15"/>
                <w:szCs w:val="15"/>
                <w:color w:val="auto"/>
              </w:rPr>
              <w:t>2,625</w:t>
            </w:r>
          </w:p>
        </w:tc>
        <w:tc>
          <w:tcPr>
            <w:tcW w:w="100" w:type="dxa"/>
            <w:vAlign w:val="bottom"/>
          </w:tcPr>
          <w:p>
            <w:pPr>
              <w:spacing w:after="0"/>
              <w:rPr>
                <w:sz w:val="13"/>
                <w:szCs w:val="13"/>
                <w:color w:val="auto"/>
              </w:rPr>
            </w:pPr>
          </w:p>
        </w:tc>
        <w:tc>
          <w:tcPr>
            <w:tcW w:w="2720" w:type="dxa"/>
            <w:vAlign w:val="bottom"/>
          </w:tcPr>
          <w:p>
            <w:pPr>
              <w:ind w:left="20"/>
              <w:spacing w:after="0" w:line="152" w:lineRule="exact"/>
              <w:rPr>
                <w:sz w:val="20"/>
                <w:szCs w:val="20"/>
                <w:color w:val="auto"/>
              </w:rPr>
            </w:pPr>
            <w:r>
              <w:rPr>
                <w:rFonts w:ascii="Arial" w:cs="Arial" w:eastAsia="Arial" w:hAnsi="Arial"/>
                <w:sz w:val="15"/>
                <w:szCs w:val="15"/>
                <w:color w:val="auto"/>
              </w:rPr>
              <w:t>Accrued liabilities and other</w:t>
            </w:r>
          </w:p>
        </w:tc>
        <w:tc>
          <w:tcPr>
            <w:tcW w:w="180" w:type="dxa"/>
            <w:vAlign w:val="bottom"/>
          </w:tcPr>
          <w:p>
            <w:pPr>
              <w:spacing w:after="0"/>
              <w:rPr>
                <w:sz w:val="13"/>
                <w:szCs w:val="13"/>
                <w:color w:val="auto"/>
              </w:rPr>
            </w:pPr>
          </w:p>
        </w:tc>
        <w:tc>
          <w:tcPr>
            <w:tcW w:w="1200" w:type="dxa"/>
            <w:vAlign w:val="bottom"/>
          </w:tcPr>
          <w:p>
            <w:pPr>
              <w:jc w:val="right"/>
              <w:spacing w:after="0" w:line="152" w:lineRule="exact"/>
              <w:rPr>
                <w:sz w:val="20"/>
                <w:szCs w:val="20"/>
                <w:color w:val="auto"/>
              </w:rPr>
            </w:pPr>
            <w:r>
              <w:rPr>
                <w:rFonts w:ascii="Arial" w:cs="Arial" w:eastAsia="Arial" w:hAnsi="Arial"/>
                <w:sz w:val="15"/>
                <w:szCs w:val="15"/>
                <w:color w:val="auto"/>
              </w:rPr>
              <w:t>207</w:t>
            </w:r>
          </w:p>
        </w:tc>
      </w:tr>
      <w:tr>
        <w:trPr>
          <w:trHeight w:val="202"/>
        </w:trPr>
        <w:tc>
          <w:tcPr>
            <w:tcW w:w="300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49"/>
        </w:trPr>
        <w:tc>
          <w:tcPr>
            <w:tcW w:w="30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Total derivatives not designated as hedging</w:t>
            </w: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46,294</w:t>
            </w:r>
          </w:p>
        </w:tc>
        <w:tc>
          <w:tcPr>
            <w:tcW w:w="10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53,510</w:t>
            </w:r>
          </w:p>
        </w:tc>
      </w:tr>
      <w:tr>
        <w:trPr>
          <w:trHeight w:val="197"/>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2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r>
      <w:tr>
        <w:trPr>
          <w:trHeight w:val="190"/>
        </w:trPr>
        <w:tc>
          <w:tcPr>
            <w:tcW w:w="3000" w:type="dxa"/>
            <w:vAlign w:val="bottom"/>
          </w:tcPr>
          <w:p>
            <w:pPr>
              <w:spacing w:after="0"/>
              <w:rPr>
                <w:sz w:val="20"/>
                <w:szCs w:val="20"/>
                <w:color w:val="auto"/>
              </w:rPr>
            </w:pPr>
            <w:r>
              <w:rPr>
                <w:rFonts w:ascii="Arial" w:cs="Arial" w:eastAsia="Arial" w:hAnsi="Arial"/>
                <w:sz w:val="15"/>
                <w:szCs w:val="15"/>
                <w:color w:val="auto"/>
              </w:rPr>
              <w:t>Total derivatives</w:t>
            </w:r>
          </w:p>
        </w:tc>
        <w:tc>
          <w:tcPr>
            <w:tcW w:w="2680" w:type="dxa"/>
            <w:vAlign w:val="bottom"/>
          </w:tcPr>
          <w:p>
            <w:pPr>
              <w:spacing w:after="0"/>
              <w:rPr>
                <w:sz w:val="16"/>
                <w:szCs w:val="16"/>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46,294</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53,510</w:t>
            </w:r>
          </w:p>
        </w:tc>
      </w:tr>
      <w:tr>
        <w:trPr>
          <w:trHeight w:val="20"/>
        </w:trPr>
        <w:tc>
          <w:tcPr>
            <w:tcW w:w="30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69"/>
        </w:trPr>
        <w:tc>
          <w:tcPr>
            <w:tcW w:w="3000" w:type="dxa"/>
            <w:vAlign w:val="bottom"/>
          </w:tcPr>
          <w:p>
            <w:pPr>
              <w:spacing w:after="0"/>
              <w:rPr>
                <w:sz w:val="24"/>
                <w:szCs w:val="24"/>
                <w:color w:val="auto"/>
              </w:rPr>
            </w:pPr>
          </w:p>
        </w:tc>
        <w:tc>
          <w:tcPr>
            <w:tcW w:w="2680" w:type="dxa"/>
            <w:vAlign w:val="bottom"/>
            <w:tcBorders>
              <w:bottom w:val="single" w:sz="8" w:color="auto"/>
            </w:tcBorders>
          </w:tcPr>
          <w:p>
            <w:pPr>
              <w:ind w:left="1460"/>
              <w:spacing w:after="0"/>
              <w:rPr>
                <w:sz w:val="20"/>
                <w:szCs w:val="20"/>
                <w:color w:val="auto"/>
              </w:rPr>
            </w:pPr>
            <w:r>
              <w:rPr>
                <w:rFonts w:ascii="Arial" w:cs="Arial" w:eastAsia="Arial" w:hAnsi="Arial"/>
                <w:sz w:val="15"/>
                <w:szCs w:val="15"/>
                <w:b w:val="1"/>
                <w:bCs w:val="1"/>
                <w:color w:val="auto"/>
                <w:w w:val="95"/>
              </w:rPr>
              <w:t>Asset Derivatives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Borders>
              <w:bottom w:val="single" w:sz="8" w:color="auto"/>
            </w:tcBorders>
          </w:tcPr>
          <w:p>
            <w:pPr>
              <w:ind w:left="1380"/>
              <w:spacing w:after="0"/>
              <w:rPr>
                <w:sz w:val="20"/>
                <w:szCs w:val="20"/>
                <w:color w:val="auto"/>
              </w:rPr>
            </w:pPr>
            <w:r>
              <w:rPr>
                <w:rFonts w:ascii="Arial" w:cs="Arial" w:eastAsia="Arial" w:hAnsi="Arial"/>
                <w:sz w:val="15"/>
                <w:szCs w:val="15"/>
                <w:b w:val="1"/>
                <w:bCs w:val="1"/>
                <w:color w:val="auto"/>
                <w:w w:val="93"/>
              </w:rPr>
              <w:t>Liability Derivatives</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89"/>
        </w:trPr>
        <w:tc>
          <w:tcPr>
            <w:tcW w:w="3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December 31, 2022</w:t>
            </w:r>
          </w:p>
        </w:tc>
        <w:tc>
          <w:tcPr>
            <w:tcW w:w="268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Balance Sheet Location</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83"/>
              <w:spacing w:after="0" w:line="189"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Balance Sheet Location</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3"/>
              <w:spacing w:after="0" w:line="189" w:lineRule="exact"/>
              <w:rPr>
                <w:sz w:val="20"/>
                <w:szCs w:val="20"/>
                <w:color w:val="auto"/>
              </w:rPr>
            </w:pPr>
            <w:r>
              <w:rPr>
                <w:rFonts w:ascii="Arial" w:cs="Arial" w:eastAsia="Arial" w:hAnsi="Arial"/>
                <w:sz w:val="15"/>
                <w:szCs w:val="15"/>
                <w:b w:val="1"/>
                <w:bCs w:val="1"/>
                <w:color w:val="auto"/>
                <w:w w:val="97"/>
              </w:rPr>
              <w:t xml:space="preserve">Fair Value </w:t>
            </w:r>
            <w:r>
              <w:rPr>
                <w:rFonts w:ascii="Arial" w:cs="Arial" w:eastAsia="Arial" w:hAnsi="Arial"/>
                <w:sz w:val="20"/>
                <w:szCs w:val="20"/>
                <w:b w:val="1"/>
                <w:bCs w:val="1"/>
                <w:color w:val="auto"/>
                <w:w w:val="97"/>
                <w:vertAlign w:val="superscript"/>
              </w:rPr>
              <w:t>(1)</w:t>
            </w:r>
          </w:p>
        </w:tc>
      </w:tr>
      <w:tr>
        <w:trPr>
          <w:trHeight w:val="189"/>
        </w:trPr>
        <w:tc>
          <w:tcPr>
            <w:tcW w:w="56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Derivatives Designated as Hedging Instruments: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64"/>
        </w:trPr>
        <w:tc>
          <w:tcPr>
            <w:tcW w:w="3000" w:type="dxa"/>
            <w:vAlign w:val="bottom"/>
          </w:tcPr>
          <w:p>
            <w:pPr>
              <w:spacing w:after="0" w:line="164" w:lineRule="exact"/>
              <w:rPr>
                <w:sz w:val="20"/>
                <w:szCs w:val="20"/>
                <w:color w:val="auto"/>
              </w:rPr>
            </w:pPr>
            <w:r>
              <w:rPr>
                <w:rFonts w:ascii="Arial" w:cs="Arial" w:eastAsia="Arial" w:hAnsi="Arial"/>
                <w:sz w:val="15"/>
                <w:szCs w:val="15"/>
                <w:color w:val="auto"/>
              </w:rPr>
              <w:t>Interest rate swap contracts</w:t>
            </w:r>
          </w:p>
        </w:tc>
        <w:tc>
          <w:tcPr>
            <w:tcW w:w="2680" w:type="dxa"/>
            <w:vAlign w:val="bottom"/>
          </w:tcPr>
          <w:p>
            <w:pPr>
              <w:ind w:left="20"/>
              <w:spacing w:after="0" w:line="164" w:lineRule="exact"/>
              <w:rPr>
                <w:sz w:val="20"/>
                <w:szCs w:val="20"/>
                <w:color w:val="auto"/>
              </w:rPr>
            </w:pPr>
            <w:r>
              <w:rPr>
                <w:rFonts w:ascii="Arial" w:cs="Arial" w:eastAsia="Arial" w:hAnsi="Arial"/>
                <w:sz w:val="15"/>
                <w:szCs w:val="15"/>
                <w:color w:val="auto"/>
              </w:rPr>
              <w:t>Prepaid expenses and other current</w:t>
            </w:r>
          </w:p>
        </w:tc>
        <w:tc>
          <w:tcPr>
            <w:tcW w:w="180" w:type="dxa"/>
            <w:vAlign w:val="bottom"/>
          </w:tcPr>
          <w:p>
            <w:pPr>
              <w:jc w:val="right"/>
              <w:ind w:right="3"/>
              <w:spacing w:after="0" w:line="164" w:lineRule="exact"/>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line="164" w:lineRule="exact"/>
              <w:rPr>
                <w:sz w:val="20"/>
                <w:szCs w:val="20"/>
                <w:color w:val="auto"/>
              </w:rPr>
            </w:pPr>
            <w:r>
              <w:rPr>
                <w:rFonts w:ascii="Arial" w:cs="Arial" w:eastAsia="Arial" w:hAnsi="Arial"/>
                <w:sz w:val="15"/>
                <w:szCs w:val="15"/>
                <w:color w:val="auto"/>
              </w:rPr>
              <w:t>1,333</w:t>
            </w: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assets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7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r>
      <w:tr>
        <w:trPr>
          <w:trHeight w:val="144"/>
        </w:trPr>
        <w:tc>
          <w:tcPr>
            <w:tcW w:w="300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rPr>
              <w:t>Total derivatives designated as hedging</w:t>
            </w:r>
          </w:p>
        </w:tc>
        <w:tc>
          <w:tcPr>
            <w:tcW w:w="2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96"/>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instruments</w:t>
            </w:r>
          </w:p>
        </w:tc>
        <w:tc>
          <w:tcPr>
            <w:tcW w:w="2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7"/>
        </w:trPr>
        <w:tc>
          <w:tcPr>
            <w:tcW w:w="5680" w:type="dxa"/>
            <w:vAlign w:val="bottom"/>
            <w:gridSpan w:val="2"/>
          </w:tcPr>
          <w:p>
            <w:pPr>
              <w:spacing w:after="0"/>
              <w:rPr>
                <w:sz w:val="20"/>
                <w:szCs w:val="20"/>
                <w:color w:val="auto"/>
              </w:rPr>
            </w:pPr>
            <w:r>
              <w:rPr>
                <w:rFonts w:ascii="Arial" w:cs="Arial" w:eastAsia="Arial" w:hAnsi="Arial"/>
                <w:sz w:val="15"/>
                <w:szCs w:val="15"/>
                <w:b w:val="1"/>
                <w:bCs w:val="1"/>
                <w:color w:val="auto"/>
              </w:rPr>
              <w:t>Derivatives Not Designated as Hedging Instruments:</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7"/>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Capped call derivatives</w:t>
            </w:r>
          </w:p>
        </w:tc>
        <w:tc>
          <w:tcPr>
            <w:tcW w:w="2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assets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54,393</w:t>
            </w: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5"/>
                <w:szCs w:val="15"/>
                <w:color w:val="auto"/>
              </w:rPr>
              <w:t>FX derivative contracts</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5"/>
                <w:szCs w:val="15"/>
                <w:color w:val="auto"/>
              </w:rPr>
              <w:t>Accrued liabilities and other</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5,886</w:t>
            </w:r>
          </w:p>
        </w:tc>
      </w:tr>
      <w:tr>
        <w:trPr>
          <w:trHeight w:val="198"/>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Embedded exchange feature</w:t>
            </w:r>
          </w:p>
        </w:tc>
        <w:tc>
          <w:tcPr>
            <w:tcW w:w="2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85,675</w:t>
            </w:r>
          </w:p>
        </w:tc>
      </w:tr>
      <w:tr>
        <w:trPr>
          <w:trHeight w:val="144"/>
        </w:trPr>
        <w:tc>
          <w:tcPr>
            <w:tcW w:w="3000" w:type="dxa"/>
            <w:vAlign w:val="bottom"/>
          </w:tcPr>
          <w:p>
            <w:pPr>
              <w:spacing w:after="0" w:line="144" w:lineRule="exact"/>
              <w:rPr>
                <w:sz w:val="20"/>
                <w:szCs w:val="20"/>
                <w:color w:val="auto"/>
              </w:rPr>
            </w:pPr>
            <w:r>
              <w:rPr>
                <w:rFonts w:ascii="Arial" w:cs="Arial" w:eastAsia="Arial" w:hAnsi="Arial"/>
                <w:sz w:val="15"/>
                <w:szCs w:val="15"/>
                <w:color w:val="auto"/>
              </w:rPr>
              <w:t>Total derivatives not designated as hedging</w:t>
            </w:r>
          </w:p>
        </w:tc>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96"/>
        </w:trPr>
        <w:tc>
          <w:tcPr>
            <w:tcW w:w="30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instruments</w:t>
            </w:r>
          </w:p>
        </w:tc>
        <w:tc>
          <w:tcPr>
            <w:tcW w:w="2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54,393</w:t>
            </w:r>
          </w:p>
        </w:tc>
        <w:tc>
          <w:tcPr>
            <w:tcW w:w="100" w:type="dxa"/>
            <w:vAlign w:val="bottom"/>
            <w:tcBorders>
              <w:bottom w:val="single" w:sz="8" w:color="CCEEFF"/>
            </w:tcBorders>
          </w:tcPr>
          <w:p>
            <w:pPr>
              <w:spacing w:after="0"/>
              <w:rPr>
                <w:sz w:val="17"/>
                <w:szCs w:val="17"/>
                <w:color w:val="auto"/>
              </w:rPr>
            </w:pPr>
          </w:p>
        </w:tc>
        <w:tc>
          <w:tcPr>
            <w:tcW w:w="27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91,561</w:t>
            </w:r>
          </w:p>
        </w:tc>
      </w:tr>
      <w:tr>
        <w:trPr>
          <w:trHeight w:val="214"/>
        </w:trPr>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 derivatives</w:t>
            </w:r>
          </w:p>
        </w:tc>
        <w:tc>
          <w:tcPr>
            <w:tcW w:w="2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55,726</w:t>
            </w:r>
          </w:p>
        </w:tc>
        <w:tc>
          <w:tcPr>
            <w:tcW w:w="100" w:type="dxa"/>
            <w:vAlign w:val="bottom"/>
            <w:tcBorders>
              <w:bottom w:val="single" w:sz="8" w:color="CCEEFF"/>
            </w:tcBorders>
            <w:shd w:val="clear" w:color="auto" w:fill="CCEEFF"/>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91,561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For the classification of inputs used to evaluate the fair value of derivatives, refer to “Note 5. Fair Value Measurements.”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Saluggia Site Hazardous Substances</w:t>
      </w:r>
    </w:p>
    <w:p>
      <w:pPr>
        <w:spacing w:after="0" w:line="111" w:lineRule="exact"/>
        <w:rPr>
          <w:sz w:val="20"/>
          <w:szCs w:val="20"/>
          <w:color w:val="auto"/>
        </w:rPr>
      </w:pPr>
    </w:p>
    <w:p>
      <w:pPr>
        <w:ind w:right="80" w:firstLine="139"/>
        <w:spacing w:after="0" w:line="311" w:lineRule="auto"/>
        <w:rPr>
          <w:sz w:val="20"/>
          <w:szCs w:val="20"/>
          <w:color w:val="auto"/>
        </w:rPr>
      </w:pPr>
      <w:r>
        <w:rPr>
          <w:rFonts w:ascii="Arial" w:cs="Arial" w:eastAsia="Arial" w:hAnsi="Arial"/>
          <w:sz w:val="14"/>
          <w:szCs w:val="14"/>
          <w:color w:val="auto"/>
        </w:rPr>
        <w:t>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right="160"/>
        <w:spacing w:after="0" w:line="307" w:lineRule="auto"/>
        <w:rPr>
          <w:sz w:val="20"/>
          <w:szCs w:val="20"/>
          <w:color w:val="auto"/>
        </w:rPr>
      </w:pPr>
      <w:r>
        <w:rPr>
          <w:rFonts w:ascii="Arial" w:cs="Arial" w:eastAsia="Arial" w:hAnsi="Arial"/>
          <w:sz w:val="15"/>
          <w:szCs w:val="15"/>
          <w:color w:val="auto"/>
        </w:rPr>
        <w:t>late 1990s. Pursuant to authorization from the Italian government, LSM has performed, and continues to perform, ordinary maintenance, secure the facilities, monitor air and water quality and file applicable reports with the competent environmental authorities.</w:t>
      </w:r>
    </w:p>
    <w:p>
      <w:pPr>
        <w:spacing w:after="0" w:line="35" w:lineRule="exact"/>
        <w:rPr>
          <w:sz w:val="20"/>
          <w:szCs w:val="20"/>
          <w:color w:val="auto"/>
        </w:rPr>
      </w:pPr>
    </w:p>
    <w:p>
      <w:pPr>
        <w:ind w:right="40" w:firstLine="139"/>
        <w:spacing w:after="0" w:line="278" w:lineRule="auto"/>
        <w:rPr>
          <w:sz w:val="20"/>
          <w:szCs w:val="20"/>
          <w:color w:val="auto"/>
        </w:rPr>
      </w:pPr>
      <w:r>
        <w:rPr>
          <w:rFonts w:ascii="Arial" w:cs="Arial" w:eastAsia="Arial" w:hAnsi="Arial"/>
          <w:sz w:val="15"/>
          <w:szCs w:val="15"/>
          <w:color w:val="auto"/>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spacing w:after="0" w:line="69" w:lineRule="exact"/>
        <w:rPr>
          <w:sz w:val="20"/>
          <w:szCs w:val="20"/>
          <w:color w:val="auto"/>
        </w:rPr>
      </w:pPr>
    </w:p>
    <w:p>
      <w:pPr>
        <w:ind w:right="100" w:firstLine="139"/>
        <w:spacing w:after="0" w:line="298" w:lineRule="auto"/>
        <w:rPr>
          <w:sz w:val="20"/>
          <w:szCs w:val="20"/>
          <w:color w:val="auto"/>
        </w:rPr>
      </w:pPr>
      <w:r>
        <w:rPr>
          <w:rFonts w:ascii="Arial" w:cs="Arial" w:eastAsia="Arial" w:hAnsi="Arial"/>
          <w:sz w:val="14"/>
          <w:szCs w:val="14"/>
          <w:color w:val="auto"/>
        </w:rPr>
        <w:t>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September 30, 2023 was €36.0 million ($38.1 million), which represented the low end of the estimated range of loss of €36.0 million ($38.1 million) to €45.8 million ($48.4 million) as of September 30, 2023. The estimated liability as of December 31, 2022 was €34.2 million ($36.6 million). The increase in the Saluggia site provision from December 31, 2022 was due to adjustments associated with expected disposal costs.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Product Liability Litigation</w:t>
      </w:r>
    </w:p>
    <w:p>
      <w:pPr>
        <w:spacing w:after="0" w:line="99" w:lineRule="exact"/>
        <w:rPr>
          <w:sz w:val="20"/>
          <w:szCs w:val="20"/>
          <w:color w:val="auto"/>
        </w:rPr>
      </w:pPr>
    </w:p>
    <w:p>
      <w:pPr>
        <w:ind w:right="80" w:firstLine="139"/>
        <w:spacing w:after="0" w:line="302" w:lineRule="auto"/>
        <w:rPr>
          <w:sz w:val="20"/>
          <w:szCs w:val="20"/>
          <w:color w:val="auto"/>
        </w:rPr>
      </w:pPr>
      <w:r>
        <w:rPr>
          <w:rFonts w:ascii="Arial" w:cs="Arial" w:eastAsia="Arial" w:hAnsi="Arial"/>
          <w:sz w:val="14"/>
          <w:szCs w:val="14"/>
          <w:color w:val="auto"/>
        </w:rPr>
        <w:t>The Company is currently involved in litigation involving LivaNova’s 3T Heater-Cooler device. The litigation includes the MDL, various U.S. state court cases and cases in jurisdictions outside the U.S. On March 29, 2019, LivaNova announced a settlement framework that provided for a comprehensive resolution of the personal injury cases pending in the MDL, the related class action in federal court, as well as certain cases in state courts across the United States. The agreement, which made no admission of liability, was subject to certain conditions, including acceptance of the settlement by individual claimants and provided for a total payment of up to $225 million to resolve the claims covered by the settlement. Per the agreed-upon terms, the second and final payment of $90 million was paid into a qualified settlement fund in January 2020.</w:t>
      </w:r>
    </w:p>
    <w:p>
      <w:pPr>
        <w:spacing w:after="0" w:line="44" w:lineRule="exact"/>
        <w:rPr>
          <w:sz w:val="20"/>
          <w:szCs w:val="20"/>
          <w:color w:val="auto"/>
        </w:rPr>
      </w:pPr>
    </w:p>
    <w:p>
      <w:pPr>
        <w:ind w:right="40" w:firstLine="139"/>
        <w:spacing w:after="0" w:line="278" w:lineRule="auto"/>
        <w:rPr>
          <w:sz w:val="20"/>
          <w:szCs w:val="20"/>
          <w:color w:val="auto"/>
        </w:rPr>
      </w:pPr>
      <w:r>
        <w:rPr>
          <w:rFonts w:ascii="Arial" w:cs="Arial" w:eastAsia="Arial" w:hAnsi="Arial"/>
          <w:sz w:val="15"/>
          <w:szCs w:val="15"/>
          <w:color w:val="auto"/>
        </w:rPr>
        <w:t>Cases in state courts in the U.S. and in jurisdictions outside the U.S. continue to progress. As of November 1, 2023, the Company was aware of approximately 75 filed and unfiled claims worldwide, with the majority of the claims in various federal or state courts throughout the United States, including some cases removed to the MDL after the settlement described above. This number includes six cases in the process of settlement or dismissal.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9" w:lineRule="exact"/>
        <w:rPr>
          <w:sz w:val="20"/>
          <w:szCs w:val="20"/>
          <w:color w:val="auto"/>
        </w:rPr>
      </w:pPr>
    </w:p>
    <w:p>
      <w:pPr>
        <w:ind w:right="140" w:firstLine="139"/>
        <w:spacing w:after="0" w:line="298" w:lineRule="auto"/>
        <w:rPr>
          <w:sz w:val="20"/>
          <w:szCs w:val="20"/>
          <w:color w:val="auto"/>
        </w:rPr>
      </w:pPr>
      <w:r>
        <w:rPr>
          <w:rFonts w:ascii="Arial" w:cs="Arial" w:eastAsia="Arial" w:hAnsi="Arial"/>
          <w:sz w:val="14"/>
          <w:szCs w:val="14"/>
          <w:color w:val="auto"/>
        </w:rPr>
        <w:t>During the three and nine months ended September 30, 2023, the Company recorded an additional liability of $13.6 million and $25.7 million, respectively, due to new information received about the nature of certain claims. At September 30, 2023 and December 31, 2022, the provision for these matters was $29.7 million and $32.5 million, respectively. While the amount accrued represents the Company’s best estimate for those filed and unfiled claims that the Company believes are both probable and estimable at this time, and which are a subset of the filed and unfiled claims worldwide of which LivaNova is currently aware, the actual liability for resolution of these matters may vary from the Company’s estimate. The remaining claims for which a provision has not been recorded are remote or the potential loss is not estimable at this time.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ind w:left="140"/>
              <w:spacing w:after="0"/>
              <w:rPr>
                <w:sz w:val="20"/>
                <w:szCs w:val="20"/>
                <w:color w:val="auto"/>
              </w:rPr>
            </w:pPr>
            <w:r>
              <w:rPr>
                <w:rFonts w:ascii="Arial" w:cs="Arial" w:eastAsia="Arial" w:hAnsi="Arial"/>
                <w:sz w:val="15"/>
                <w:szCs w:val="15"/>
                <w:color w:val="auto"/>
              </w:rPr>
              <w:t>Changes in the carrying amount of the litigation provision liability are as follows (in thousands):</w:t>
            </w:r>
          </w:p>
        </w:tc>
        <w:tc>
          <w:tcPr>
            <w:tcW w:w="9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5"/>
        </w:trPr>
        <w:tc>
          <w:tcPr>
            <w:tcW w:w="8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197"/>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December 31, 2022</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32,487</w:t>
            </w:r>
          </w:p>
        </w:tc>
      </w:tr>
      <w:tr>
        <w:trPr>
          <w:trHeight w:val="197"/>
        </w:trPr>
        <w:tc>
          <w:tcPr>
            <w:tcW w:w="8840" w:type="dxa"/>
            <w:vAlign w:val="bottom"/>
          </w:tcPr>
          <w:p>
            <w:pPr>
              <w:spacing w:after="0"/>
              <w:rPr>
                <w:sz w:val="20"/>
                <w:szCs w:val="20"/>
                <w:color w:val="auto"/>
              </w:rPr>
            </w:pPr>
            <w:r>
              <w:rPr>
                <w:rFonts w:ascii="Arial" w:cs="Arial" w:eastAsia="Arial" w:hAnsi="Arial"/>
                <w:sz w:val="15"/>
                <w:szCs w:val="15"/>
                <w:color w:val="auto"/>
              </w:rPr>
              <w:t>Payments</w:t>
            </w:r>
          </w:p>
        </w:tc>
        <w:tc>
          <w:tcPr>
            <w:tcW w:w="9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(28,604)</w:t>
            </w:r>
          </w:p>
        </w:tc>
      </w:tr>
      <w:tr>
        <w:trPr>
          <w:trHeight w:val="198"/>
        </w:trPr>
        <w:tc>
          <w:tcPr>
            <w:tcW w:w="8840" w:type="dxa"/>
            <w:vAlign w:val="bottom"/>
            <w:shd w:val="clear" w:color="auto" w:fill="CCEEFF"/>
          </w:tcPr>
          <w:p>
            <w:pPr>
              <w:spacing w:after="0" w:line="198" w:lineRule="exact"/>
              <w:rPr>
                <w:sz w:val="20"/>
                <w:szCs w:val="20"/>
                <w:color w:val="auto"/>
              </w:rPr>
            </w:pPr>
            <w:r>
              <w:rPr>
                <w:rFonts w:ascii="Arial" w:cs="Arial" w:eastAsia="Arial" w:hAnsi="Arial"/>
                <w:sz w:val="15"/>
                <w:szCs w:val="15"/>
                <w:color w:val="auto"/>
              </w:rPr>
              <w:t xml:space="preserve">Adjustments </w:t>
            </w:r>
            <w:r>
              <w:rPr>
                <w:rFonts w:ascii="Arial" w:cs="Arial" w:eastAsia="Arial" w:hAnsi="Arial"/>
                <w:sz w:val="20"/>
                <w:szCs w:val="20"/>
                <w:color w:val="auto"/>
                <w:vertAlign w:val="superscript"/>
              </w:rPr>
              <w:t>(1)</w:t>
            </w:r>
          </w:p>
        </w:tc>
        <w:tc>
          <w:tcPr>
            <w:tcW w:w="9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25,739</w:t>
            </w:r>
          </w:p>
        </w:tc>
      </w:tr>
      <w:tr>
        <w:trPr>
          <w:trHeight w:val="197"/>
        </w:trPr>
        <w:tc>
          <w:tcPr>
            <w:tcW w:w="8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FX and other</w:t>
            </w: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r>
      <w:tr>
        <w:trPr>
          <w:trHeight w:val="189"/>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September 30, 2023</w:t>
            </w:r>
          </w:p>
        </w:tc>
        <w:tc>
          <w:tcPr>
            <w:tcW w:w="9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29,682</w:t>
            </w:r>
          </w:p>
        </w:tc>
      </w:tr>
      <w:tr>
        <w:trPr>
          <w:trHeight w:val="197"/>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current portion of litigation provision liability at September 30, 2023</w:t>
            </w:r>
          </w:p>
        </w:tc>
        <w:tc>
          <w:tcPr>
            <w:tcW w:w="9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26,704</w:t>
            </w:r>
          </w:p>
        </w:tc>
      </w:tr>
      <w:tr>
        <w:trPr>
          <w:trHeight w:val="214"/>
        </w:trPr>
        <w:tc>
          <w:tcPr>
            <w:tcW w:w="88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5"/>
                <w:szCs w:val="15"/>
                <w:color w:val="auto"/>
              </w:rPr>
              <w:t xml:space="preserve">Long-term portion of litigation provision liability at September 30, 2023 </w:t>
            </w:r>
            <w:r>
              <w:rPr>
                <w:rFonts w:ascii="Arial" w:cs="Arial" w:eastAsia="Arial" w:hAnsi="Arial"/>
                <w:sz w:val="20"/>
                <w:szCs w:val="20"/>
                <w:color w:val="auto"/>
                <w:vertAlign w:val="superscript"/>
              </w:rPr>
              <w:t>(2)</w:t>
            </w: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60" w:hanging="288"/>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Adjustments to the litigation provision are included within other operating expense on the condensed consolidated statements of income.</w:t>
      </w:r>
    </w:p>
    <w:p>
      <w:pPr>
        <w:spacing w:after="0" w:line="47" w:lineRule="exact"/>
        <w:rPr>
          <w:rFonts w:ascii="Arial" w:cs="Arial" w:eastAsia="Arial" w:hAnsi="Arial"/>
          <w:sz w:val="14"/>
          <w:szCs w:val="14"/>
          <w:color w:val="auto"/>
        </w:rPr>
      </w:pPr>
    </w:p>
    <w:p>
      <w:pPr>
        <w:ind w:left="560" w:hanging="288"/>
        <w:spacing w:after="0"/>
        <w:tabs>
          <w:tab w:leader="none" w:pos="5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within other long-term liabilities on the condensed consolidated balance sheet.</w:t>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SNIA Environmental Liability</w:t>
      </w:r>
    </w:p>
    <w:p>
      <w:pPr>
        <w:spacing w:after="0" w:line="99" w:lineRule="exact"/>
        <w:rPr>
          <w:sz w:val="20"/>
          <w:szCs w:val="20"/>
          <w:color w:val="auto"/>
        </w:rPr>
      </w:pPr>
    </w:p>
    <w:p>
      <w:pPr>
        <w:ind w:right="60" w:firstLine="139"/>
        <w:spacing w:after="0" w:line="290" w:lineRule="auto"/>
        <w:rPr>
          <w:sz w:val="20"/>
          <w:szCs w:val="20"/>
          <w:color w:val="auto"/>
        </w:rPr>
      </w:pPr>
      <w:r>
        <w:rPr>
          <w:rFonts w:ascii="Arial" w:cs="Arial" w:eastAsia="Arial" w:hAnsi="Arial"/>
          <w:sz w:val="15"/>
          <w:szCs w:val="15"/>
          <w:color w:val="auto"/>
        </w:rPr>
        <w:t>Sorin was created as a result of a spin-off from SNIA in 2004, and in 2015, Sorin was merged into LivaNova. SNIA subsequently became insolvent, and the Public Administrations sought compensation from SNIA in an aggregate amount of approximately $3.6 billion for remediation costs relating to the environmental damage at chemical sites previously operated by SNIA’s other subsidiaries.</w:t>
      </w:r>
    </w:p>
    <w:p>
      <w:pPr>
        <w:spacing w:after="0" w:line="48" w:lineRule="exact"/>
        <w:rPr>
          <w:sz w:val="20"/>
          <w:szCs w:val="20"/>
          <w:color w:val="auto"/>
        </w:rPr>
      </w:pPr>
    </w:p>
    <w:p>
      <w:pPr>
        <w:ind w:right="100" w:firstLine="139"/>
        <w:spacing w:after="0" w:line="277" w:lineRule="auto"/>
        <w:rPr>
          <w:sz w:val="20"/>
          <w:szCs w:val="20"/>
          <w:color w:val="auto"/>
        </w:rPr>
      </w:pPr>
      <w:r>
        <w:rPr>
          <w:rFonts w:ascii="Arial" w:cs="Arial" w:eastAsia="Arial" w:hAnsi="Arial"/>
          <w:sz w:val="15"/>
          <w:szCs w:val="15"/>
          <w:color w:val="auto"/>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Supreme Court. Similarly, in 2014, the Bankruptcy Court of Milan held that the Public Administrations were not creditors of either SNIA or its subsidiaries. The Public Administrations appealed. In April 2022, Bankruptcy Court of Milan declared the Public Administrations to be a non-privileged creditor of SNIA for up to €454 million, and the Public Administrations appealed to the Supreme Court.</w:t>
      </w:r>
    </w:p>
    <w:p>
      <w:pPr>
        <w:spacing w:after="0" w:line="59"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approximately €292,000 (approximately $308,952 as of September 30, 2023)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$605.3 million as of September 30, 2023). LivaNova appealed the partial decision on liability to the Italian Supreme Court in August 2019.</w:t>
      </w:r>
    </w:p>
    <w:p>
      <w:pPr>
        <w:spacing w:after="0" w:line="73" w:lineRule="exact"/>
        <w:rPr>
          <w:sz w:val="20"/>
          <w:szCs w:val="20"/>
          <w:color w:val="auto"/>
        </w:rPr>
      </w:pPr>
    </w:p>
    <w:p>
      <w:pPr>
        <w:ind w:right="20" w:firstLine="139"/>
        <w:spacing w:after="0" w:line="298" w:lineRule="auto"/>
        <w:rPr>
          <w:sz w:val="20"/>
          <w:szCs w:val="20"/>
          <w:color w:val="auto"/>
        </w:rPr>
      </w:pPr>
      <w:r>
        <w:rPr>
          <w:rFonts w:ascii="Arial" w:cs="Arial" w:eastAsia="Arial" w:hAnsi="Arial"/>
          <w:sz w:val="14"/>
          <w:szCs w:val="14"/>
          <w:color w:val="auto"/>
        </w:rPr>
        <w:t>In 2021, the Court of Appeal delivered the remainder of its decision, ordering LivaNova to pay damages of approximately €453.6 million (approximately $479.9 million as of September 30, 2023).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(approximately $285.7 million as of September 30, 2023) within 30 calendar days, and on March 21, 2022, LivaNova delivered the guarantee, thereby satisfying the condition. Refer to “Note 6. Financing Arrangements” for information on the financing of the guarantee.</w:t>
      </w:r>
    </w:p>
    <w:p>
      <w:pPr>
        <w:spacing w:after="0" w:line="57"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In November 2022, in response to one of a number of appeals asserted by LivaNova, the Supreme Court issued an ordinance, a procedural document, whereby the Supreme Court referred a question on interpretation of a European directive on demergers to the ECJ. Specifically, the ordinance asks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Following receipt of the binding decision from the ECJ, the Supreme Court is expected to incorporate and issue a decision in response to all of the appeals of LivaNova and counter-appeals submitted by the Public Administrations. While the timing of the decisions by the ECJ and, subsequently, the Supreme Court are uncertain, the Company believes that the effect of the ordinance will result in a delay of any final decision until at least 2024.</w:t>
      </w:r>
    </w:p>
    <w:p>
      <w:pPr>
        <w:spacing w:after="0" w:line="73" w:lineRule="exact"/>
        <w:rPr>
          <w:sz w:val="20"/>
          <w:szCs w:val="20"/>
          <w:color w:val="auto"/>
        </w:rPr>
      </w:pPr>
    </w:p>
    <w:p>
      <w:pPr>
        <w:ind w:right="60" w:firstLine="139"/>
        <w:spacing w:after="0" w:line="274" w:lineRule="auto"/>
        <w:rPr>
          <w:sz w:val="20"/>
          <w:szCs w:val="20"/>
          <w:color w:val="auto"/>
        </w:rPr>
      </w:pPr>
      <w:r>
        <w:rPr>
          <w:rFonts w:ascii="Arial" w:cs="Arial" w:eastAsia="Arial" w:hAnsi="Arial"/>
          <w:sz w:val="15"/>
          <w:szCs w:val="15"/>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2020, Caffaro Brescia declared it was withdrawing from its agreement to maintain the environmental measures. In 2021, LivaNova (in addition to Caffaro Brescia, and other non-LivaNova entities) received an Order from the Italian Ministry of the Environment requiring the Company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 decision regarding LivaNova’s alleged joint liability with SNIA for SNIA’s environmental liabilities. LivaNova’s response, dated February 16, 2021, disputes the grounds upon which the Order is based. LivaNova also appealed the Order in the Administrative Court in Brescia.</w:t>
      </w:r>
    </w:p>
    <w:p>
      <w:pPr>
        <w:spacing w:after="0" w:line="6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LivaNova has not recognized a liability in connection with these related matters because any potential loss is not currently probable.</w:t>
      </w:r>
    </w:p>
    <w:p>
      <w:pPr>
        <w:spacing w:after="0" w:line="200" w:lineRule="exact"/>
        <w:rPr>
          <w:sz w:val="20"/>
          <w:szCs w:val="20"/>
          <w:color w:val="auto"/>
        </w:rPr>
      </w:pP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Caisson Contract Litigation</w:t>
      </w:r>
    </w:p>
    <w:p>
      <w:pPr>
        <w:spacing w:after="0" w:line="99" w:lineRule="exact"/>
        <w:rPr>
          <w:sz w:val="20"/>
          <w:szCs w:val="20"/>
          <w:color w:val="auto"/>
        </w:rPr>
      </w:pPr>
    </w:p>
    <w:p>
      <w:pPr>
        <w:ind w:firstLine="139"/>
        <w:spacing w:after="0" w:line="328" w:lineRule="auto"/>
        <w:rPr>
          <w:sz w:val="20"/>
          <w:szCs w:val="20"/>
          <w:color w:val="auto"/>
        </w:rPr>
      </w:pPr>
      <w:r>
        <w:rPr>
          <w:rFonts w:ascii="Arial" w:cs="Arial" w:eastAsia="Arial" w:hAnsi="Arial"/>
          <w:sz w:val="13"/>
          <w:szCs w:val="13"/>
          <w:color w:val="auto"/>
        </w:rPr>
        <w:t>On November 25, 2019, LivaNova received notice of a lawsuit initiated by former members of Caisson, a subsidiary of the Company acquired in 2017. The lawsuit, Todd J. Mortier, as Member Representative of the former Members of Caisson Interventional, LLC v. LivaNova USA, Inc., was filed in the United States District Court for the District of Minnesota. The complaint alleged (i) breach of contract, (ii) breach of the covenant of good faith and fair dealing and (iii) unjust enrichment in connection with the Company’s operation of Caisson’s transcatheter mitral valve replacement program and the Company’s November 20, 2019 announcement that it was ending the program at the end of 2019. The lawsuit sought damages arising out of the 2017 acquisition agreement, including various regulatory milestone payments. In May 2022, the District Court granted LivaNova’s motion for summary judgment, and in June 2023, the Eighth Circuit Court of Appeal affirmed the decision. The Company now considers Caisson’s claim against LivaNova to be closed.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Mitral Litigation</w:t>
      </w:r>
    </w:p>
    <w:p>
      <w:pPr>
        <w:spacing w:after="0" w:line="111" w:lineRule="exact"/>
        <w:rPr>
          <w:sz w:val="20"/>
          <w:szCs w:val="20"/>
          <w:color w:val="auto"/>
        </w:rPr>
      </w:pPr>
    </w:p>
    <w:p>
      <w:pPr>
        <w:ind w:right="100" w:firstLine="139"/>
        <w:spacing w:after="0" w:line="297" w:lineRule="auto"/>
        <w:rPr>
          <w:sz w:val="20"/>
          <w:szCs w:val="20"/>
          <w:color w:val="auto"/>
        </w:rPr>
      </w:pPr>
      <w:r>
        <w:rPr>
          <w:rFonts w:ascii="Arial" w:cs="Arial" w:eastAsia="Arial" w:hAnsi="Arial"/>
          <w:sz w:val="14"/>
          <w:szCs w:val="14"/>
          <w:color w:val="auto"/>
        </w:rPr>
        <w:t>On July 29, 2022, LivaNova received a demand letter from Mitral for approximately €20.8 million ($22.0 million as of September 30, 2023) for breach of warranty claims under the A&amp;R Purchase Agreement. Specifically, the claims allege failure to disclose certain information relating to a supplier, thereby allegedly impacting the profitability of Mitral’s business in China and Japan. The Company does not believe that Mitral’s claims will be sustained or that LivaNova is responsible for any alleged breach of warranty. Subject to certain exceptions, warranty claims of this type are contractually capped at €8.0 million ($8.5 million as of September 30, 2023). On March 22, 2023, Mitral served a formal claim on LivaNova in the High Court of Justice Commercial Court (King’s Bench Division) alleging damages flowing from the aforementioned asserted breaches of warranties in the A&amp;R Purchase Agreement. Although the claim is in excess of €20.8 million, Mitral acknowledges the €8.0 million cap. The Company filed its Defense on May 17, 2023. As of September 30, 2023, the Company had recorded an accrued liability for an immaterial amount related to this matter.</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Italian MedTech Payback Measure</w:t>
      </w:r>
    </w:p>
    <w:p>
      <w:pPr>
        <w:spacing w:after="0" w:line="111" w:lineRule="exact"/>
        <w:rPr>
          <w:sz w:val="20"/>
          <w:szCs w:val="20"/>
          <w:color w:val="auto"/>
        </w:rPr>
      </w:pPr>
    </w:p>
    <w:p>
      <w:pPr>
        <w:ind w:firstLine="139"/>
        <w:spacing w:after="0" w:line="294" w:lineRule="auto"/>
        <w:rPr>
          <w:sz w:val="20"/>
          <w:szCs w:val="20"/>
          <w:color w:val="auto"/>
        </w:rPr>
      </w:pPr>
      <w:r>
        <w:rPr>
          <w:rFonts w:ascii="Arial" w:cs="Arial" w:eastAsia="Arial" w:hAnsi="Arial"/>
          <w:sz w:val="14"/>
          <w:szCs w:val="14"/>
          <w:color w:val="auto"/>
        </w:rPr>
        <w:t>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MedTech Payback Guidelines. LivaNova also filed appeals against the regions requesting payments. In August 2023, the Administrative Court upheld LivaNova’s request to suspend the effect of the requests for payment by the regions, pending the decision by the court on the merits of the case. The Company has accrued for the law since 2015 based on market and product information. As of September 30, 2023 and December 31, 2022, the total amount reserved for this matter was $7.6 million and $6.4 million, respectively; however, the actual liability could vary.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Other Matters</w:t>
      </w:r>
    </w:p>
    <w:p>
      <w:pPr>
        <w:spacing w:after="0" w:line="99" w:lineRule="exact"/>
        <w:rPr>
          <w:sz w:val="20"/>
          <w:szCs w:val="20"/>
          <w:color w:val="auto"/>
        </w:rPr>
      </w:pPr>
    </w:p>
    <w:p>
      <w:pPr>
        <w:ind w:right="40" w:firstLine="139"/>
        <w:spacing w:after="0" w:line="311" w:lineRule="auto"/>
        <w:rPr>
          <w:sz w:val="20"/>
          <w:szCs w:val="20"/>
          <w:color w:val="auto"/>
        </w:rPr>
      </w:pPr>
      <w:r>
        <w:rPr>
          <w:rFonts w:ascii="Arial" w:cs="Arial" w:eastAsia="Arial" w:hAnsi="Arial"/>
          <w:sz w:val="14"/>
          <w:szCs w:val="14"/>
          <w:color w:val="auto"/>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net income, financial position or liquidity.</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9. Stockholders' Equity</w:t>
      </w:r>
    </w:p>
    <w:p>
      <w:pPr>
        <w:spacing w:after="0" w:line="103" w:lineRule="exact"/>
        <w:rPr>
          <w:sz w:val="20"/>
          <w:szCs w:val="20"/>
          <w:color w:val="auto"/>
        </w:rPr>
      </w:pPr>
    </w:p>
    <w:p>
      <w:pPr>
        <w:ind w:right="720" w:firstLine="139"/>
        <w:spacing w:after="0" w:line="292" w:lineRule="auto"/>
        <w:rPr>
          <w:sz w:val="20"/>
          <w:szCs w:val="20"/>
          <w:color w:val="auto"/>
        </w:rPr>
      </w:pPr>
      <w:r>
        <w:rPr>
          <w:rFonts w:ascii="Arial" w:cs="Arial" w:eastAsia="Arial" w:hAnsi="Arial"/>
          <w:sz w:val="15"/>
          <w:szCs w:val="15"/>
          <w:color w:val="auto"/>
        </w:rPr>
        <w:t>The tables below present the condensed consolidated statements of stockholders’ equity as of and for the three and nine months ended September 30, 2023 and 2022 (in thousands):</w:t>
      </w:r>
    </w:p>
    <w:tbl>
      <w:tblPr>
        <w:tblLayout w:type="fixed"/>
        <w:tblInd w:w="0" w:type="dxa"/>
        <w:tblCellMar>
          <w:top w:w="0" w:type="dxa"/>
          <w:left w:w="0" w:type="dxa"/>
          <w:bottom w:w="0" w:type="dxa"/>
          <w:right w:w="0" w:type="dxa"/>
        </w:tblCellMar>
      </w:tblPr>
      <w:tr>
        <w:trPr>
          <w:trHeight w:val="125"/>
        </w:trPr>
        <w:tc>
          <w:tcPr>
            <w:tcW w:w="3160" w:type="dxa"/>
            <w:vAlign w:val="bottom"/>
          </w:tcPr>
          <w:p>
            <w:pPr>
              <w:spacing w:after="0"/>
              <w:rPr>
                <w:sz w:val="10"/>
                <w:szCs w:val="10"/>
                <w:color w:val="auto"/>
              </w:rPr>
            </w:pPr>
          </w:p>
        </w:tc>
        <w:tc>
          <w:tcPr>
            <w:tcW w:w="96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rPr>
              <w:t>Ordinary</w:t>
            </w:r>
          </w:p>
        </w:tc>
        <w:tc>
          <w:tcPr>
            <w:tcW w:w="1060" w:type="dxa"/>
            <w:vAlign w:val="bottom"/>
            <w:gridSpan w:val="3"/>
          </w:tcPr>
          <w:p>
            <w:pPr>
              <w:ind w:left="20"/>
              <w:spacing w:after="0" w:line="125" w:lineRule="exact"/>
              <w:rPr>
                <w:sz w:val="20"/>
                <w:szCs w:val="20"/>
                <w:color w:val="auto"/>
              </w:rPr>
            </w:pPr>
            <w:r>
              <w:rPr>
                <w:rFonts w:ascii="Arial" w:cs="Arial" w:eastAsia="Arial" w:hAnsi="Arial"/>
                <w:sz w:val="12"/>
                <w:szCs w:val="12"/>
                <w:b w:val="1"/>
                <w:bCs w:val="1"/>
                <w:color w:val="auto"/>
              </w:rPr>
              <w:t>Ordinary Shares</w:t>
            </w:r>
          </w:p>
        </w:tc>
        <w:tc>
          <w:tcPr>
            <w:tcW w:w="1220" w:type="dxa"/>
            <w:vAlign w:val="bottom"/>
            <w:gridSpan w:val="3"/>
          </w:tcPr>
          <w:p>
            <w:pPr>
              <w:jc w:val="center"/>
              <w:ind w:right="120"/>
              <w:spacing w:after="0" w:line="125" w:lineRule="exact"/>
              <w:rPr>
                <w:sz w:val="20"/>
                <w:szCs w:val="20"/>
                <w:color w:val="auto"/>
              </w:rPr>
            </w:pPr>
            <w:r>
              <w:rPr>
                <w:rFonts w:ascii="Arial" w:cs="Arial" w:eastAsia="Arial" w:hAnsi="Arial"/>
                <w:sz w:val="12"/>
                <w:szCs w:val="12"/>
                <w:b w:val="1"/>
                <w:bCs w:val="1"/>
                <w:color w:val="auto"/>
                <w:w w:val="96"/>
              </w:rPr>
              <w:t>Additional Paid-In</w:t>
            </w: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10"/>
                <w:szCs w:val="10"/>
                <w:color w:val="auto"/>
              </w:rPr>
            </w:pPr>
          </w:p>
        </w:tc>
        <w:tc>
          <w:tcPr>
            <w:tcW w:w="1320" w:type="dxa"/>
            <w:vAlign w:val="bottom"/>
            <w:gridSpan w:val="2"/>
          </w:tcPr>
          <w:p>
            <w:pPr>
              <w:jc w:val="center"/>
              <w:ind w:right="200"/>
              <w:spacing w:after="0" w:line="125" w:lineRule="exact"/>
              <w:rPr>
                <w:sz w:val="20"/>
                <w:szCs w:val="20"/>
                <w:color w:val="auto"/>
              </w:rPr>
            </w:pPr>
            <w:r>
              <w:rPr>
                <w:rFonts w:ascii="Arial" w:cs="Arial" w:eastAsia="Arial" w:hAnsi="Arial"/>
                <w:sz w:val="12"/>
                <w:szCs w:val="12"/>
                <w:b w:val="1"/>
                <w:bCs w:val="1"/>
                <w:color w:val="auto"/>
                <w:w w:val="93"/>
              </w:rPr>
              <w:t>Accumulated Other</w:t>
            </w:r>
          </w:p>
        </w:tc>
        <w:tc>
          <w:tcPr>
            <w:tcW w:w="12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Accumulated Deficit</w:t>
            </w:r>
          </w:p>
        </w:tc>
        <w:tc>
          <w:tcPr>
            <w:tcW w:w="1180" w:type="dxa"/>
            <w:vAlign w:val="bottom"/>
            <w:gridSpan w:val="2"/>
          </w:tcPr>
          <w:p>
            <w:pPr>
              <w:jc w:val="center"/>
              <w:spacing w:after="0" w:line="125" w:lineRule="exact"/>
              <w:rPr>
                <w:sz w:val="20"/>
                <w:szCs w:val="20"/>
                <w:color w:val="auto"/>
              </w:rPr>
            </w:pPr>
            <w:r>
              <w:rPr>
                <w:rFonts w:ascii="Arial" w:cs="Arial" w:eastAsia="Arial" w:hAnsi="Arial"/>
                <w:sz w:val="12"/>
                <w:szCs w:val="12"/>
                <w:b w:val="1"/>
                <w:bCs w:val="1"/>
                <w:color w:val="auto"/>
                <w:w w:val="91"/>
              </w:rPr>
              <w:t>Total Stockholders'</w:t>
            </w:r>
          </w:p>
        </w:tc>
        <w:tc>
          <w:tcPr>
            <w:tcW w:w="0" w:type="dxa"/>
            <w:vAlign w:val="bottom"/>
          </w:tcPr>
          <w:p>
            <w:pPr>
              <w:spacing w:after="0"/>
              <w:rPr>
                <w:sz w:val="1"/>
                <w:szCs w:val="1"/>
                <w:color w:val="auto"/>
              </w:rPr>
            </w:pPr>
          </w:p>
        </w:tc>
      </w:tr>
      <w:tr>
        <w:trPr>
          <w:trHeight w:val="167"/>
        </w:trPr>
        <w:tc>
          <w:tcPr>
            <w:tcW w:w="31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Amount</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Capital</w:t>
            </w: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Comprehensive Loss</w:t>
            </w:r>
          </w:p>
        </w:tc>
        <w:tc>
          <w:tcPr>
            <w:tcW w:w="126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right="164"/>
              <w:spacing w:after="0"/>
              <w:rPr>
                <w:sz w:val="20"/>
                <w:szCs w:val="20"/>
                <w:color w:val="auto"/>
              </w:rPr>
            </w:pPr>
            <w:r>
              <w:rPr>
                <w:rFonts w:ascii="Arial" w:cs="Arial" w:eastAsia="Arial" w:hAnsi="Arial"/>
                <w:sz w:val="12"/>
                <w:szCs w:val="12"/>
                <w:b w:val="1"/>
                <w:bCs w:val="1"/>
                <w:color w:val="auto"/>
                <w:w w:val="96"/>
              </w:rPr>
              <w:t xml:space="preserve">Equity </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2023</w:t>
            </w: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53,904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82,441</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2,169,346</w:t>
            </w:r>
          </w:p>
        </w:tc>
        <w:tc>
          <w:tcPr>
            <w:tcW w:w="1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(35,579)</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(975,505)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1,240,608</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11,404</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(19,222)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(19,222)</w:t>
            </w:r>
          </w:p>
        </w:tc>
        <w:tc>
          <w:tcPr>
            <w:tcW w:w="0" w:type="dxa"/>
            <w:vAlign w:val="bottom"/>
          </w:tcPr>
          <w:p>
            <w:pPr>
              <w:spacing w:after="0"/>
              <w:rPr>
                <w:sz w:val="1"/>
                <w:szCs w:val="1"/>
                <w:color w:val="auto"/>
              </w:rPr>
            </w:pPr>
          </w:p>
        </w:tc>
      </w:tr>
      <w:tr>
        <w:trPr>
          <w:trHeight w:val="214"/>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2023</w:t>
            </w:r>
          </w:p>
        </w:tc>
        <w:tc>
          <w:tcPr>
            <w:tcW w:w="8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53,904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2,180,661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1,225,472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June 30, 2022</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53,810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82,359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2,133,258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(878,347)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1,282,003</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10,504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10,538</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(107,344)</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(38,234)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(38,234)</w:t>
            </w:r>
          </w:p>
        </w:tc>
        <w:tc>
          <w:tcPr>
            <w:tcW w:w="0" w:type="dxa"/>
            <w:vAlign w:val="bottom"/>
          </w:tcPr>
          <w:p>
            <w:pPr>
              <w:spacing w:after="0"/>
              <w:rPr>
                <w:sz w:val="1"/>
                <w:szCs w:val="1"/>
                <w:color w:val="auto"/>
              </w:rPr>
            </w:pPr>
          </w:p>
        </w:tc>
      </w:tr>
      <w:tr>
        <w:trPr>
          <w:trHeight w:val="214"/>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2022</w:t>
            </w:r>
          </w:p>
        </w:tc>
        <w:tc>
          <w:tcPr>
            <w:tcW w:w="8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2,143,762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1,146,963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Ordinary</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Ordinary Shares</w:t>
            </w:r>
          </w:p>
        </w:tc>
        <w:tc>
          <w:tcPr>
            <w:tcW w:w="12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Additional Paid-In</w:t>
            </w:r>
          </w:p>
        </w:tc>
        <w:tc>
          <w:tcPr>
            <w:tcW w:w="10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tcPr>
          <w:p>
            <w:pPr>
              <w:spacing w:after="0"/>
              <w:rPr>
                <w:sz w:val="23"/>
                <w:szCs w:val="2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Accumulated Other</w:t>
            </w:r>
          </w:p>
        </w:tc>
        <w:tc>
          <w:tcPr>
            <w:tcW w:w="12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Accumulated Deficit</w:t>
            </w:r>
          </w:p>
        </w:tc>
        <w:tc>
          <w:tcPr>
            <w:tcW w:w="11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Total Stockholders'</w:t>
            </w:r>
          </w:p>
        </w:tc>
        <w:tc>
          <w:tcPr>
            <w:tcW w:w="0" w:type="dxa"/>
            <w:vAlign w:val="bottom"/>
          </w:tcPr>
          <w:p>
            <w:pPr>
              <w:spacing w:after="0"/>
              <w:rPr>
                <w:sz w:val="1"/>
                <w:szCs w:val="1"/>
                <w:color w:val="auto"/>
              </w:rPr>
            </w:pPr>
          </w:p>
        </w:tc>
      </w:tr>
      <w:tr>
        <w:trPr>
          <w:trHeight w:val="173"/>
        </w:trPr>
        <w:tc>
          <w:tcPr>
            <w:tcW w:w="316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Shares</w:t>
            </w:r>
          </w:p>
        </w:tc>
        <w:tc>
          <w:tcPr>
            <w:tcW w:w="16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 Amount</w:t>
            </w:r>
          </w:p>
        </w:tc>
        <w:tc>
          <w:tcPr>
            <w:tcW w:w="2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4"/>
              </w:rPr>
              <w:t>Capital</w:t>
            </w: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Comprehensive Loss</w:t>
            </w:r>
          </w:p>
        </w:tc>
        <w:tc>
          <w:tcPr>
            <w:tcW w:w="126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center"/>
              <w:ind w:right="164"/>
              <w:spacing w:after="0" w:line="173" w:lineRule="exact"/>
              <w:rPr>
                <w:sz w:val="20"/>
                <w:szCs w:val="20"/>
                <w:color w:val="auto"/>
              </w:rPr>
            </w:pPr>
            <w:r>
              <w:rPr>
                <w:rFonts w:ascii="Arial" w:cs="Arial" w:eastAsia="Arial" w:hAnsi="Arial"/>
                <w:sz w:val="12"/>
                <w:szCs w:val="12"/>
                <w:b w:val="1"/>
                <w:bCs w:val="1"/>
                <w:color w:val="auto"/>
                <w:w w:val="90"/>
              </w:rPr>
              <w:t xml:space="preserve">Equity </w:t>
            </w:r>
            <w:r>
              <w:rPr>
                <w:rFonts w:ascii="Arial" w:cs="Arial" w:eastAsia="Arial" w:hAnsi="Arial"/>
                <w:sz w:val="16"/>
                <w:szCs w:val="16"/>
                <w:b w:val="1"/>
                <w:bCs w:val="1"/>
                <w:color w:val="auto"/>
                <w:w w:val="90"/>
                <w:vertAlign w:val="superscript"/>
              </w:rPr>
              <w:t>(1)</w:t>
            </w:r>
          </w:p>
        </w:tc>
        <w:tc>
          <w:tcPr>
            <w:tcW w:w="0" w:type="dxa"/>
            <w:vAlign w:val="bottom"/>
          </w:tcPr>
          <w:p>
            <w:pPr>
              <w:spacing w:after="0"/>
              <w:rPr>
                <w:sz w:val="1"/>
                <w:szCs w:val="1"/>
                <w:color w:val="auto"/>
              </w:rPr>
            </w:pPr>
          </w:p>
        </w:tc>
      </w:tr>
      <w:tr>
        <w:trPr>
          <w:trHeight w:val="189"/>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2022</w:t>
            </w: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53,852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82,424</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2,157,724</w:t>
            </w: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(48,119)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(984,030)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1,207,624</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22,937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23,323</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(6,682)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(6,682)</w:t>
            </w:r>
          </w:p>
        </w:tc>
        <w:tc>
          <w:tcPr>
            <w:tcW w:w="0" w:type="dxa"/>
            <w:vAlign w:val="bottom"/>
          </w:tcPr>
          <w:p>
            <w:pPr>
              <w:spacing w:after="0"/>
              <w:rPr>
                <w:sz w:val="1"/>
                <w:szCs w:val="1"/>
                <w:color w:val="auto"/>
              </w:rPr>
            </w:pPr>
          </w:p>
        </w:tc>
      </w:tr>
      <w:tr>
        <w:trPr>
          <w:trHeight w:val="214"/>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2023</w:t>
            </w:r>
          </w:p>
        </w:tc>
        <w:tc>
          <w:tcPr>
            <w:tcW w:w="8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53,904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82,491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2,180,661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(54,801)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1,225,472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2021</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53,762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82,295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2,117,961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(897,784)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1,294,645</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25,801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270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26,152</w:t>
            </w:r>
          </w:p>
        </w:tc>
        <w:tc>
          <w:tcPr>
            <w:tcW w:w="0" w:type="dxa"/>
            <w:vAlign w:val="bottom"/>
          </w:tcPr>
          <w:p>
            <w:pPr>
              <w:spacing w:after="0"/>
              <w:rPr>
                <w:sz w:val="1"/>
                <w:szCs w:val="1"/>
                <w:color w:val="auto"/>
              </w:rPr>
            </w:pPr>
          </w:p>
        </w:tc>
      </w:tr>
      <w:tr>
        <w:trPr>
          <w:trHeight w:val="198"/>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(87,907)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(87,907)</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(85,927)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(85,927)</w:t>
            </w:r>
          </w:p>
        </w:tc>
        <w:tc>
          <w:tcPr>
            <w:tcW w:w="0" w:type="dxa"/>
            <w:vAlign w:val="bottom"/>
          </w:tcPr>
          <w:p>
            <w:pPr>
              <w:spacing w:after="0"/>
              <w:rPr>
                <w:sz w:val="1"/>
                <w:szCs w:val="1"/>
                <w:color w:val="auto"/>
              </w:rPr>
            </w:pPr>
          </w:p>
        </w:tc>
      </w:tr>
      <w:tr>
        <w:trPr>
          <w:trHeight w:val="214"/>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2022</w:t>
            </w:r>
          </w:p>
        </w:tc>
        <w:tc>
          <w:tcPr>
            <w:tcW w:w="8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53,814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82,376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2,143,762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(985,691)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1,146,963</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3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424"/>
              <w:spacing w:after="0"/>
              <w:rPr>
                <w:sz w:val="20"/>
                <w:szCs w:val="20"/>
                <w:color w:val="auto"/>
              </w:rPr>
            </w:pPr>
            <w:r>
              <w:rPr>
                <w:rFonts w:ascii="Arial" w:cs="Arial" w:eastAsia="Arial" w:hAnsi="Arial"/>
                <w:sz w:val="15"/>
                <w:szCs w:val="15"/>
                <w:color w:val="auto"/>
              </w:rPr>
              <w:t>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1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23" w:name="page24"/>
    <w:bookmarkEnd w:id="23"/>
    <w:p>
      <w:pPr>
        <w:ind w:left="140"/>
        <w:spacing w:after="0"/>
        <w:rPr>
          <w:sz w:val="20"/>
          <w:szCs w:val="20"/>
          <w:color w:val="auto"/>
        </w:rPr>
      </w:pPr>
      <w:r>
        <w:rPr>
          <w:rFonts w:ascii="Arial" w:cs="Arial" w:eastAsia="Arial" w:hAnsi="Arial"/>
          <w:sz w:val="15"/>
          <w:szCs w:val="15"/>
          <w:color w:val="auto"/>
        </w:rPr>
        <w:t>The table below presents the change in each component of AOCI, net of tax, and the reclassifications out of AOCI into net income (loss) for the nine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2023 and 2022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20" w:type="dxa"/>
            <w:vAlign w:val="bottom"/>
          </w:tcPr>
          <w:p>
            <w:pPr>
              <w:spacing w:after="0"/>
              <w:rPr>
                <w:sz w:val="14"/>
                <w:szCs w:val="14"/>
                <w:color w:val="auto"/>
              </w:rPr>
            </w:pP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94"/>
              </w:rPr>
              <w:t>Change in Unrealized</w:t>
            </w:r>
          </w:p>
        </w:tc>
        <w:tc>
          <w:tcPr>
            <w:tcW w:w="1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Foreign Currency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20" w:type="dxa"/>
            <w:vAlign w:val="bottom"/>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6" w:lineRule="exact"/>
              <w:rPr>
                <w:sz w:val="20"/>
                <w:szCs w:val="20"/>
                <w:color w:val="auto"/>
              </w:rPr>
            </w:pPr>
            <w:r>
              <w:rPr>
                <w:rFonts w:ascii="Arial" w:cs="Arial" w:eastAsia="Arial" w:hAnsi="Arial"/>
                <w:sz w:val="15"/>
                <w:szCs w:val="15"/>
                <w:b w:val="1"/>
                <w:bCs w:val="1"/>
                <w:color w:val="auto"/>
                <w:w w:val="93"/>
              </w:rPr>
              <w:t>Translation</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1" w:lineRule="exact"/>
              <w:rPr>
                <w:sz w:val="20"/>
                <w:szCs w:val="20"/>
                <w:color w:val="auto"/>
              </w:rPr>
            </w:pPr>
            <w:r>
              <w:rPr>
                <w:rFonts w:ascii="Arial" w:cs="Arial" w:eastAsia="Arial" w:hAnsi="Arial"/>
                <w:sz w:val="15"/>
                <w:szCs w:val="15"/>
                <w:b w:val="1"/>
                <w:bCs w:val="1"/>
                <w:color w:val="auto"/>
                <w:w w:val="93"/>
              </w:rPr>
              <w:t>Gain (Loss) on</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Adjustments Gain</w:t>
            </w:r>
          </w:p>
        </w:tc>
        <w:tc>
          <w:tcPr>
            <w:tcW w:w="340" w:type="dxa"/>
            <w:vAlign w:val="bottom"/>
          </w:tcPr>
          <w:p>
            <w:pPr>
              <w:spacing w:after="0"/>
              <w:rPr>
                <w:sz w:val="13"/>
                <w:szCs w:val="13"/>
                <w:color w:val="auto"/>
              </w:rPr>
            </w:pPr>
          </w:p>
        </w:tc>
        <w:tc>
          <w:tcPr>
            <w:tcW w:w="1200" w:type="dxa"/>
            <w:vAlign w:val="bottom"/>
            <w:vMerge w:val="restart"/>
          </w:tcPr>
          <w:p>
            <w:pPr>
              <w:jc w:val="right"/>
              <w:ind w:right="5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Derivatives</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line="197" w:lineRule="exact"/>
              <w:rPr>
                <w:sz w:val="20"/>
                <w:szCs w:val="20"/>
                <w:color w:val="auto"/>
              </w:rPr>
            </w:pPr>
            <w:r>
              <w:rPr>
                <w:rFonts w:ascii="Arial" w:cs="Arial" w:eastAsia="Arial" w:hAnsi="Arial"/>
                <w:sz w:val="15"/>
                <w:szCs w:val="15"/>
                <w:b w:val="1"/>
                <w:bCs w:val="1"/>
                <w:color w:val="auto"/>
                <w:w w:val="85"/>
              </w:rPr>
              <w:t xml:space="preserve">(Loss) </w:t>
            </w:r>
            <w:r>
              <w:rPr>
                <w:rFonts w:ascii="Arial" w:cs="Arial" w:eastAsia="Arial" w:hAnsi="Arial"/>
                <w:sz w:val="20"/>
                <w:szCs w:val="20"/>
                <w:b w:val="1"/>
                <w:bCs w:val="1"/>
                <w:color w:val="auto"/>
                <w:w w:val="85"/>
                <w:vertAlign w:val="superscript"/>
              </w:rPr>
              <w:t>(1)</w:t>
            </w: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2022</w:t>
            </w: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(49,085)</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(48,119)</w:t>
            </w:r>
          </w:p>
        </w:tc>
        <w:tc>
          <w:tcPr>
            <w:tcW w:w="0" w:type="dxa"/>
            <w:vAlign w:val="bottom"/>
          </w:tcPr>
          <w:p>
            <w:pPr>
              <w:spacing w:after="0"/>
              <w:rPr>
                <w:sz w:val="1"/>
                <w:szCs w:val="1"/>
                <w:color w:val="auto"/>
              </w:rPr>
            </w:pPr>
          </w:p>
        </w:tc>
      </w:tr>
      <w:tr>
        <w:trPr>
          <w:trHeight w:val="189"/>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before tax</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(5,716)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(6,149)</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Tax benefit</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net of tax</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(5,716)</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(6,149)</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gain from accumulated other comprehensive loss, before tax</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197"/>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benefit</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gain from accumulated other comprehensive loss, after tax</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loss, net of tax</w:t>
            </w: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(966)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(5,716)</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(6,682)</w:t>
            </w: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September 30, 2023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(54,801)</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December 31, 2021</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(6,232)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(7,177)</w:t>
            </w:r>
          </w:p>
        </w:tc>
        <w:tc>
          <w:tcPr>
            <w:tcW w:w="0" w:type="dxa"/>
            <w:vAlign w:val="bottom"/>
          </w:tcPr>
          <w:p>
            <w:pPr>
              <w:spacing w:after="0"/>
              <w:rPr>
                <w:sz w:val="1"/>
                <w:szCs w:val="1"/>
                <w:color w:val="auto"/>
              </w:rPr>
            </w:pPr>
          </w:p>
        </w:tc>
      </w:tr>
      <w:tr>
        <w:trPr>
          <w:trHeight w:val="189"/>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before tax</w:t>
            </w:r>
          </w:p>
        </w:tc>
        <w:tc>
          <w:tcPr>
            <w:tcW w:w="18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(85,653)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(85,847)</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Tax benefit</w:t>
            </w: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net of tax</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(194)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(85,653)</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(85,847)</w:t>
            </w:r>
          </w:p>
        </w:tc>
        <w:tc>
          <w:tcPr>
            <w:tcW w:w="0" w:type="dxa"/>
            <w:vAlign w:val="bottom"/>
          </w:tcPr>
          <w:p>
            <w:pPr>
              <w:spacing w:after="0"/>
              <w:rPr>
                <w:sz w:val="1"/>
                <w:szCs w:val="1"/>
                <w:color w:val="auto"/>
              </w:rPr>
            </w:pPr>
          </w:p>
        </w:tc>
      </w:tr>
      <w:tr>
        <w:trPr>
          <w:trHeight w:val="198"/>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gain from accumulated other comprehensive loss, before tax</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97"/>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benefit</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gain from accumulated other comprehensive loss, after tax</w:t>
            </w: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0" w:type="dxa"/>
            <w:vAlign w:val="bottom"/>
          </w:tcPr>
          <w:p>
            <w:pPr>
              <w:spacing w:after="0"/>
              <w:rPr>
                <w:sz w:val="1"/>
                <w:szCs w:val="1"/>
                <w:color w:val="auto"/>
              </w:rPr>
            </w:pPr>
          </w:p>
        </w:tc>
      </w:tr>
      <w:tr>
        <w:trPr>
          <w:trHeight w:val="189"/>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loss, net of tax</w:t>
            </w:r>
          </w:p>
        </w:tc>
        <w:tc>
          <w:tcPr>
            <w:tcW w:w="18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(85,653)</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(85,927)</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2022</w:t>
            </w: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(91,885)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(93,104)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Taxes are not provided for foreign currency translation adjustments as translation adjustments are related to earnings that are intended to be reinvested in the countries where earned.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Incentive Plans</w:t>
      </w:r>
    </w:p>
    <w:p>
      <w:pPr>
        <w:spacing w:after="0" w:line="103" w:lineRule="exact"/>
        <w:rPr>
          <w:sz w:val="20"/>
          <w:szCs w:val="20"/>
          <w:color w:val="auto"/>
        </w:rPr>
      </w:pPr>
    </w:p>
    <w:p>
      <w:pPr>
        <w:ind w:right="100" w:firstLine="139"/>
        <w:spacing w:after="0" w:line="301" w:lineRule="auto"/>
        <w:rPr>
          <w:sz w:val="20"/>
          <w:szCs w:val="20"/>
          <w:color w:val="auto"/>
        </w:rPr>
      </w:pPr>
      <w:r>
        <w:rPr>
          <w:rFonts w:ascii="Arial" w:cs="Arial" w:eastAsia="Arial" w:hAnsi="Arial"/>
          <w:sz w:val="14"/>
          <w:szCs w:val="14"/>
          <w:color w:val="auto"/>
        </w:rPr>
        <w:t>During the nine months ended September 30, 2023, LivaNova issued stock-based compensatory awards with terms approved by the Compensation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2025 relative to the total shareholder returns for a peer group of companies. The adjusted free cash flow and return on invested capital operating performance-based awards that were issued, cliff vest after three years subject to the achievement of certain thresholds of cumulative results for the three-year period ending December 31, 2025. Compensation expense related to awards granted during 2023 for the three and nine months ended September 30, 2023 was $4.5 million and $6.9 million, respectively.</w:t>
      </w:r>
    </w:p>
    <w:p>
      <w:pPr>
        <w:spacing w:after="0" w:line="42" w:lineRule="exact"/>
        <w:rPr>
          <w:sz w:val="20"/>
          <w:szCs w:val="20"/>
          <w:color w:val="auto"/>
        </w:rPr>
      </w:pPr>
    </w:p>
    <w:p>
      <w:pPr>
        <w:ind w:right="200" w:firstLine="139"/>
        <w:spacing w:after="0" w:line="330" w:lineRule="auto"/>
        <w:rPr>
          <w:sz w:val="20"/>
          <w:szCs w:val="20"/>
          <w:color w:val="auto"/>
        </w:rPr>
      </w:pPr>
      <w:r>
        <w:rPr>
          <w:rFonts w:ascii="Arial" w:cs="Arial" w:eastAsia="Arial" w:hAnsi="Arial"/>
          <w:sz w:val="13"/>
          <w:szCs w:val="13"/>
          <w:color w:val="auto"/>
        </w:rPr>
        <w:t>Stock-based awards may be granted under the 2015 Plan and the 2022 Plan in the form of stock options, SARs, RSUs and other stock-based and cash-based awards. As of September 30, 2023, there were 13,493 shares available for future grants to LivaNova’s Non-Executive Directors under the 2015 Plan and 1,398,400 shares pursuant to Options or Stock Appreciation Rights and 912,743 shares pursuant to other types of awards available for future grants to LivaNova’s employees under the 2022 Plan. In June 2023, the Company’s shareholders approved the A&amp;R 2022 Plan. The A&amp;R 2022 Plan increases the aggregate number of ordinary shares that can be issued under the 2022 Plan pursuant to options or SARs from 1,900,000 to 2,250,000, and the number of ordinary shares that can be issued pursuant to awards other than options or SARs from 1,200,000 to 1,500,000.</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6"/>
        </w:trPr>
        <w:tc>
          <w:tcPr>
            <w:tcW w:w="5160" w:type="dxa"/>
            <w:vAlign w:val="bottom"/>
          </w:tcPr>
          <w:p>
            <w:pPr>
              <w:ind w:left="140"/>
              <w:spacing w:after="0"/>
              <w:rPr>
                <w:sz w:val="20"/>
                <w:szCs w:val="20"/>
                <w:color w:val="auto"/>
              </w:rPr>
            </w:pPr>
            <w:r>
              <w:rPr>
                <w:rFonts w:ascii="Arial" w:cs="Arial" w:eastAsia="Arial" w:hAnsi="Arial"/>
                <w:sz w:val="15"/>
                <w:szCs w:val="15"/>
                <w:color w:val="auto"/>
                <w:w w:val="95"/>
              </w:rPr>
              <w:t>Stock-based incentive plan compensation expense is as follows (in thousands):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5160" w:type="dxa"/>
            <w:vAlign w:val="bottom"/>
          </w:tcPr>
          <w:p>
            <w:pPr>
              <w:spacing w:after="0"/>
              <w:rPr>
                <w:sz w:val="20"/>
                <w:szCs w:val="20"/>
                <w:color w:val="auto"/>
              </w:rPr>
            </w:pPr>
          </w:p>
        </w:tc>
        <w:tc>
          <w:tcPr>
            <w:tcW w:w="3080" w:type="dxa"/>
            <w:vAlign w:val="bottom"/>
            <w:gridSpan w:val="6"/>
          </w:tcPr>
          <w:p>
            <w:pPr>
              <w:ind w:left="30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20"/>
                <w:szCs w:val="20"/>
                <w:color w:val="auto"/>
              </w:rPr>
            </w:pPr>
          </w:p>
        </w:tc>
        <w:tc>
          <w:tcPr>
            <w:tcW w:w="2800" w:type="dxa"/>
            <w:vAlign w:val="bottom"/>
            <w:gridSpan w:val="4"/>
          </w:tcPr>
          <w:p>
            <w:pPr>
              <w:jc w:val="right"/>
              <w:ind w:right="283"/>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189"/>
        </w:trPr>
        <w:tc>
          <w:tcPr>
            <w:tcW w:w="51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RSUs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16,710</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SARs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3,886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10,713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9,727</w:t>
            </w:r>
          </w:p>
        </w:tc>
      </w:tr>
      <w:tr>
        <w:trPr>
          <w:trHeight w:val="198"/>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Market performance-based restricted stock units</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2,903</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Operating performance-based restricted stock units</w:t>
            </w:r>
          </w:p>
        </w:tc>
        <w:tc>
          <w:tcPr>
            <w:tcW w:w="9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875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2,271</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Employee share purchase plan</w:t>
            </w:r>
          </w:p>
        </w:tc>
        <w:tc>
          <w:tcPr>
            <w:tcW w:w="9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w:t>
            </w:r>
          </w:p>
        </w:tc>
      </w:tr>
      <w:tr>
        <w:trPr>
          <w:trHeight w:val="189"/>
        </w:trPr>
        <w:tc>
          <w:tcPr>
            <w:tcW w:w="5160" w:type="dxa"/>
            <w:vAlign w:val="bottom"/>
          </w:tcPr>
          <w:p>
            <w:pPr>
              <w:spacing w:after="0"/>
              <w:rPr>
                <w:sz w:val="20"/>
                <w:szCs w:val="20"/>
                <w:color w:val="auto"/>
              </w:rPr>
            </w:pPr>
            <w:r>
              <w:rPr>
                <w:rFonts w:ascii="Arial" w:cs="Arial" w:eastAsia="Arial" w:hAnsi="Arial"/>
                <w:sz w:val="15"/>
                <w:szCs w:val="15"/>
                <w:color w:val="auto"/>
              </w:rPr>
              <w:t>Total stock-based compensation expense</w:t>
            </w: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color w:val="auto"/>
                <w:w w:val="95"/>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11,779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10,727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28,069</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32,492</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139"/>
        <w:spacing w:after="0" w:line="294" w:lineRule="auto"/>
        <w:rPr>
          <w:sz w:val="20"/>
          <w:szCs w:val="20"/>
          <w:color w:val="auto"/>
        </w:rPr>
      </w:pPr>
      <w:r>
        <w:rPr>
          <w:rFonts w:ascii="Arial" w:cs="Arial" w:eastAsia="Arial" w:hAnsi="Arial"/>
          <w:sz w:val="15"/>
          <w:szCs w:val="15"/>
          <w:color w:val="auto"/>
        </w:rPr>
        <w:t>Stock-based compensation agreements issued during the nine months ended September 30, 2023 representing potential shares and their weighted average grant date fair values by type is as follows (shares in thousands, fair value in dollars):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5"/>
          <w:szCs w:val="15"/>
          <w:b w:val="1"/>
          <w:bCs w:val="1"/>
          <w:color w:val="auto"/>
        </w:rPr>
        <w:t>Nine Months Ended September 30, 2023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9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5"/>
                <w:szCs w:val="15"/>
                <w:b w:val="1"/>
                <w:bCs w:val="1"/>
                <w:color w:val="auto"/>
                <w:w w:val="95"/>
              </w:rPr>
              <w:t>Weighted Average Grant Date</w:t>
            </w:r>
          </w:p>
        </w:tc>
      </w:tr>
      <w:tr>
        <w:trPr>
          <w:trHeight w:val="209"/>
        </w:trPr>
        <w:tc>
          <w:tcPr>
            <w:tcW w:w="69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ind w:left="820"/>
              <w:spacing w:after="0"/>
              <w:rPr>
                <w:sz w:val="20"/>
                <w:szCs w:val="20"/>
                <w:color w:val="auto"/>
              </w:rPr>
            </w:pPr>
            <w:r>
              <w:rPr>
                <w:rFonts w:ascii="Arial" w:cs="Arial" w:eastAsia="Arial" w:hAnsi="Arial"/>
                <w:sz w:val="15"/>
                <w:szCs w:val="15"/>
                <w:b w:val="1"/>
                <w:bCs w:val="1"/>
                <w:color w:val="auto"/>
              </w:rPr>
              <w:t>Shares</w:t>
            </w: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Fair Value</w:t>
            </w:r>
          </w:p>
        </w:tc>
      </w:tr>
      <w:tr>
        <w:trPr>
          <w:trHeight w:val="189"/>
        </w:trPr>
        <w:tc>
          <w:tcPr>
            <w:tcW w:w="8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Service-based SARs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974,204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w:t>
            </w:r>
          </w:p>
        </w:tc>
      </w:tr>
      <w:tr>
        <w:trPr>
          <w:trHeight w:val="197"/>
        </w:trPr>
        <w:tc>
          <w:tcPr>
            <w:tcW w:w="8360" w:type="dxa"/>
            <w:vAlign w:val="bottom"/>
            <w:gridSpan w:val="2"/>
          </w:tcPr>
          <w:p>
            <w:pPr>
              <w:spacing w:after="0"/>
              <w:rPr>
                <w:sz w:val="20"/>
                <w:szCs w:val="20"/>
                <w:color w:val="auto"/>
              </w:rPr>
            </w:pPr>
            <w:r>
              <w:rPr>
                <w:rFonts w:ascii="Arial" w:cs="Arial" w:eastAsia="Arial" w:hAnsi="Arial"/>
                <w:sz w:val="15"/>
                <w:szCs w:val="15"/>
                <w:color w:val="auto"/>
              </w:rPr>
              <w:t>Service-based RSUs</w:t>
            </w:r>
          </w:p>
        </w:tc>
        <w:tc>
          <w:tcPr>
            <w:tcW w:w="700" w:type="dxa"/>
            <w:vAlign w:val="bottom"/>
          </w:tcPr>
          <w:p>
            <w:pPr>
              <w:jc w:val="right"/>
              <w:spacing w:after="0"/>
              <w:rPr>
                <w:sz w:val="20"/>
                <w:szCs w:val="20"/>
                <w:color w:val="auto"/>
              </w:rPr>
            </w:pPr>
            <w:r>
              <w:rPr>
                <w:rFonts w:ascii="Arial" w:cs="Arial" w:eastAsia="Arial" w:hAnsi="Arial"/>
                <w:sz w:val="15"/>
                <w:szCs w:val="15"/>
                <w:color w:val="auto"/>
              </w:rPr>
              <w:t>502,821</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42.89</w:t>
            </w:r>
          </w:p>
        </w:tc>
      </w:tr>
      <w:tr>
        <w:trPr>
          <w:trHeight w:val="198"/>
        </w:trPr>
        <w:tc>
          <w:tcPr>
            <w:tcW w:w="8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Market performance-based RSUs</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94,561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95"/>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38.95</w:t>
            </w:r>
          </w:p>
        </w:tc>
      </w:tr>
      <w:tr>
        <w:trPr>
          <w:trHeight w:val="197"/>
        </w:trPr>
        <w:tc>
          <w:tcPr>
            <w:tcW w:w="8360" w:type="dxa"/>
            <w:vAlign w:val="bottom"/>
            <w:gridSpan w:val="2"/>
          </w:tcPr>
          <w:p>
            <w:pPr>
              <w:spacing w:after="0"/>
              <w:rPr>
                <w:sz w:val="20"/>
                <w:szCs w:val="20"/>
                <w:color w:val="auto"/>
              </w:rPr>
            </w:pPr>
            <w:r>
              <w:rPr>
                <w:rFonts w:ascii="Arial" w:cs="Arial" w:eastAsia="Arial" w:hAnsi="Arial"/>
                <w:sz w:val="15"/>
                <w:szCs w:val="15"/>
                <w:color w:val="auto"/>
              </w:rPr>
              <w:t>Operating performance-based RSUs</w:t>
            </w:r>
          </w:p>
        </w:tc>
        <w:tc>
          <w:tcPr>
            <w:tcW w:w="700" w:type="dxa"/>
            <w:vAlign w:val="bottom"/>
          </w:tcPr>
          <w:p>
            <w:pPr>
              <w:jc w:val="right"/>
              <w:spacing w:after="0"/>
              <w:rPr>
                <w:sz w:val="20"/>
                <w:szCs w:val="20"/>
                <w:color w:val="auto"/>
              </w:rPr>
            </w:pPr>
            <w:r>
              <w:rPr>
                <w:rFonts w:ascii="Arial" w:cs="Arial" w:eastAsia="Arial" w:hAnsi="Arial"/>
                <w:sz w:val="15"/>
                <w:szCs w:val="15"/>
                <w:color w:val="auto"/>
              </w:rPr>
              <w:t>94,556</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42.30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15" w:lineRule="exact"/>
        <w:rPr>
          <w:sz w:val="20"/>
          <w:szCs w:val="20"/>
          <w:color w:val="auto"/>
        </w:rPr>
      </w:pPr>
    </w:p>
    <w:p>
      <w:pPr>
        <w:ind w:right="60" w:firstLine="139"/>
        <w:spacing w:after="0" w:line="311" w:lineRule="auto"/>
        <w:rPr>
          <w:sz w:val="20"/>
          <w:szCs w:val="20"/>
          <w:color w:val="auto"/>
        </w:rPr>
      </w:pPr>
      <w:r>
        <w:rPr>
          <w:rFonts w:ascii="Arial" w:cs="Arial" w:eastAsia="Arial" w:hAnsi="Arial"/>
          <w:sz w:val="14"/>
          <w:szCs w:val="14"/>
          <w:color w:val="auto"/>
        </w:rPr>
        <w:t>LivaNova’s effective income tax rate for the three and nine months ended September 30, 2023 was (268.4)% and 90.1%, respectively, compared with (1.2)% and (7.8)% for the three and nine months ended September 30, 2022, respectively.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48" w:lineRule="exact"/>
        <w:rPr>
          <w:sz w:val="20"/>
          <w:szCs w:val="20"/>
          <w:color w:val="auto"/>
        </w:rPr>
      </w:pPr>
    </w:p>
    <w:p>
      <w:pPr>
        <w:ind w:right="500" w:firstLine="139"/>
        <w:spacing w:after="0" w:line="291" w:lineRule="auto"/>
        <w:rPr>
          <w:sz w:val="20"/>
          <w:szCs w:val="20"/>
          <w:color w:val="auto"/>
        </w:rPr>
      </w:pPr>
      <w:r>
        <w:rPr>
          <w:rFonts w:ascii="Arial" w:cs="Arial" w:eastAsia="Arial" w:hAnsi="Arial"/>
          <w:sz w:val="15"/>
          <w:szCs w:val="15"/>
          <w:color w:val="auto"/>
        </w:rPr>
        <w:t>LivaNova continually assesses the realizability of its worldwide deferred tax asset and valuation allowance positions, and when the need arises, the Company establishes or releases valuation allowances accordingly.</w:t>
      </w:r>
    </w:p>
    <w:p>
      <w:pPr>
        <w:spacing w:after="0" w:line="58" w:lineRule="exact"/>
        <w:rPr>
          <w:sz w:val="20"/>
          <w:szCs w:val="20"/>
          <w:color w:val="auto"/>
        </w:rPr>
      </w:pPr>
    </w:p>
    <w:p>
      <w:pPr>
        <w:ind w:right="120" w:firstLine="139"/>
        <w:spacing w:after="0" w:line="280" w:lineRule="auto"/>
        <w:rPr>
          <w:sz w:val="20"/>
          <w:szCs w:val="20"/>
          <w:color w:val="auto"/>
        </w:rPr>
      </w:pPr>
      <w:r>
        <w:rPr>
          <w:rFonts w:ascii="Arial" w:cs="Arial" w:eastAsia="Arial" w:hAnsi="Arial"/>
          <w:sz w:val="15"/>
          <w:szCs w:val="15"/>
          <w:color w:val="auto"/>
        </w:rPr>
        <w:t>The decrease in the effective tax rate for the three months ended September 30, 2023, compared to the prior year period, was primarily attributable to changes in valuation allowances and year-over-year changes in income before tax in countries with varying statutory tax rates. The increase in the effective tax rate for the nine months ended September 30, 2023, compared to the prior year period, was primarily attributable to changes in valuation allowances, year-over-year changes in income before tax in countries with varying statutory tax rates and an audit settlement.</w:t>
      </w:r>
    </w:p>
    <w:p>
      <w:pPr>
        <w:spacing w:after="0" w:line="66" w:lineRule="exact"/>
        <w:rPr>
          <w:sz w:val="20"/>
          <w:szCs w:val="20"/>
          <w:color w:val="auto"/>
        </w:rPr>
      </w:pPr>
    </w:p>
    <w:p>
      <w:pPr>
        <w:jc w:val="both"/>
        <w:ind w:right="360" w:firstLine="139"/>
        <w:spacing w:after="0" w:line="282" w:lineRule="auto"/>
        <w:rPr>
          <w:sz w:val="20"/>
          <w:szCs w:val="20"/>
          <w:color w:val="auto"/>
        </w:rPr>
      </w:pPr>
      <w:r>
        <w:rPr>
          <w:rFonts w:ascii="Arial" w:cs="Arial" w:eastAsia="Arial" w:hAnsi="Arial"/>
          <w:sz w:val="15"/>
          <w:szCs w:val="15"/>
          <w:color w:val="auto"/>
        </w:rPr>
        <w:t>LivaNova operates in multiple jurisdictions throughout the world, and its tax returns are periodically audited or subjected to review by tax authorities. As a result, there is an uncertainty in income taxes recognized in LivaNova’s financial statements. Tax benefits totaling $0.4 million and $1.6 million were unrecognized as of September 30, 2023 and December 31, 2022, respectively.</w:t>
      </w:r>
    </w:p>
    <w:p>
      <w:pPr>
        <w:spacing w:after="0" w:line="54" w:lineRule="exact"/>
        <w:rPr>
          <w:sz w:val="20"/>
          <w:szCs w:val="20"/>
          <w:color w:val="auto"/>
        </w:rPr>
      </w:pPr>
    </w:p>
    <w:p>
      <w:pPr>
        <w:ind w:right="180" w:firstLine="139"/>
        <w:spacing w:after="0" w:line="277" w:lineRule="auto"/>
        <w:rPr>
          <w:sz w:val="20"/>
          <w:szCs w:val="20"/>
          <w:color w:val="auto"/>
        </w:rPr>
      </w:pPr>
      <w:r>
        <w:rPr>
          <w:rFonts w:ascii="Arial" w:cs="Arial" w:eastAsia="Arial" w:hAnsi="Arial"/>
          <w:sz w:val="15"/>
          <w:szCs w:val="15"/>
          <w:color w:val="auto"/>
        </w:rPr>
        <w:t>On July 11, 2023, the UK Act implemented the OECD’s BEPS Pillar Two Framework, providing a minimum effective tax rate of 15%, including both a multinational top-up tax and a domestic top-up tax for accounting periods beginning on or after December 31, 2023. The UK Act also included a transitional safe harbor election for accounting periods beginning on or before December 31, 2026. LivaNova is reviewing the draft guidance issued on June 15, 2023, and the UK Act to assess the full implications for 2024 and will continue to monitor related guidance in the UK and other jurisdictions that impact LivaNova’s operations. Any material change in tax laws, regulations or policies, or their interpretation and enforcement, including with respect to the Pillar Two Framework, could result in a higher effective tax rate and have a material impact on our consolidated statements of income (loss) or financial condition.</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Note 12. Earnings Per Share</w:t>
      </w:r>
    </w:p>
    <w:p>
      <w:pPr>
        <w:spacing w:after="0" w:line="103" w:lineRule="exact"/>
        <w:rPr>
          <w:sz w:val="20"/>
          <w:szCs w:val="20"/>
          <w:color w:val="auto"/>
        </w:rPr>
      </w:pPr>
    </w:p>
    <w:p>
      <w:pPr>
        <w:ind w:right="300" w:firstLine="139"/>
        <w:spacing w:after="0" w:line="294" w:lineRule="auto"/>
        <w:rPr>
          <w:sz w:val="20"/>
          <w:szCs w:val="20"/>
          <w:color w:val="auto"/>
        </w:rPr>
      </w:pPr>
      <w:r>
        <w:rPr>
          <w:rFonts w:ascii="Arial" w:cs="Arial" w:eastAsia="Arial" w:hAnsi="Arial"/>
          <w:sz w:val="15"/>
          <w:szCs w:val="15"/>
          <w:color w:val="auto"/>
        </w:rPr>
        <w:t>Reconciliation of the shares used in the basic and diluted earnings per share computations for the three and nine months ended September 30, 2023 and 2022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306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 September 30,</w:t>
            </w:r>
          </w:p>
        </w:tc>
        <w:tc>
          <w:tcPr>
            <w:tcW w:w="302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Nine Months Ended September 30,</w:t>
            </w:r>
          </w:p>
        </w:tc>
      </w:tr>
      <w:tr>
        <w:trPr>
          <w:trHeight w:val="189"/>
        </w:trPr>
        <w:tc>
          <w:tcPr>
            <w:tcW w:w="518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r>
      <w:tr>
        <w:trPr>
          <w:trHeight w:val="189"/>
        </w:trPr>
        <w:tc>
          <w:tcPr>
            <w:tcW w:w="5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shares outstanding</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53,989</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53,534</w:t>
            </w:r>
          </w:p>
        </w:tc>
        <w:tc>
          <w:tcPr>
            <w:tcW w:w="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53,837</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53,474</w:t>
            </w:r>
          </w:p>
        </w:tc>
      </w:tr>
      <w:tr>
        <w:trPr>
          <w:trHeight w:val="197"/>
        </w:trPr>
        <w:tc>
          <w:tcPr>
            <w:tcW w:w="5180" w:type="dxa"/>
            <w:vAlign w:val="bottom"/>
            <w:tcBorders>
              <w:bottom w:val="single" w:sz="8" w:color="CCEEFF"/>
            </w:tcBorders>
          </w:tcPr>
          <w:p>
            <w:pPr>
              <w:ind w:left="20"/>
              <w:spacing w:after="0" w:line="197" w:lineRule="exact"/>
              <w:rPr>
                <w:sz w:val="20"/>
                <w:szCs w:val="20"/>
                <w:color w:val="auto"/>
              </w:rPr>
            </w:pPr>
            <w:r>
              <w:rPr>
                <w:rFonts w:ascii="Arial" w:cs="Arial" w:eastAsia="Arial" w:hAnsi="Arial"/>
                <w:sz w:val="15"/>
                <w:szCs w:val="15"/>
                <w:color w:val="auto"/>
              </w:rPr>
              <w:t xml:space="preserve">Add effects of share-based compensation instruments </w:t>
            </w:r>
            <w:r>
              <w:rPr>
                <w:rFonts w:ascii="Arial" w:cs="Arial" w:eastAsia="Arial" w:hAnsi="Arial"/>
                <w:sz w:val="20"/>
                <w:szCs w:val="20"/>
                <w:color w:val="auto"/>
                <w:vertAlign w:val="superscript"/>
              </w:rPr>
              <w:t>(1)</w:t>
            </w: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270</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209"/>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Diluted weighted average shares outstanding</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53,989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53,534</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54,107</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53,474</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60" w:right="480" w:hanging="288"/>
        <w:spacing w:after="0" w:line="272" w:lineRule="auto"/>
        <w:tabs>
          <w:tab w:leader="none" w:pos="5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Excluded from the computation of diluted earnings per share were stock options, SARs and restricted share units totaling 4.0 million and 3.9 million for the three months ended September 30, 2023 and 2022, respectively, and 3.1 million and 4.0 million for the nine months ended September 30, 2023 and 2022, respectively, because to include them would have been anti-dilutive under the treasury stock method.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Geographic and Segment Information</w:t>
      </w:r>
    </w:p>
    <w:p>
      <w:pPr>
        <w:spacing w:after="0" w:line="115" w:lineRule="exact"/>
        <w:rPr>
          <w:sz w:val="20"/>
          <w:szCs w:val="20"/>
          <w:color w:val="auto"/>
        </w:rPr>
      </w:pPr>
    </w:p>
    <w:p>
      <w:pPr>
        <w:ind w:right="80" w:firstLine="139"/>
        <w:spacing w:after="0" w:line="282" w:lineRule="auto"/>
        <w:rPr>
          <w:sz w:val="20"/>
          <w:szCs w:val="20"/>
          <w:color w:val="auto"/>
        </w:rPr>
      </w:pPr>
      <w:r>
        <w:rPr>
          <w:rFonts w:ascii="Arial" w:cs="Arial" w:eastAsia="Arial" w:hAnsi="Arial"/>
          <w:sz w:val="15"/>
          <w:szCs w:val="15"/>
          <w:color w:val="auto"/>
        </w:rPr>
        <w:t>LivaNova identifies operating segments based on how it manages, evaluates and internally reports its business activities to allocate resources, develop and execute its strategy and assess performance. LivaNova has three reportable segments: Cardiopulmonary, Neuromodulation and ACS. Net revenue of the Company’s reportable segments includes revenues from the sale of products that each reportable segment develops and manufactures or distributes.</w:t>
      </w:r>
    </w:p>
    <w:p>
      <w:pPr>
        <w:spacing w:after="0" w:line="65" w:lineRule="exact"/>
        <w:rPr>
          <w:sz w:val="20"/>
          <w:szCs w:val="20"/>
          <w:color w:val="auto"/>
        </w:rPr>
      </w:pPr>
    </w:p>
    <w:p>
      <w:pPr>
        <w:ind w:right="840" w:firstLine="139"/>
        <w:spacing w:after="0" w:line="291" w:lineRule="auto"/>
        <w:rPr>
          <w:sz w:val="20"/>
          <w:szCs w:val="20"/>
          <w:color w:val="auto"/>
        </w:rPr>
      </w:pPr>
      <w:r>
        <w:rPr>
          <w:rFonts w:ascii="Arial" w:cs="Arial" w:eastAsia="Arial" w:hAnsi="Arial"/>
          <w:sz w:val="15"/>
          <w:szCs w:val="15"/>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58" w:lineRule="exact"/>
        <w:rPr>
          <w:sz w:val="20"/>
          <w:szCs w:val="20"/>
          <w:color w:val="auto"/>
        </w:rPr>
      </w:pPr>
    </w:p>
    <w:p>
      <w:pPr>
        <w:ind w:right="400" w:firstLine="139"/>
        <w:spacing w:after="0" w:line="335" w:lineRule="auto"/>
        <w:rPr>
          <w:sz w:val="20"/>
          <w:szCs w:val="20"/>
          <w:color w:val="auto"/>
        </w:rPr>
      </w:pPr>
      <w:r>
        <w:rPr>
          <w:rFonts w:ascii="Arial" w:cs="Arial" w:eastAsia="Arial" w:hAnsi="Arial"/>
          <w:sz w:val="13"/>
          <w:szCs w:val="13"/>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LivaNova’s former heart failure program, which, as previously disclosed, the Company began to wind down during the first quarter of 2023.</w:t>
      </w:r>
    </w:p>
    <w:p>
      <w:pPr>
        <w:spacing w:after="0" w:line="36" w:lineRule="exact"/>
        <w:rPr>
          <w:sz w:val="20"/>
          <w:szCs w:val="20"/>
          <w:color w:val="auto"/>
        </w:rPr>
      </w:pPr>
    </w:p>
    <w:p>
      <w:pPr>
        <w:ind w:right="300" w:firstLine="139"/>
        <w:spacing w:after="0" w:line="280" w:lineRule="auto"/>
        <w:rPr>
          <w:sz w:val="20"/>
          <w:szCs w:val="20"/>
          <w:color w:val="auto"/>
        </w:rPr>
      </w:pPr>
      <w:r>
        <w:rPr>
          <w:rFonts w:ascii="Arial" w:cs="Arial" w:eastAsia="Arial" w:hAnsi="Arial"/>
          <w:sz w:val="15"/>
          <w:szCs w:val="15"/>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LivaNova’s ACS segment also includes the Hemolung RAS, which was acquired in May 2022 as part of the acquisition of ALung.</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26" w:name="page27"/>
    <w:bookmarkEnd w:id="26"/>
    <w:p>
      <w:pPr>
        <w:ind w:right="540" w:firstLine="139"/>
        <w:spacing w:after="0" w:line="286" w:lineRule="auto"/>
        <w:rPr>
          <w:sz w:val="20"/>
          <w:szCs w:val="20"/>
          <w:color w:val="auto"/>
        </w:rPr>
      </w:pPr>
      <w:r>
        <w:rPr>
          <w:rFonts w:ascii="Arial" w:cs="Arial" w:eastAsia="Arial" w:hAnsi="Arial"/>
          <w:sz w:val="15"/>
          <w:szCs w:val="15"/>
          <w:color w:val="auto"/>
        </w:rPr>
        <w:t>LivaNova operates under three geographic regions: U.S., Europe, and Rest of World. The table below presents net revenue by operating segment and geographic region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60" w:type="dxa"/>
            <w:vAlign w:val="bottom"/>
            <w:gridSpan w:val="5"/>
          </w:tcPr>
          <w:p>
            <w:pPr>
              <w:ind w:left="300"/>
              <w:spacing w:after="0"/>
              <w:rPr>
                <w:sz w:val="20"/>
                <w:szCs w:val="20"/>
                <w:color w:val="auto"/>
              </w:rPr>
            </w:pPr>
            <w:r>
              <w:rPr>
                <w:rFonts w:ascii="Arial" w:cs="Arial" w:eastAsia="Arial" w:hAnsi="Arial"/>
                <w:sz w:val="15"/>
                <w:szCs w:val="15"/>
                <w:b w:val="1"/>
                <w:bCs w:val="1"/>
                <w:color w:val="auto"/>
              </w:rPr>
              <w:t>Three Months Ended September 30,</w:t>
            </w:r>
          </w:p>
        </w:tc>
        <w:tc>
          <w:tcPr>
            <w:tcW w:w="400" w:type="dxa"/>
            <w:vAlign w:val="bottom"/>
          </w:tcPr>
          <w:p>
            <w:pPr>
              <w:spacing w:after="0"/>
              <w:rPr>
                <w:sz w:val="17"/>
                <w:szCs w:val="17"/>
                <w:color w:val="auto"/>
              </w:rPr>
            </w:pPr>
          </w:p>
        </w:tc>
        <w:tc>
          <w:tcPr>
            <w:tcW w:w="3340" w:type="dxa"/>
            <w:vAlign w:val="bottom"/>
            <w:gridSpan w:val="4"/>
          </w:tcPr>
          <w:p>
            <w:pPr>
              <w:jc w:val="right"/>
              <w:ind w:right="643"/>
              <w:spacing w:after="0"/>
              <w:rPr>
                <w:sz w:val="20"/>
                <w:szCs w:val="20"/>
                <w:color w:val="auto"/>
              </w:rPr>
            </w:pPr>
            <w:r>
              <w:rPr>
                <w:rFonts w:ascii="Arial" w:cs="Arial" w:eastAsia="Arial" w:hAnsi="Arial"/>
                <w:sz w:val="15"/>
                <w:szCs w:val="15"/>
                <w:b w:val="1"/>
                <w:bCs w:val="1"/>
                <w:color w:val="auto"/>
              </w:rPr>
              <w:t>Nine Months Ended September 30,</w:t>
            </w:r>
          </w:p>
        </w:tc>
      </w:tr>
      <w:tr>
        <w:trPr>
          <w:trHeight w:val="189"/>
        </w:trPr>
        <w:tc>
          <w:tcPr>
            <w:tcW w:w="3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2022</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2022</w:t>
            </w:r>
          </w:p>
        </w:tc>
      </w:tr>
      <w:tr>
        <w:trPr>
          <w:trHeight w:val="189"/>
        </w:trPr>
        <w:tc>
          <w:tcPr>
            <w:tcW w:w="3580" w:type="dxa"/>
            <w:vAlign w:val="bottom"/>
          </w:tcPr>
          <w:p>
            <w:pPr>
              <w:spacing w:after="0"/>
              <w:rPr>
                <w:sz w:val="20"/>
                <w:szCs w:val="20"/>
                <w:color w:val="auto"/>
              </w:rPr>
            </w:pPr>
            <w:r>
              <w:rPr>
                <w:rFonts w:ascii="Arial" w:cs="Arial" w:eastAsia="Arial" w:hAnsi="Arial"/>
                <w:sz w:val="15"/>
                <w:szCs w:val="15"/>
                <w:b w:val="1"/>
                <w:bCs w:val="1"/>
                <w:color w:val="auto"/>
              </w:rPr>
              <w:t>Cardiopulmonary</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48,547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131,372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114,437</w:t>
            </w:r>
          </w:p>
        </w:tc>
      </w:tr>
      <w:tr>
        <w:trPr>
          <w:trHeight w:val="197"/>
        </w:trPr>
        <w:tc>
          <w:tcPr>
            <w:tcW w:w="3680" w:type="dxa"/>
            <w:vAlign w:val="bottom"/>
            <w:gridSpan w:val="2"/>
          </w:tcPr>
          <w:p>
            <w:pPr>
              <w:ind w:left="20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35,190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28,754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110,642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93,980</w:t>
            </w: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61,090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53,729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185,488</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155,437</w:t>
            </w:r>
          </w:p>
        </w:tc>
      </w:tr>
      <w:tr>
        <w:trPr>
          <w:trHeight w:val="189"/>
        </w:trPr>
        <w:tc>
          <w:tcPr>
            <w:tcW w:w="3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144,827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120,959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427,502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363,854</w:t>
            </w:r>
          </w:p>
        </w:tc>
      </w:tr>
      <w:tr>
        <w:trPr>
          <w:trHeight w:val="178"/>
        </w:trPr>
        <w:tc>
          <w:tcPr>
            <w:tcW w:w="368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Neuromodulation</w:t>
            </w: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97"/>
        </w:trPr>
        <w:tc>
          <w:tcPr>
            <w:tcW w:w="3680" w:type="dxa"/>
            <w:vAlign w:val="bottom"/>
            <w:gridSpan w:val="2"/>
          </w:tcPr>
          <w:p>
            <w:pPr>
              <w:ind w:left="200"/>
              <w:spacing w:after="0"/>
              <w:rPr>
                <w:sz w:val="20"/>
                <w:szCs w:val="20"/>
                <w:color w:val="auto"/>
              </w:rPr>
            </w:pPr>
            <w:r>
              <w:rPr>
                <w:rFonts w:ascii="Arial" w:cs="Arial" w:eastAsia="Arial" w:hAnsi="Arial"/>
                <w:sz w:val="15"/>
                <w:szCs w:val="15"/>
                <w:color w:val="auto"/>
              </w:rPr>
              <w:t>United States</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102,475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96,504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301,029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275,145</w:t>
            </w:r>
          </w:p>
        </w:tc>
      </w:tr>
      <w:tr>
        <w:trPr>
          <w:trHeight w:val="198"/>
        </w:trPr>
        <w:tc>
          <w:tcPr>
            <w:tcW w:w="3680" w:type="dxa"/>
            <w:vAlign w:val="bottom"/>
            <w:gridSpan w:val="2"/>
            <w:shd w:val="clear" w:color="auto" w:fill="CCEEFF"/>
          </w:tcPr>
          <w:p>
            <w:pPr>
              <w:ind w:left="200"/>
              <w:spacing w:after="0" w:line="198"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41,066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37,296</w:t>
            </w:r>
          </w:p>
        </w:tc>
      </w:tr>
      <w:tr>
        <w:trPr>
          <w:trHeight w:val="197"/>
        </w:trPr>
        <w:tc>
          <w:tcPr>
            <w:tcW w:w="3680" w:type="dxa"/>
            <w:vAlign w:val="bottom"/>
            <w:tcBorders>
              <w:bottom w:val="single" w:sz="8" w:color="CCEEFF"/>
            </w:tcBorders>
            <w:gridSpan w:val="2"/>
          </w:tcPr>
          <w:p>
            <w:pPr>
              <w:ind w:left="20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13,744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14,201</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40,689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37,416</w:t>
            </w:r>
          </w:p>
        </w:tc>
      </w:tr>
      <w:tr>
        <w:trPr>
          <w:trHeight w:val="189"/>
        </w:trPr>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128,880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121,835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382,784</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349,857</w:t>
            </w:r>
          </w:p>
        </w:tc>
      </w:tr>
      <w:tr>
        <w:trPr>
          <w:trHeight w:val="177"/>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Advanced Circulatory Support</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29,423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28,183</w:t>
            </w:r>
          </w:p>
        </w:tc>
      </w:tr>
      <w:tr>
        <w:trPr>
          <w:trHeight w:val="197"/>
        </w:trPr>
        <w:tc>
          <w:tcPr>
            <w:tcW w:w="3680" w:type="dxa"/>
            <w:vAlign w:val="bottom"/>
            <w:gridSpan w:val="2"/>
          </w:tcPr>
          <w:p>
            <w:pPr>
              <w:ind w:left="20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277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1,220</w:t>
            </w: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266</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w:t>
            </w:r>
          </w:p>
        </w:tc>
      </w:tr>
      <w:tr>
        <w:trPr>
          <w:trHeight w:val="189"/>
        </w:trPr>
        <w:tc>
          <w:tcPr>
            <w:tcW w:w="35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30,211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29,671</w:t>
            </w:r>
          </w:p>
        </w:tc>
      </w:tr>
      <w:tr>
        <w:trPr>
          <w:trHeight w:val="189"/>
        </w:trPr>
        <w:tc>
          <w:tcPr>
            <w:tcW w:w="3680" w:type="dxa"/>
            <w:vAlign w:val="bottom"/>
            <w:gridSpan w:val="2"/>
            <w:shd w:val="clear" w:color="auto" w:fill="CCEEFF"/>
          </w:tcPr>
          <w:p>
            <w:pPr>
              <w:spacing w:after="0" w:line="189" w:lineRule="exact"/>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20"/>
                <w:szCs w:val="20"/>
                <w:b w:val="1"/>
                <w:bCs w:val="1"/>
                <w:color w:val="auto"/>
                <w:vertAlign w:val="superscript"/>
              </w:rPr>
              <w:t>(2)</w:t>
            </w: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2,916</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3,549</w:t>
            </w:r>
          </w:p>
        </w:tc>
      </w:tr>
      <w:tr>
        <w:trPr>
          <w:trHeight w:val="177"/>
        </w:trPr>
        <w:tc>
          <w:tcPr>
            <w:tcW w:w="3680" w:type="dxa"/>
            <w:vAlign w:val="bottom"/>
            <w:gridSpan w:val="2"/>
          </w:tcPr>
          <w:p>
            <w:pPr>
              <w:spacing w:after="0"/>
              <w:rPr>
                <w:sz w:val="20"/>
                <w:szCs w:val="20"/>
                <w:color w:val="auto"/>
              </w:rPr>
            </w:pPr>
            <w:r>
              <w:rPr>
                <w:rFonts w:ascii="Arial" w:cs="Arial" w:eastAsia="Arial" w:hAnsi="Arial"/>
                <w:sz w:val="15"/>
                <w:szCs w:val="15"/>
                <w:b w:val="1"/>
                <w:bCs w:val="1"/>
                <w:color w:val="auto"/>
              </w:rPr>
              <w:t>Totals</w:t>
            </w: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United States</w:t>
            </w: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161,583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461,823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417,765</w:t>
            </w:r>
          </w:p>
        </w:tc>
      </w:tr>
      <w:tr>
        <w:trPr>
          <w:trHeight w:val="197"/>
        </w:trPr>
        <w:tc>
          <w:tcPr>
            <w:tcW w:w="3680" w:type="dxa"/>
            <w:vAlign w:val="bottom"/>
            <w:gridSpan w:val="2"/>
          </w:tcPr>
          <w:p>
            <w:pPr>
              <w:ind w:left="20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3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48,129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39,998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152,231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132,496</w:t>
            </w:r>
          </w:p>
        </w:tc>
      </w:tr>
      <w:tr>
        <w:trPr>
          <w:trHeight w:val="197"/>
        </w:trPr>
        <w:tc>
          <w:tcPr>
            <w:tcW w:w="36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Rest of World</w:t>
            </w:r>
          </w:p>
        </w:tc>
        <w:tc>
          <w:tcPr>
            <w:tcW w:w="3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76,401</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69,197</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229,359</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196,670</w:t>
            </w:r>
          </w:p>
        </w:tc>
      </w:tr>
      <w:tr>
        <w:trPr>
          <w:trHeight w:val="189"/>
        </w:trPr>
        <w:tc>
          <w:tcPr>
            <w:tcW w:w="3680" w:type="dxa"/>
            <w:vAlign w:val="bottom"/>
            <w:gridSpan w:val="2"/>
          </w:tcPr>
          <w:p>
            <w:pPr>
              <w:ind w:left="400"/>
              <w:spacing w:after="0" w:line="189"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(3)</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286,113</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252,605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843,413</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746,931</w:t>
            </w: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60" w:hanging="288"/>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countries in Europe where the Company has a direct sales presence. Countries where sales are made through distributors are included in “Rest of World.”</w:t>
      </w:r>
    </w:p>
    <w:p>
      <w:pPr>
        <w:spacing w:after="0" w:line="47" w:lineRule="exact"/>
        <w:rPr>
          <w:rFonts w:ascii="Arial" w:cs="Arial" w:eastAsia="Arial" w:hAnsi="Arial"/>
          <w:sz w:val="14"/>
          <w:szCs w:val="14"/>
          <w:color w:val="auto"/>
        </w:rPr>
      </w:pPr>
    </w:p>
    <w:p>
      <w:pPr>
        <w:ind w:left="560" w:hanging="288"/>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Other revenue primarily includes rental income not allocated to segments.</w:t>
      </w:r>
    </w:p>
    <w:p>
      <w:pPr>
        <w:spacing w:after="0" w:line="36" w:lineRule="exact"/>
        <w:rPr>
          <w:rFonts w:ascii="Arial" w:cs="Arial" w:eastAsia="Arial" w:hAnsi="Arial"/>
          <w:sz w:val="14"/>
          <w:szCs w:val="14"/>
          <w:color w:val="auto"/>
        </w:rPr>
      </w:pPr>
    </w:p>
    <w:p>
      <w:pPr>
        <w:ind w:left="560" w:right="580" w:hanging="288"/>
        <w:spacing w:after="0" w:line="285" w:lineRule="auto"/>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 single customer represented over 10% of the Company’s consolidated net revenue. No country’s net revenue exceeded 10% of the Company’s consolidated revenue except for the U.S.</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7" w:name="page28"/>
    <w:bookmarkEnd w:id="27"/>
    <w:p>
      <w:pPr>
        <w:ind w:right="20" w:firstLine="139"/>
        <w:spacing w:after="0" w:line="280" w:lineRule="auto"/>
        <w:rPr>
          <w:sz w:val="20"/>
          <w:szCs w:val="20"/>
          <w:color w:val="auto"/>
        </w:rPr>
      </w:pPr>
      <w:r>
        <w:rPr>
          <w:rFonts w:ascii="Arial" w:cs="Arial" w:eastAsia="Arial" w:hAnsi="Arial"/>
          <w:sz w:val="15"/>
          <w:szCs w:val="15"/>
          <w:color w:val="auto"/>
        </w:rPr>
        <w:t>LivaNova defines segment income as operating income before merger and integration expense, restructuring expense, amortization of intangible assets, the Saluggia site provision, as well as other income and expense not allocated to segments. Other income and expense not allocated to segments primarily includes rental income and SG&amp;A expenses for finance, legal, human resources, information technology and corporate business development. The table below presents a reconciliation of segment income (loss) to consolidated (loss) income before tax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5"/>
                <w:szCs w:val="15"/>
                <w:b w:val="1"/>
                <w:bCs w:val="1"/>
                <w:color w:val="auto"/>
              </w:rPr>
              <w:t>Three Months Ended September 30,</w:t>
            </w:r>
          </w:p>
        </w:tc>
        <w:tc>
          <w:tcPr>
            <w:tcW w:w="200" w:type="dxa"/>
            <w:vAlign w:val="bottom"/>
          </w:tcPr>
          <w:p>
            <w:pPr>
              <w:spacing w:after="0"/>
              <w:rPr>
                <w:sz w:val="17"/>
                <w:szCs w:val="17"/>
                <w:color w:val="auto"/>
              </w:rPr>
            </w:pPr>
          </w:p>
        </w:tc>
        <w:tc>
          <w:tcPr>
            <w:tcW w:w="2700" w:type="dxa"/>
            <w:vAlign w:val="bottom"/>
            <w:gridSpan w:val="4"/>
          </w:tcPr>
          <w:p>
            <w:pPr>
              <w:jc w:val="right"/>
              <w:ind w:right="223"/>
              <w:spacing w:after="0"/>
              <w:rPr>
                <w:sz w:val="20"/>
                <w:szCs w:val="20"/>
                <w:color w:val="auto"/>
              </w:rPr>
            </w:pPr>
            <w:r>
              <w:rPr>
                <w:rFonts w:ascii="Arial" w:cs="Arial" w:eastAsia="Arial" w:hAnsi="Arial"/>
                <w:sz w:val="15"/>
                <w:szCs w:val="15"/>
                <w:b w:val="1"/>
                <w:bCs w:val="1"/>
                <w:color w:val="auto"/>
                <w:w w:val="96"/>
              </w:rPr>
              <w:t>Nine Months Ended September 30,</w:t>
            </w:r>
          </w:p>
        </w:tc>
      </w:tr>
      <w:tr>
        <w:trPr>
          <w:trHeight w:val="189"/>
        </w:trPr>
        <w:tc>
          <w:tcPr>
            <w:tcW w:w="53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2022</w:t>
            </w: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Cardiopulmonary</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r>
      <w:tr>
        <w:trPr>
          <w:trHeight w:val="197"/>
        </w:trPr>
        <w:tc>
          <w:tcPr>
            <w:tcW w:w="5360" w:type="dxa"/>
            <w:vAlign w:val="bottom"/>
          </w:tcPr>
          <w:p>
            <w:pPr>
              <w:spacing w:after="0"/>
              <w:rPr>
                <w:sz w:val="20"/>
                <w:szCs w:val="20"/>
                <w:color w:val="auto"/>
              </w:rPr>
            </w:pPr>
            <w:r>
              <w:rPr>
                <w:rFonts w:ascii="Arial" w:cs="Arial" w:eastAsia="Arial" w:hAnsi="Arial"/>
                <w:sz w:val="15"/>
                <w:szCs w:val="15"/>
                <w:color w:val="auto"/>
              </w:rPr>
              <w:t>Neuromodulation</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41,930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43,281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107,084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132,119</w:t>
            </w:r>
          </w:p>
        </w:tc>
      </w:tr>
      <w:tr>
        <w:trPr>
          <w:trHeight w:val="198"/>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Advanced Circulatory Support</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(136,855)</w:t>
            </w:r>
          </w:p>
        </w:tc>
      </w:tr>
      <w:tr>
        <w:trPr>
          <w:trHeight w:val="189"/>
        </w:trPr>
        <w:tc>
          <w:tcPr>
            <w:tcW w:w="5360" w:type="dxa"/>
            <w:vAlign w:val="bottom"/>
          </w:tcPr>
          <w:p>
            <w:pPr>
              <w:spacing w:after="0"/>
              <w:rPr>
                <w:sz w:val="20"/>
                <w:szCs w:val="20"/>
                <w:color w:val="auto"/>
              </w:rPr>
            </w:pPr>
            <w:r>
              <w:rPr>
                <w:rFonts w:ascii="Arial" w:cs="Arial" w:eastAsia="Arial" w:hAnsi="Arial"/>
                <w:sz w:val="15"/>
                <w:szCs w:val="15"/>
                <w:color w:val="auto"/>
              </w:rPr>
              <w:t>Segment income (loss)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40,855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(101,945)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113,775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(4,521)</w:t>
            </w:r>
          </w:p>
        </w:tc>
      </w:tr>
      <w:tr>
        <w:trPr>
          <w:trHeight w:val="198"/>
        </w:trPr>
        <w:tc>
          <w:tcPr>
            <w:tcW w:w="5360" w:type="dxa"/>
            <w:vAlign w:val="bottom"/>
            <w:shd w:val="clear" w:color="auto" w:fill="CCEEFF"/>
          </w:tcPr>
          <w:p>
            <w:pPr>
              <w:spacing w:after="0" w:line="198" w:lineRule="exact"/>
              <w:rPr>
                <w:sz w:val="20"/>
                <w:szCs w:val="20"/>
                <w:color w:val="auto"/>
              </w:rPr>
            </w:pPr>
            <w:r>
              <w:rPr>
                <w:rFonts w:ascii="Arial" w:cs="Arial" w:eastAsia="Arial" w:hAnsi="Arial"/>
                <w:sz w:val="15"/>
                <w:szCs w:val="15"/>
                <w:color w:val="auto"/>
              </w:rPr>
              <w:t xml:space="preserve">Other income/(expense) </w:t>
            </w:r>
            <w:r>
              <w:rPr>
                <w:rFonts w:ascii="Arial" w:cs="Arial" w:eastAsia="Arial" w:hAnsi="Arial"/>
                <w:sz w:val="20"/>
                <w:szCs w:val="20"/>
                <w:color w:val="auto"/>
                <w:vertAlign w:val="superscript"/>
              </w:rPr>
              <w:t>(1)</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(36,397)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(30,028)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(94,283)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(86,191)</w:t>
            </w:r>
          </w:p>
        </w:tc>
      </w:tr>
      <w:tr>
        <w:trPr>
          <w:trHeight w:val="189"/>
        </w:trPr>
        <w:tc>
          <w:tcPr>
            <w:tcW w:w="5360" w:type="dxa"/>
            <w:vAlign w:val="bottom"/>
          </w:tcPr>
          <w:p>
            <w:pPr>
              <w:spacing w:after="0"/>
              <w:rPr>
                <w:sz w:val="20"/>
                <w:szCs w:val="20"/>
                <w:color w:val="auto"/>
              </w:rPr>
            </w:pPr>
            <w:r>
              <w:rPr>
                <w:rFonts w:ascii="Arial" w:cs="Arial" w:eastAsia="Arial" w:hAnsi="Arial"/>
                <w:sz w:val="15"/>
                <w:szCs w:val="15"/>
                <w:color w:val="auto"/>
              </w:rPr>
              <w:t>Operating income (loss)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4,458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(131,973)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19,492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(90,712)</w:t>
            </w:r>
          </w:p>
        </w:tc>
      </w:tr>
      <w:tr>
        <w:trPr>
          <w:trHeight w:val="198"/>
        </w:trPr>
        <w:tc>
          <w:tcPr>
            <w:tcW w:w="53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(14,986)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(43,232)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(34,889)</w:t>
            </w:r>
          </w:p>
        </w:tc>
      </w:tr>
      <w:tr>
        <w:trPr>
          <w:trHeight w:val="197"/>
        </w:trPr>
        <w:tc>
          <w:tcPr>
            <w:tcW w:w="53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Foreign exchange and other income/(expense)</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8,550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38,528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36,810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44,065</w:t>
            </w:r>
          </w:p>
        </w:tc>
      </w:tr>
      <w:tr>
        <w:trPr>
          <w:trHeight w:val="214"/>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(Loss) income before tax</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(106,106)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13,070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(81,536)</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60" w:right="480" w:hanging="288"/>
        <w:spacing w:after="0" w:line="285" w:lineRule="auto"/>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income/(expense) primarily includes rental income, SG&amp;A expenses for finance, legal, human resources, information technology and corporate business development, as well as amortization of intangible assets, the Saluggia site provision, merger and integration expense and restructuring expense.</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 by segment are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3"/>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8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Cardiopulmonary</w:t>
            </w:r>
          </w:p>
        </w:tc>
        <w:tc>
          <w:tcPr>
            <w:tcW w:w="1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934,188</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874,143</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Arial" w:cs="Arial" w:eastAsia="Arial" w:hAnsi="Arial"/>
                <w:sz w:val="15"/>
                <w:szCs w:val="15"/>
                <w:color w:val="auto"/>
              </w:rPr>
              <w:t>Neuromodulation</w:t>
            </w: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643,459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646,633</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Advanced Circulatory Support</w:t>
            </w:r>
          </w:p>
        </w:tc>
        <w:tc>
          <w:tcPr>
            <w:tcW w:w="1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115,881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121,454</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spacing w:after="0" w:line="197" w:lineRule="exact"/>
              <w:rPr>
                <w:sz w:val="20"/>
                <w:szCs w:val="20"/>
                <w:color w:val="auto"/>
              </w:rPr>
            </w:pPr>
            <w:r>
              <w:rPr>
                <w:rFonts w:ascii="Arial" w:cs="Arial" w:eastAsia="Arial" w:hAnsi="Arial"/>
                <w:sz w:val="15"/>
                <w:szCs w:val="15"/>
                <w:color w:val="auto"/>
              </w:rPr>
              <w:t xml:space="preserve">Other assets </w:t>
            </w:r>
            <w:r>
              <w:rPr>
                <w:rFonts w:ascii="Arial" w:cs="Arial" w:eastAsia="Arial" w:hAnsi="Arial"/>
                <w:sz w:val="20"/>
                <w:szCs w:val="20"/>
                <w:color w:val="auto"/>
                <w:vertAlign w:val="superscript"/>
              </w:rPr>
              <w:t>(1)</w:t>
            </w:r>
          </w:p>
        </w:tc>
        <w:tc>
          <w:tcPr>
            <w:tcW w:w="15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635,889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652,543</w:t>
            </w:r>
          </w:p>
        </w:tc>
        <w:tc>
          <w:tcPr>
            <w:tcW w:w="0" w:type="dxa"/>
            <w:vAlign w:val="bottom"/>
          </w:tcPr>
          <w:p>
            <w:pPr>
              <w:spacing w:after="0"/>
              <w:rPr>
                <w:sz w:val="1"/>
                <w:szCs w:val="1"/>
                <w:color w:val="auto"/>
              </w:rPr>
            </w:pPr>
          </w:p>
        </w:tc>
      </w:tr>
      <w:tr>
        <w:trPr>
          <w:trHeight w:val="21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5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2,329,417</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2,294,773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Arial" w:cs="Arial" w:eastAsia="Arial" w:hAnsi="Arial"/>
                <w:sz w:val="14"/>
                <w:szCs w:val="14"/>
                <w:color w:val="auto"/>
                <w:w w:val="89"/>
              </w:rPr>
              <w:t>(1)  Other assets primarily includes corporate assets not allocated to segments.</w:t>
            </w: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47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700" w:type="dxa"/>
            <w:vAlign w:val="bottom"/>
            <w:gridSpan w:val="2"/>
          </w:tcPr>
          <w:p>
            <w:pPr>
              <w:ind w:left="140"/>
              <w:spacing w:after="0"/>
              <w:rPr>
                <w:sz w:val="20"/>
                <w:szCs w:val="20"/>
                <w:color w:val="auto"/>
              </w:rPr>
            </w:pPr>
            <w:r>
              <w:rPr>
                <w:rFonts w:ascii="Arial" w:cs="Arial" w:eastAsia="Arial" w:hAnsi="Arial"/>
                <w:sz w:val="15"/>
                <w:szCs w:val="15"/>
                <w:color w:val="auto"/>
              </w:rPr>
              <w:t>Capital expenditures by segment are as follows (in thousands):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5"/>
                <w:szCs w:val="15"/>
                <w:b w:val="1"/>
                <w:bCs w:val="1"/>
                <w:color w:val="auto"/>
              </w:rPr>
              <w:t>Three Months Ended September 30,</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5"/>
          </w:tcPr>
          <w:p>
            <w:pPr>
              <w:jc w:val="right"/>
              <w:ind w:right="783"/>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2023</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2023</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2022</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Cardiopulmonary</w:t>
            </w:r>
          </w:p>
        </w:tc>
        <w:tc>
          <w:tcPr>
            <w:tcW w:w="1520" w:type="dxa"/>
            <w:vAlign w:val="bottom"/>
            <w:shd w:val="clear" w:color="auto" w:fill="CCEEFF"/>
          </w:tcPr>
          <w:p>
            <w:pPr>
              <w:jc w:val="right"/>
              <w:ind w:right="13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4,103</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7,337</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Arial" w:cs="Arial" w:eastAsia="Arial" w:hAnsi="Arial"/>
                <w:sz w:val="15"/>
                <w:szCs w:val="15"/>
                <w:color w:val="auto"/>
              </w:rPr>
              <w:t>Neuromodulation</w:t>
            </w:r>
          </w:p>
        </w:tc>
        <w:tc>
          <w:tcPr>
            <w:tcW w:w="15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1,089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322</w:t>
            </w:r>
          </w:p>
        </w:tc>
        <w:tc>
          <w:tcPr>
            <w:tcW w:w="0" w:type="dxa"/>
            <w:vAlign w:val="bottom"/>
          </w:tcPr>
          <w:p>
            <w:pPr>
              <w:spacing w:after="0"/>
              <w:rPr>
                <w:sz w:val="1"/>
                <w:szCs w:val="1"/>
                <w:color w:val="auto"/>
              </w:rPr>
            </w:pPr>
          </w:p>
        </w:tc>
      </w:tr>
      <w:tr>
        <w:trPr>
          <w:trHeight w:val="198"/>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Advanced Circulatory Support</w:t>
            </w:r>
          </w:p>
        </w:tc>
        <w:tc>
          <w:tcPr>
            <w:tcW w:w="15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1,273</w:t>
            </w:r>
          </w:p>
        </w:tc>
        <w:tc>
          <w:tcPr>
            <w:tcW w:w="0" w:type="dxa"/>
            <w:vAlign w:val="bottom"/>
          </w:tcPr>
          <w:p>
            <w:pPr>
              <w:spacing w:after="0"/>
              <w:rPr>
                <w:sz w:val="1"/>
                <w:szCs w:val="1"/>
                <w:color w:val="auto"/>
              </w:rPr>
            </w:pPr>
          </w:p>
        </w:tc>
      </w:tr>
      <w:tr>
        <w:trPr>
          <w:trHeight w:val="197"/>
        </w:trPr>
        <w:tc>
          <w:tcPr>
            <w:tcW w:w="3180" w:type="dxa"/>
            <w:vAlign w:val="bottom"/>
            <w:tcBorders>
              <w:bottom w:val="single" w:sz="8" w:color="CCEEFF"/>
            </w:tcBorders>
          </w:tcPr>
          <w:p>
            <w:pPr>
              <w:spacing w:after="0" w:line="197" w:lineRule="exact"/>
              <w:rPr>
                <w:sz w:val="20"/>
                <w:szCs w:val="20"/>
                <w:color w:val="auto"/>
              </w:rPr>
            </w:pPr>
            <w:r>
              <w:rPr>
                <w:rFonts w:ascii="Arial" w:cs="Arial" w:eastAsia="Arial" w:hAnsi="Arial"/>
                <w:sz w:val="15"/>
                <w:szCs w:val="15"/>
                <w:color w:val="auto"/>
              </w:rPr>
              <w:t xml:space="preserve">Other capital expenditures </w:t>
            </w:r>
            <w:r>
              <w:rPr>
                <w:rFonts w:ascii="Arial" w:cs="Arial" w:eastAsia="Arial" w:hAnsi="Arial"/>
                <w:sz w:val="20"/>
                <w:szCs w:val="20"/>
                <w:color w:val="auto"/>
                <w:vertAlign w:val="superscript"/>
              </w:rPr>
              <w:t>(1)</w:t>
            </w:r>
          </w:p>
        </w:tc>
        <w:tc>
          <w:tcPr>
            <w:tcW w:w="1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0"/>
              </w:rPr>
              <w:t>3,261</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2,852</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8,489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8,439</w:t>
            </w:r>
          </w:p>
        </w:tc>
        <w:tc>
          <w:tcPr>
            <w:tcW w:w="0" w:type="dxa"/>
            <w:vAlign w:val="bottom"/>
          </w:tcPr>
          <w:p>
            <w:pPr>
              <w:spacing w:after="0"/>
              <w:rPr>
                <w:sz w:val="1"/>
                <w:szCs w:val="1"/>
                <w:color w:val="auto"/>
              </w:rPr>
            </w:pPr>
          </w:p>
        </w:tc>
      </w:tr>
      <w:tr>
        <w:trPr>
          <w:trHeight w:val="214"/>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Total</w:t>
            </w:r>
          </w:p>
        </w:tc>
        <w:tc>
          <w:tcPr>
            <w:tcW w:w="1520" w:type="dxa"/>
            <w:vAlign w:val="bottom"/>
            <w:tcBorders>
              <w:bottom w:val="single" w:sz="8" w:color="auto"/>
            </w:tcBorders>
            <w:shd w:val="clear" w:color="auto" w:fill="CCEEFF"/>
          </w:tcPr>
          <w:p>
            <w:pPr>
              <w:jc w:val="right"/>
              <w:ind w:right="136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0"/>
              </w:rPr>
              <w:t>8,182</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5,928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22,088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17,371</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Other capital expenditures primarily includes corporate capital expenditures not allocated to segments.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changes in the carrying amount of goodwill by segment for the nine months ended September 30, 2023 were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Arial" w:cs="Arial" w:eastAsia="Arial" w:hAnsi="Arial"/>
                <w:sz w:val="15"/>
                <w:szCs w:val="15"/>
                <w:b w:val="1"/>
                <w:bCs w:val="1"/>
                <w:color w:val="auto"/>
              </w:rPr>
              <w:t>Cardiopulmonary</w:t>
            </w:r>
          </w:p>
        </w:tc>
        <w:tc>
          <w:tcPr>
            <w:tcW w:w="260" w:type="dxa"/>
            <w:vAlign w:val="bottom"/>
          </w:tcPr>
          <w:p>
            <w:pPr>
              <w:spacing w:after="0"/>
              <w:rPr>
                <w:sz w:val="17"/>
                <w:szCs w:val="17"/>
                <w:color w:val="auto"/>
              </w:rPr>
            </w:pPr>
          </w:p>
        </w:tc>
        <w:tc>
          <w:tcPr>
            <w:tcW w:w="1800" w:type="dxa"/>
            <w:vAlign w:val="bottom"/>
            <w:gridSpan w:val="2"/>
          </w:tcPr>
          <w:p>
            <w:pPr>
              <w:ind w:left="140"/>
              <w:spacing w:after="0"/>
              <w:rPr>
                <w:sz w:val="20"/>
                <w:szCs w:val="20"/>
                <w:color w:val="auto"/>
              </w:rPr>
            </w:pPr>
            <w:r>
              <w:rPr>
                <w:rFonts w:ascii="Arial" w:cs="Arial" w:eastAsia="Arial" w:hAnsi="Arial"/>
                <w:sz w:val="15"/>
                <w:szCs w:val="15"/>
                <w:b w:val="1"/>
                <w:bCs w:val="1"/>
                <w:color w:val="auto"/>
              </w:rPr>
              <w:t>Neuromodulation</w:t>
            </w:r>
          </w:p>
        </w:tc>
        <w:tc>
          <w:tcPr>
            <w:tcW w:w="440" w:type="dxa"/>
            <w:vAlign w:val="bottom"/>
          </w:tcPr>
          <w:p>
            <w:pPr>
              <w:spacing w:after="0"/>
              <w:rPr>
                <w:sz w:val="17"/>
                <w:szCs w:val="17"/>
                <w:color w:val="auto"/>
              </w:rPr>
            </w:pPr>
          </w:p>
        </w:tc>
        <w:tc>
          <w:tcPr>
            <w:tcW w:w="1520" w:type="dxa"/>
            <w:vAlign w:val="bottom"/>
          </w:tcPr>
          <w:p>
            <w:pPr>
              <w:jc w:val="right"/>
              <w:ind w:right="743"/>
              <w:spacing w:after="0"/>
              <w:rPr>
                <w:sz w:val="20"/>
                <w:szCs w:val="20"/>
                <w:color w:val="auto"/>
              </w:rPr>
            </w:pPr>
            <w:r>
              <w:rPr>
                <w:rFonts w:ascii="Arial" w:cs="Arial" w:eastAsia="Arial" w:hAnsi="Arial"/>
                <w:sz w:val="15"/>
                <w:szCs w:val="15"/>
                <w:b w:val="1"/>
                <w:bCs w:val="1"/>
                <w:color w:val="auto"/>
              </w:rPr>
              <w:t>Total</w:t>
            </w:r>
          </w:p>
        </w:tc>
      </w:tr>
      <w:tr>
        <w:trPr>
          <w:trHeight w:val="189"/>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2022</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370,033</w:t>
            </w: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398,754</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768,787</w:t>
            </w:r>
          </w:p>
        </w:tc>
      </w:tr>
      <w:tr>
        <w:trPr>
          <w:trHeight w:val="197"/>
        </w:trPr>
        <w:tc>
          <w:tcPr>
            <w:tcW w:w="5200" w:type="dxa"/>
            <w:vAlign w:val="bottom"/>
          </w:tcPr>
          <w:p>
            <w:pPr>
              <w:spacing w:after="0"/>
              <w:rPr>
                <w:sz w:val="20"/>
                <w:szCs w:val="20"/>
                <w:color w:val="auto"/>
              </w:rPr>
            </w:pPr>
            <w:r>
              <w:rPr>
                <w:rFonts w:ascii="Arial" w:cs="Arial" w:eastAsia="Arial" w:hAnsi="Arial"/>
                <w:sz w:val="15"/>
                <w:szCs w:val="15"/>
                <w:color w:val="auto"/>
              </w:rPr>
              <w:t>Foreign currency adjustments</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(1,732)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(1,732)</w:t>
            </w:r>
          </w:p>
        </w:tc>
      </w:tr>
      <w:tr>
        <w:trPr>
          <w:trHeight w:val="214"/>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September 30, 2023</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368,301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398,754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767,055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83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1303"/>
              <w:spacing w:after="0"/>
              <w:rPr>
                <w:sz w:val="20"/>
                <w:szCs w:val="20"/>
                <w:color w:val="auto"/>
              </w:rPr>
            </w:pPr>
            <w:r>
              <w:rPr>
                <w:rFonts w:ascii="Arial" w:cs="Arial" w:eastAsia="Arial" w:hAnsi="Arial"/>
                <w:sz w:val="15"/>
                <w:szCs w:val="15"/>
                <w:color w:val="auto"/>
              </w:rPr>
              <w:t>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52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96"/>
        </w:trPr>
        <w:tc>
          <w:tcPr>
            <w:tcW w:w="7240" w:type="dxa"/>
            <w:vAlign w:val="bottom"/>
          </w:tcPr>
          <w:p>
            <w:pPr>
              <w:ind w:left="140"/>
              <w:spacing w:after="0"/>
              <w:rPr>
                <w:sz w:val="20"/>
                <w:szCs w:val="20"/>
                <w:color w:val="auto"/>
              </w:rPr>
            </w:pPr>
            <w:r>
              <w:rPr>
                <w:rFonts w:ascii="Arial" w:cs="Arial" w:eastAsia="Arial" w:hAnsi="Arial"/>
                <w:sz w:val="15"/>
                <w:szCs w:val="15"/>
                <w:color w:val="auto"/>
              </w:rPr>
              <w:t>Property, plant and equipment, net by geography are as follows (in thousands):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20"/>
                <w:szCs w:val="20"/>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United States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67,346</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63,458</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Europe</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77,319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79,654</w:t>
            </w: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4,637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4,075</w:t>
            </w:r>
          </w:p>
        </w:tc>
      </w:tr>
      <w:tr>
        <w:trPr>
          <w:trHeight w:val="189"/>
        </w:trPr>
        <w:tc>
          <w:tcPr>
            <w:tcW w:w="7240" w:type="dxa"/>
            <w:vAlign w:val="bottom"/>
          </w:tcPr>
          <w:p>
            <w:pPr>
              <w:spacing w:after="0"/>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149,302</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147,187</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Supplemental Financial Information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40" w:type="dxa"/>
            <w:vAlign w:val="bottom"/>
          </w:tcPr>
          <w:p>
            <w:pPr>
              <w:ind w:left="140"/>
              <w:spacing w:after="0"/>
              <w:rPr>
                <w:sz w:val="20"/>
                <w:szCs w:val="20"/>
                <w:color w:val="auto"/>
              </w:rPr>
            </w:pPr>
            <w:r>
              <w:rPr>
                <w:rFonts w:ascii="Arial" w:cs="Arial" w:eastAsia="Arial" w:hAnsi="Arial"/>
                <w:sz w:val="15"/>
                <w:szCs w:val="15"/>
                <w:color w:val="auto"/>
              </w:rPr>
              <w:t>Inventories consisted of the following (in thousands):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1"/>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Raw materials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90,953</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70,027</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Work-in-process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17,919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15,508</w:t>
            </w: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52,667</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43,844</w:t>
            </w:r>
          </w:p>
        </w:tc>
      </w:tr>
      <w:tr>
        <w:trPr>
          <w:trHeight w:val="189"/>
        </w:trPr>
        <w:tc>
          <w:tcPr>
            <w:tcW w:w="724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161,539</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129,379</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40" w:firstLine="139"/>
        <w:spacing w:after="0" w:line="307" w:lineRule="auto"/>
        <w:rPr>
          <w:sz w:val="20"/>
          <w:szCs w:val="20"/>
          <w:color w:val="auto"/>
        </w:rPr>
      </w:pPr>
      <w:r>
        <w:rPr>
          <w:rFonts w:ascii="Arial" w:cs="Arial" w:eastAsia="Arial" w:hAnsi="Arial"/>
          <w:sz w:val="15"/>
          <w:szCs w:val="15"/>
          <w:color w:val="auto"/>
        </w:rPr>
        <w:t>As of September 30, 2023 and December 31, 2022, inventories included adjustments totaling $11.6 million and $8.2 million, respectively, to record balances at lower of cost or net realizable value.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40" w:type="dxa"/>
            <w:vAlign w:val="bottom"/>
          </w:tcPr>
          <w:p>
            <w:pPr>
              <w:ind w:left="140"/>
              <w:spacing w:after="0"/>
              <w:rPr>
                <w:sz w:val="20"/>
                <w:szCs w:val="20"/>
                <w:color w:val="auto"/>
              </w:rPr>
            </w:pPr>
            <w:r>
              <w:rPr>
                <w:rFonts w:ascii="Arial" w:cs="Arial" w:eastAsia="Arial" w:hAnsi="Arial"/>
                <w:sz w:val="15"/>
                <w:szCs w:val="15"/>
                <w:color w:val="auto"/>
              </w:rPr>
              <w:t>Accrued liabilities and other consisted of the following (in thousands):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7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20"/>
                <w:szCs w:val="20"/>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Legal and professional costs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15,299</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8,653</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Contract liabilities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10,969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10,226</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Interest payable</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9,961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8,560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9,379</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Italian medical device payback law</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7,586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6,414</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Research and development costs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5,860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7,020</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Royalty accrual</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4,172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3,950</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Provisions for agents, returns and other</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3,607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1,678</w:t>
            </w:r>
          </w:p>
        </w:tc>
      </w:tr>
      <w:tr>
        <w:trPr>
          <w:trHeight w:val="198"/>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Restructuring liabilities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1,285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2,045</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Current derivative liabilities</w:t>
            </w:r>
          </w:p>
        </w:tc>
        <w:tc>
          <w:tcPr>
            <w:tcW w:w="220" w:type="dxa"/>
            <w:vAlign w:val="bottom"/>
          </w:tcPr>
          <w:p>
            <w:pPr>
              <w:spacing w:after="0"/>
              <w:rPr>
                <w:sz w:val="17"/>
                <w:szCs w:val="17"/>
                <w:color w:val="auto"/>
              </w:rPr>
            </w:pP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207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5,886</w:t>
            </w: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22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22,174</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26,230</w:t>
            </w:r>
          </w:p>
        </w:tc>
      </w:tr>
      <w:tr>
        <w:trPr>
          <w:trHeight w:val="189"/>
        </w:trPr>
        <w:tc>
          <w:tcPr>
            <w:tcW w:w="724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89,680</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81,481</w:t>
            </w:r>
          </w:p>
        </w:tc>
      </w:tr>
      <w:tr>
        <w:trPr>
          <w:trHeight w:val="20"/>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20" w:firstLine="139"/>
        <w:spacing w:after="0" w:line="291" w:lineRule="auto"/>
        <w:rPr>
          <w:sz w:val="20"/>
          <w:szCs w:val="20"/>
          <w:color w:val="auto"/>
        </w:rPr>
      </w:pPr>
      <w:r>
        <w:rPr>
          <w:rFonts w:ascii="Arial" w:cs="Arial" w:eastAsia="Arial" w:hAnsi="Arial"/>
          <w:sz w:val="15"/>
          <w:szCs w:val="15"/>
          <w:color w:val="auto"/>
        </w:rPr>
        <w:t>As of September 30, 2023 and December 31, 2022, contract liabilities totaling $15.3 million and $14.1 million, respectively, were included within accrued liabilities and other long-term liabilities on the condensed consolidated balance sheets.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table below presents the items included within “Foreign exchange and other income/(expense)” on the condensed consolidated statements of income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20" w:type="dxa"/>
            <w:vAlign w:val="bottom"/>
          </w:tcPr>
          <w:p>
            <w:pPr>
              <w:spacing w:after="0"/>
              <w:rPr>
                <w:sz w:val="17"/>
                <w:szCs w:val="17"/>
                <w:color w:val="auto"/>
              </w:rPr>
            </w:pPr>
          </w:p>
        </w:tc>
        <w:tc>
          <w:tcPr>
            <w:tcW w:w="3100" w:type="dxa"/>
            <w:vAlign w:val="bottom"/>
            <w:gridSpan w:val="6"/>
          </w:tcPr>
          <w:p>
            <w:pPr>
              <w:ind w:left="300"/>
              <w:spacing w:after="0"/>
              <w:rPr>
                <w:sz w:val="20"/>
                <w:szCs w:val="20"/>
                <w:color w:val="auto"/>
              </w:rPr>
            </w:pPr>
            <w:r>
              <w:rPr>
                <w:rFonts w:ascii="Arial" w:cs="Arial" w:eastAsia="Arial" w:hAnsi="Arial"/>
                <w:sz w:val="15"/>
                <w:szCs w:val="15"/>
                <w:b w:val="1"/>
                <w:bCs w:val="1"/>
                <w:color w:val="auto"/>
              </w:rPr>
              <w:t>Three Months Ended September 30,</w:t>
            </w:r>
          </w:p>
        </w:tc>
        <w:tc>
          <w:tcPr>
            <w:tcW w:w="240" w:type="dxa"/>
            <w:vAlign w:val="bottom"/>
          </w:tcPr>
          <w:p>
            <w:pPr>
              <w:spacing w:after="0"/>
              <w:rPr>
                <w:sz w:val="17"/>
                <w:szCs w:val="17"/>
                <w:color w:val="auto"/>
              </w:rPr>
            </w:pPr>
          </w:p>
        </w:tc>
        <w:tc>
          <w:tcPr>
            <w:tcW w:w="2800" w:type="dxa"/>
            <w:vAlign w:val="bottom"/>
            <w:gridSpan w:val="4"/>
          </w:tcPr>
          <w:p>
            <w:pPr>
              <w:jc w:val="right"/>
              <w:ind w:right="283"/>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189"/>
        </w:trPr>
        <w:tc>
          <w:tcPr>
            <w:tcW w:w="512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2023</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5"/>
                <w:szCs w:val="15"/>
                <w:color w:val="auto"/>
              </w:rPr>
              <w:t xml:space="preserve">Exchangeable Notes fair value adjustment </w:t>
            </w:r>
            <w:r>
              <w:rPr>
                <w:rFonts w:ascii="Arial" w:cs="Arial" w:eastAsia="Arial" w:hAnsi="Arial"/>
                <w:sz w:val="20"/>
                <w:szCs w:val="20"/>
                <w:color w:val="auto"/>
                <w:vertAlign w:val="superscript"/>
              </w:rPr>
              <w:t>(1)</w:t>
            </w:r>
          </w:p>
        </w:tc>
        <w:tc>
          <w:tcPr>
            <w:tcW w:w="96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50,945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32,372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98,555</w:t>
            </w:r>
          </w:p>
        </w:tc>
      </w:tr>
      <w:tr>
        <w:trPr>
          <w:trHeight w:val="197"/>
        </w:trPr>
        <w:tc>
          <w:tcPr>
            <w:tcW w:w="5120" w:type="dxa"/>
            <w:vAlign w:val="bottom"/>
          </w:tcPr>
          <w:p>
            <w:pPr>
              <w:spacing w:after="0" w:line="197" w:lineRule="exact"/>
              <w:rPr>
                <w:sz w:val="20"/>
                <w:szCs w:val="20"/>
                <w:color w:val="auto"/>
              </w:rPr>
            </w:pPr>
            <w:r>
              <w:rPr>
                <w:rFonts w:ascii="Arial" w:cs="Arial" w:eastAsia="Arial" w:hAnsi="Arial"/>
                <w:sz w:val="15"/>
                <w:szCs w:val="15"/>
                <w:color w:val="auto"/>
              </w:rPr>
              <w:t xml:space="preserve">Capped call fair value adjustment </w:t>
            </w:r>
            <w:r>
              <w:rPr>
                <w:rFonts w:ascii="Arial" w:cs="Arial" w:eastAsia="Arial" w:hAnsi="Arial"/>
                <w:sz w:val="20"/>
                <w:szCs w:val="20"/>
                <w:color w:val="auto"/>
                <w:vertAlign w:val="superscript"/>
              </w:rPr>
              <w:t>(1)</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1,635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(10,724)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(58,406)</w:t>
            </w: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rate fluctuations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3,707</w:t>
            </w:r>
          </w:p>
        </w:tc>
      </w:tr>
      <w:tr>
        <w:trPr>
          <w:trHeight w:val="197"/>
        </w:trPr>
        <w:tc>
          <w:tcPr>
            <w:tcW w:w="5120" w:type="dxa"/>
            <w:vAlign w:val="bottom"/>
          </w:tcPr>
          <w:p>
            <w:pPr>
              <w:spacing w:after="0"/>
              <w:rPr>
                <w:sz w:val="20"/>
                <w:szCs w:val="20"/>
                <w:color w:val="auto"/>
              </w:rPr>
            </w:pPr>
            <w:r>
              <w:rPr>
                <w:rFonts w:ascii="Arial" w:cs="Arial" w:eastAsia="Arial" w:hAnsi="Arial"/>
                <w:sz w:val="15"/>
                <w:szCs w:val="15"/>
                <w:color w:val="auto"/>
              </w:rPr>
              <w:t>Interest income</w:t>
            </w:r>
          </w:p>
        </w:tc>
        <w:tc>
          <w:tcPr>
            <w:tcW w:w="9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5,921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15,985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624</w:t>
            </w:r>
          </w:p>
        </w:tc>
      </w:tr>
      <w:tr>
        <w:trPr>
          <w:trHeight w:val="197"/>
        </w:trPr>
        <w:tc>
          <w:tcPr>
            <w:tcW w:w="512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9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r>
      <w:tr>
        <w:trPr>
          <w:trHeight w:val="189"/>
        </w:trPr>
        <w:tc>
          <w:tcPr>
            <w:tcW w:w="5120" w:type="dxa"/>
            <w:vAlign w:val="bottom"/>
          </w:tcPr>
          <w:p>
            <w:pPr>
              <w:spacing w:after="0"/>
              <w:rPr>
                <w:sz w:val="20"/>
                <w:szCs w:val="20"/>
                <w:color w:val="auto"/>
              </w:rPr>
            </w:pPr>
            <w:r>
              <w:rPr>
                <w:rFonts w:ascii="Arial" w:cs="Arial" w:eastAsia="Arial" w:hAnsi="Arial"/>
                <w:sz w:val="15"/>
                <w:szCs w:val="15"/>
                <w:color w:val="auto"/>
              </w:rPr>
              <w:t>Foreign exchange and other income/(expense)</w:t>
            </w:r>
          </w:p>
        </w:tc>
        <w:tc>
          <w:tcPr>
            <w:tcW w:w="960" w:type="dxa"/>
            <w:vAlign w:val="bottom"/>
            <w:tcBorders>
              <w:bottom w:val="single" w:sz="8" w:color="auto"/>
            </w:tcBorders>
          </w:tcPr>
          <w:p>
            <w:pPr>
              <w:jc w:val="right"/>
              <w:ind w:right="803"/>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8,550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38,528</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36,810</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44,065</w:t>
            </w:r>
          </w:p>
        </w:tc>
      </w:tr>
      <w:tr>
        <w:trPr>
          <w:trHeight w:val="20"/>
        </w:trPr>
        <w:tc>
          <w:tcPr>
            <w:tcW w:w="5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Refer to “Note 5. Fair Value Measurements”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29" w:name="page30"/>
    <w:bookmarkEnd w:id="29"/>
    <w:p>
      <w:pPr>
        <w:ind w:right="180" w:firstLine="139"/>
        <w:spacing w:after="0" w:line="286" w:lineRule="auto"/>
        <w:rPr>
          <w:sz w:val="20"/>
          <w:szCs w:val="20"/>
          <w:color w:val="auto"/>
        </w:rPr>
      </w:pPr>
      <w:r>
        <w:rPr>
          <w:rFonts w:ascii="Arial" w:cs="Arial" w:eastAsia="Arial" w:hAnsi="Arial"/>
          <w:sz w:val="15"/>
          <w:szCs w:val="15"/>
          <w:color w:val="auto"/>
        </w:rPr>
        <w:t>The table below presents a reconciliation of cash, cash equivalents and restricted cash reported on the condensed consolidated balance sheets that sum to the total of the amounts shown on the condensed consolidated statement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r>
      <w:tr>
        <w:trPr>
          <w:trHeight w:val="189"/>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233,941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214,172</w:t>
            </w:r>
          </w:p>
        </w:tc>
      </w:tr>
      <w:tr>
        <w:trPr>
          <w:trHeight w:val="197"/>
        </w:trPr>
        <w:tc>
          <w:tcPr>
            <w:tcW w:w="7220" w:type="dxa"/>
            <w:vAlign w:val="bottom"/>
            <w:tcBorders>
              <w:bottom w:val="single" w:sz="8" w:color="CCEEFF"/>
            </w:tcBorders>
          </w:tcPr>
          <w:p>
            <w:pPr>
              <w:spacing w:after="0" w:line="197" w:lineRule="exact"/>
              <w:rPr>
                <w:sz w:val="20"/>
                <w:szCs w:val="20"/>
                <w:color w:val="auto"/>
              </w:rPr>
            </w:pPr>
            <w:r>
              <w:rPr>
                <w:rFonts w:ascii="Arial" w:cs="Arial" w:eastAsia="Arial" w:hAnsi="Arial"/>
                <w:sz w:val="15"/>
                <w:szCs w:val="15"/>
                <w:color w:val="auto"/>
              </w:rPr>
              <w:t xml:space="preserve">Restricted cash </w:t>
            </w:r>
            <w:r>
              <w:rPr>
                <w:rFonts w:ascii="Arial" w:cs="Arial" w:eastAsia="Arial" w:hAnsi="Arial"/>
                <w:sz w:val="20"/>
                <w:szCs w:val="20"/>
                <w:color w:val="auto"/>
                <w:vertAlign w:val="superscript"/>
              </w:rPr>
              <w:t>(1)</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298,781</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301,446</w:t>
            </w:r>
          </w:p>
        </w:tc>
      </w:tr>
      <w:tr>
        <w:trPr>
          <w:trHeight w:val="214"/>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532,722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515,618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560" w:hanging="288"/>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Restricted cash represents funds held as collateral for the SNIA Litigation Guarantee. Refer to “Note 8. Commitments and Contingencies.”</w:t>
      </w:r>
    </w:p>
    <w:p>
      <w:pPr>
        <w:spacing w:after="0" w:line="200" w:lineRule="exact"/>
        <w:rPr>
          <w:rFonts w:ascii="Arial" w:cs="Arial" w:eastAsia="Arial" w:hAnsi="Arial"/>
          <w:sz w:val="14"/>
          <w:szCs w:val="14"/>
          <w:color w:val="auto"/>
        </w:rPr>
      </w:pPr>
    </w:p>
    <w:p>
      <w:pPr>
        <w:spacing w:after="0" w:line="275"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107" w:lineRule="exact"/>
        <w:rPr>
          <w:sz w:val="20"/>
          <w:szCs w:val="20"/>
          <w:color w:val="auto"/>
        </w:rPr>
      </w:pPr>
    </w:p>
    <w:p>
      <w:pPr>
        <w:ind w:right="100" w:firstLine="139"/>
        <w:spacing w:after="0" w:line="278" w:lineRule="auto"/>
        <w:rPr>
          <w:sz w:val="20"/>
          <w:szCs w:val="20"/>
          <w:color w:val="auto"/>
        </w:rPr>
      </w:pPr>
      <w:r>
        <w:rPr>
          <w:rFonts w:ascii="Arial" w:cs="Arial" w:eastAsia="Arial" w:hAnsi="Arial"/>
          <w:sz w:val="15"/>
          <w:szCs w:val="15"/>
          <w:color w:val="auto"/>
        </w:rPr>
        <w:t>The following discussion and analysis should be read in conjunction with the condensed consolidated financial statements and related notes, which appear elsewhere in this document, and with LivaNova’s 2022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2022 Form 10-K, as updated and supplemented by LivaNova’s Quarterly Reports on Form 10-Q, including in Part II, Item 1A. and elsewhere in this Quarterly Report on Form 10-Q.</w:t>
      </w:r>
    </w:p>
    <w:p>
      <w:pPr>
        <w:spacing w:after="0" w:line="58" w:lineRule="exact"/>
        <w:rPr>
          <w:sz w:val="20"/>
          <w:szCs w:val="20"/>
          <w:color w:val="auto"/>
        </w:rPr>
      </w:pPr>
    </w:p>
    <w:p>
      <w:pPr>
        <w:ind w:right="60" w:firstLine="139"/>
        <w:spacing w:after="0" w:line="307" w:lineRule="auto"/>
        <w:rPr>
          <w:sz w:val="20"/>
          <w:szCs w:val="20"/>
          <w:color w:val="auto"/>
        </w:rPr>
      </w:pPr>
      <w:r>
        <w:rPr>
          <w:rFonts w:ascii="Arial" w:cs="Arial" w:eastAsia="Arial" w:hAnsi="Arial"/>
          <w:sz w:val="15"/>
          <w:szCs w:val="15"/>
          <w:color w:val="auto"/>
        </w:rPr>
        <w:t>The capitalized terms used below have been defined in the notes to LivaNova’s condensed consolidated financial statements and the “Definitions” section of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Macroeconomic Environment</w:t>
      </w:r>
    </w:p>
    <w:p>
      <w:pPr>
        <w:spacing w:after="0" w:line="103" w:lineRule="exact"/>
        <w:rPr>
          <w:sz w:val="20"/>
          <w:szCs w:val="20"/>
          <w:color w:val="auto"/>
        </w:rPr>
      </w:pPr>
    </w:p>
    <w:p>
      <w:pPr>
        <w:ind w:right="20" w:firstLine="139"/>
        <w:spacing w:after="0" w:line="274" w:lineRule="auto"/>
        <w:rPr>
          <w:sz w:val="20"/>
          <w:szCs w:val="20"/>
          <w:color w:val="auto"/>
        </w:rPr>
      </w:pPr>
      <w:r>
        <w:rPr>
          <w:rFonts w:ascii="Arial" w:cs="Arial" w:eastAsia="Arial" w:hAnsi="Arial"/>
          <w:sz w:val="15"/>
          <w:szCs w:val="15"/>
          <w:color w:val="auto"/>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supply chain delays and interruptions, labor shortages, inflationary pressures and logistical and capacity constraints, though, to date, the Company’s supply of raw materials and the production and distribution of finished products have not been materially affected. Moreover, freight and labor costs at LivaNova’s manufacturing facilities have increased substantially in the wake of inflation globally. The Company continues to respond to such challenges, and while LivaNova has business continuity plans in place, the impact of the ongoing challenges the Company is navigating, along with their potential escalation, may adversely affect its business.</w:t>
      </w:r>
    </w:p>
    <w:p>
      <w:pPr>
        <w:spacing w:after="0" w:line="72" w:lineRule="exact"/>
        <w:rPr>
          <w:sz w:val="20"/>
          <w:szCs w:val="20"/>
          <w:color w:val="auto"/>
        </w:rPr>
      </w:pPr>
    </w:p>
    <w:p>
      <w:pPr>
        <w:ind w:right="140" w:firstLine="139"/>
        <w:spacing w:after="0" w:line="280" w:lineRule="auto"/>
        <w:rPr>
          <w:sz w:val="20"/>
          <w:szCs w:val="20"/>
          <w:color w:val="auto"/>
        </w:rPr>
      </w:pPr>
      <w:r>
        <w:rPr>
          <w:rFonts w:ascii="Arial" w:cs="Arial" w:eastAsia="Arial" w:hAnsi="Arial"/>
          <w:sz w:val="15"/>
          <w:szCs w:val="15"/>
          <w:color w:val="auto"/>
        </w:rPr>
        <w:t>Conflicts, including those in Ukraine and the Middle East, have caused the Company to assess its ability to sell in certain markets due to any applicable international sanctions, consider the potential impact of raw material sourced from these areas, and determine whether LivaNova is able to transact in a compliant fashion. Net revenues from each of these conflict areas represented approximately 1%, respectively, of LivaNova’s total net revenue for 2022. These conflicts have increased economic uncertainties, and a significant escalation or continuation of these conflicts could have a material, global impact on the Company’s operating results.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15" w:lineRule="exact"/>
        <w:rPr>
          <w:sz w:val="20"/>
          <w:szCs w:val="20"/>
          <w:color w:val="auto"/>
        </w:rPr>
      </w:pPr>
    </w:p>
    <w:p>
      <w:pPr>
        <w:ind w:right="120" w:firstLine="139"/>
        <w:spacing w:after="0" w:line="282" w:lineRule="auto"/>
        <w:rPr>
          <w:sz w:val="20"/>
          <w:szCs w:val="20"/>
          <w:color w:val="auto"/>
        </w:rPr>
      </w:pPr>
      <w:r>
        <w:rPr>
          <w:rFonts w:ascii="Arial" w:cs="Arial" w:eastAsia="Arial" w:hAnsi="Arial"/>
          <w:sz w:val="15"/>
          <w:szCs w:val="15"/>
          <w:color w:val="auto"/>
        </w:rPr>
        <w:t>LivaNova is a global medical technology company built on nearly five decades of experience and a relentless commitment to provide hope for patients and their families through medical technologies, delivering life-changing improvements for both the Head and Heart. The Company is a public limited company organized under the laws of England and Wales and headquartered in London, England.</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LivaNova is comprised of three reportable segments: Cardiopulmonary, Neuromodulation and ACS, corresponding to its primary business units.</w:t>
      </w:r>
    </w:p>
    <w:p>
      <w:pPr>
        <w:spacing w:after="0" w:line="106" w:lineRule="exact"/>
        <w:rPr>
          <w:sz w:val="20"/>
          <w:szCs w:val="20"/>
          <w:color w:val="auto"/>
        </w:rPr>
      </w:pPr>
    </w:p>
    <w:p>
      <w:pPr>
        <w:ind w:right="180" w:firstLine="139"/>
        <w:spacing w:after="0" w:line="307" w:lineRule="auto"/>
        <w:rPr>
          <w:sz w:val="20"/>
          <w:szCs w:val="20"/>
          <w:color w:val="auto"/>
        </w:rPr>
      </w:pPr>
      <w:r>
        <w:rPr>
          <w:rFonts w:ascii="Arial" w:cs="Arial" w:eastAsia="Arial" w:hAnsi="Arial"/>
          <w:sz w:val="15"/>
          <w:szCs w:val="15"/>
          <w:color w:val="auto"/>
        </w:rPr>
        <w:t>For further information regarding LivaNova’s business segments, historical financial information and its methodology for the presentation of financial results, please refer to the condensed consolidated financial statements and accompanying notes of this Quarterly Report on Form 10-Q.</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Cardiopulmonary</w:t>
      </w:r>
    </w:p>
    <w:p>
      <w:pPr>
        <w:spacing w:after="0" w:line="99" w:lineRule="exact"/>
        <w:rPr>
          <w:sz w:val="20"/>
          <w:szCs w:val="20"/>
          <w:color w:val="auto"/>
        </w:rPr>
      </w:pPr>
    </w:p>
    <w:p>
      <w:pPr>
        <w:ind w:right="820" w:firstLine="139"/>
        <w:spacing w:after="0" w:line="307" w:lineRule="auto"/>
        <w:rPr>
          <w:sz w:val="20"/>
          <w:szCs w:val="20"/>
          <w:color w:val="auto"/>
        </w:rPr>
      </w:pPr>
      <w:r>
        <w:rPr>
          <w:rFonts w:ascii="Arial" w:cs="Arial" w:eastAsia="Arial" w:hAnsi="Arial"/>
          <w:sz w:val="15"/>
          <w:szCs w:val="15"/>
          <w:color w:val="auto"/>
        </w:rPr>
        <w:t>LivaNova’s Cardiopulmonary segment is engaged in the development, production and sale of cardiopulmonary products, including heart-lung machines, oxygenators, autotransfusion systems, perfusion tubing systems, cannulae and other related accessories.</w:t>
      </w:r>
    </w:p>
    <w:p>
      <w:pPr>
        <w:spacing w:after="0" w:line="35" w:lineRule="exact"/>
        <w:rPr>
          <w:sz w:val="20"/>
          <w:szCs w:val="20"/>
          <w:color w:val="auto"/>
        </w:rPr>
      </w:pPr>
    </w:p>
    <w:p>
      <w:pPr>
        <w:ind w:right="40" w:firstLine="139"/>
        <w:spacing w:after="0" w:line="320" w:lineRule="auto"/>
        <w:rPr>
          <w:sz w:val="20"/>
          <w:szCs w:val="20"/>
          <w:color w:val="auto"/>
        </w:rPr>
      </w:pPr>
      <w:r>
        <w:rPr>
          <w:rFonts w:ascii="Arial" w:cs="Arial" w:eastAsia="Arial" w:hAnsi="Arial"/>
          <w:sz w:val="14"/>
          <w:szCs w:val="14"/>
          <w:color w:val="auto"/>
        </w:rPr>
        <w:t>In March 2023, LivaNova announced it received FDA 510(k) clearance for its Essenz HLM. With FDA clearance, LivaNova initiated the commercial launch of Essenz in the U.S. In March 2023, LivaNova also initiated a broad commercial release in Europe following a successful limited commercial release that supported more than 200 adult, pediatric and neonatal patients in Europe. The Company has also received approval for the Essenz HLM from Health Canada and the Japanese Pharmaceuticals and Medical Devices Agency.</w:t>
      </w:r>
    </w:p>
    <w:p>
      <w:pPr>
        <w:spacing w:after="0" w:line="29" w:lineRule="exact"/>
        <w:rPr>
          <w:sz w:val="20"/>
          <w:szCs w:val="20"/>
          <w:color w:val="auto"/>
        </w:rPr>
      </w:pPr>
    </w:p>
    <w:p>
      <w:pPr>
        <w:ind w:firstLine="139"/>
        <w:spacing w:after="0" w:line="290" w:lineRule="auto"/>
        <w:rPr>
          <w:sz w:val="20"/>
          <w:szCs w:val="20"/>
          <w:color w:val="auto"/>
        </w:rPr>
      </w:pPr>
      <w:r>
        <w:rPr>
          <w:rFonts w:ascii="Arial" w:cs="Arial" w:eastAsia="Arial" w:hAnsi="Arial"/>
          <w:sz w:val="15"/>
          <w:szCs w:val="15"/>
          <w:color w:val="auto"/>
        </w:rPr>
        <w:t>In August 2023, LivaNova announced it received FDA 510(k) clearance and CE Mark for its Essenz In-Line Blood Monitor, which provides accurate and continuous measurement of essential blood parameters to perfusionists throughout CPB procedures. The In-Line Blood Monitor is integrated into LivaNova’s next-generation CPB platform, the Essenz Perfusion System, which allows perfusionists to access and manage reliable blood parameters without the need for additional monitors or holders.</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31" w:name="page32"/>
    <w:bookmarkEnd w:id="31"/>
    <w:p>
      <w:pPr>
        <w:ind w:right="20" w:firstLine="139"/>
        <w:spacing w:after="0" w:line="307" w:lineRule="auto"/>
        <w:rPr>
          <w:sz w:val="20"/>
          <w:szCs w:val="20"/>
          <w:color w:val="auto"/>
        </w:rPr>
      </w:pPr>
      <w:r>
        <w:rPr>
          <w:rFonts w:ascii="Arial" w:cs="Arial" w:eastAsia="Arial" w:hAnsi="Arial"/>
          <w:sz w:val="15"/>
          <w:szCs w:val="15"/>
          <w:color w:val="auto"/>
        </w:rPr>
        <w:t>Information on Cardiopulmonary that could potentially impact LivaNova’s condensed consolidated financial statements and related disclosures is incorporated by reference to Part I. Note 8. Commitments and Contingencies: Product Liability Litigation.</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Neuromodulation</w:t>
      </w:r>
    </w:p>
    <w:p>
      <w:pPr>
        <w:spacing w:after="0" w:line="111" w:lineRule="exact"/>
        <w:rPr>
          <w:sz w:val="20"/>
          <w:szCs w:val="20"/>
          <w:color w:val="auto"/>
        </w:rPr>
      </w:pPr>
    </w:p>
    <w:p>
      <w:pPr>
        <w:ind w:right="100" w:firstLine="139"/>
        <w:spacing w:after="0" w:line="274" w:lineRule="auto"/>
        <w:rPr>
          <w:sz w:val="20"/>
          <w:szCs w:val="20"/>
          <w:color w:val="auto"/>
        </w:rPr>
      </w:pPr>
      <w:r>
        <w:rPr>
          <w:rFonts w:ascii="Arial" w:cs="Arial" w:eastAsia="Arial" w:hAnsi="Arial"/>
          <w:sz w:val="15"/>
          <w:szCs w:val="15"/>
          <w:color w:val="auto"/>
        </w:rPr>
        <w:t>LivaNova’s Neuromodulation segment is engaged in the design, development and marketing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This device stimulates the hypoglossal nerve, which engages certain tongue muscles to open the airway while a patient sleeps. LivaNova’s Neuromodulation segment also includes costs associated with LivaNova’s former heart failure program, which the Company began to wind down during the first quarter of 2023.</w:t>
      </w:r>
    </w:p>
    <w:p>
      <w:pPr>
        <w:spacing w:after="0" w:line="72" w:lineRule="exact"/>
        <w:rPr>
          <w:sz w:val="20"/>
          <w:szCs w:val="20"/>
          <w:color w:val="auto"/>
        </w:rPr>
      </w:pPr>
    </w:p>
    <w:p>
      <w:pPr>
        <w:jc w:val="both"/>
        <w:ind w:right="180" w:firstLine="139"/>
        <w:spacing w:after="0" w:line="282" w:lineRule="auto"/>
        <w:rPr>
          <w:sz w:val="20"/>
          <w:szCs w:val="20"/>
          <w:color w:val="auto"/>
        </w:rPr>
      </w:pPr>
      <w:r>
        <w:rPr>
          <w:rFonts w:ascii="Arial" w:cs="Arial" w:eastAsia="Arial" w:hAnsi="Arial"/>
          <w:sz w:val="15"/>
          <w:szCs w:val="15"/>
          <w:color w:val="auto"/>
        </w:rPr>
        <w:t>In March 2023, LivaNova randomized the 500th unipolar depression patient into the RECOVER clinical study and subsequently completed all implants in May. Upon receipt of the 12-month follow-up data for all 500 patients, the Company expects to conduct a final analysis for the unipolar cohort, culminating in a publication of the study results for that cohort.</w:t>
      </w:r>
    </w:p>
    <w:p>
      <w:pPr>
        <w:spacing w:after="0" w:line="65"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In June 2023, LivaNova randomized the 150th bipolar depression patient into the RECOVER clinical study. The RECOVER clinical study’s protocol allows for a minimum of 150 and a maximum of 500 bipolar depression patients to be randomized into the study. Having randomized the 150th bipolar patient, a series of interim analyses will be conducted by an independent Statistical Analysis Committee to assess if predictive probability of success has been reached for the bipolar cohort of the study. If any analysis reveals that the predictive probability of success has been reached, recruitment into the bipolar arm of the study will cease and LivaNova will notify CMS of the initiation of the prospective open-label longitudinal study for future bipolar Medicare patients. After the last patient enrolled into the RECOVER clinical study has completed 12 months of follow-up, a final analysis will be conducted on the complete bipolar dataset.</w:t>
      </w:r>
    </w:p>
    <w:p>
      <w:pPr>
        <w:spacing w:after="0" w:line="72" w:lineRule="exact"/>
        <w:rPr>
          <w:sz w:val="20"/>
          <w:szCs w:val="20"/>
          <w:color w:val="auto"/>
        </w:rPr>
      </w:pPr>
    </w:p>
    <w:p>
      <w:pPr>
        <w:ind w:right="200" w:firstLine="139"/>
        <w:spacing w:after="0" w:line="291" w:lineRule="auto"/>
        <w:rPr>
          <w:sz w:val="20"/>
          <w:szCs w:val="20"/>
          <w:color w:val="auto"/>
        </w:rPr>
      </w:pPr>
      <w:r>
        <w:rPr>
          <w:rFonts w:ascii="Arial" w:cs="Arial" w:eastAsia="Arial" w:hAnsi="Arial"/>
          <w:sz w:val="15"/>
          <w:szCs w:val="15"/>
          <w:color w:val="auto"/>
        </w:rPr>
        <w:t>The RECOVER clinical study, if successful, will be used to support a peer-reviewed article and reconsideration of reimbursement for VNS therapy by CMS for the treatment of DTD. The reconsideration process will happen independently for the unipolar and bipolar cohorts.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Advanced Circulatory Support</w:t>
      </w:r>
    </w:p>
    <w:p>
      <w:pPr>
        <w:spacing w:after="0" w:line="99" w:lineRule="exact"/>
        <w:rPr>
          <w:sz w:val="20"/>
          <w:szCs w:val="20"/>
          <w:color w:val="auto"/>
        </w:rPr>
      </w:pPr>
    </w:p>
    <w:p>
      <w:pPr>
        <w:ind w:right="200" w:firstLine="139"/>
        <w:spacing w:after="0" w:line="301" w:lineRule="auto"/>
        <w:rPr>
          <w:sz w:val="20"/>
          <w:szCs w:val="20"/>
          <w:color w:val="auto"/>
        </w:rPr>
      </w:pPr>
      <w:r>
        <w:rPr>
          <w:rFonts w:ascii="Arial" w:cs="Arial" w:eastAsia="Arial" w:hAnsi="Arial"/>
          <w:sz w:val="14"/>
          <w:szCs w:val="14"/>
          <w:color w:val="auto"/>
        </w:rPr>
        <w:t>LivaNova’s ACS segment is engaged in the development, production and sale of leading-edge temporary life support products. LivaNova’s ACS products, which comprise the LifeSPARC platform, simplify temporary extracorporeal cardiopulmonary life support solutions for critically ill patients. The LifeSPARC platform includes a common compact console and pump that provides temporary support for emergent rescue patients in a variety of settings. Designed for ease of use, the system offers power and versatility for multi-disciplinary programs to support more patients in more places. The platform is accompanied by four specialized and ready-to-deploy kits, each designed to support diverse cannulation strategies. LivaNova’s ACS segment also includes the Hemolung RAS. The Hemolung RAS is the only FDA-cleared platform designed specifically for low-flow extracorporeal carbon dioxide removal for acute respiratory failure. The Hemolung RAS was acquired in May 2022 as part of the acquisition of ALung.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15" w:lineRule="exact"/>
        <w:rPr>
          <w:sz w:val="20"/>
          <w:szCs w:val="20"/>
          <w:color w:val="auto"/>
        </w:rPr>
      </w:pPr>
    </w:p>
    <w:p>
      <w:pPr>
        <w:ind w:right="60" w:firstLine="139"/>
        <w:spacing w:after="0" w:line="291" w:lineRule="auto"/>
        <w:rPr>
          <w:sz w:val="20"/>
          <w:szCs w:val="20"/>
          <w:color w:val="auto"/>
        </w:rPr>
      </w:pPr>
      <w:r>
        <w:rPr>
          <w:rFonts w:ascii="Arial" w:cs="Arial" w:eastAsia="Arial" w:hAnsi="Arial"/>
          <w:sz w:val="15"/>
          <w:szCs w:val="15"/>
          <w:color w:val="auto"/>
        </w:rPr>
        <w:t>For a discussion of LivaNova’s critical accounting estimates, see “Management’s Discussion and Analysis of Financial Condition and Results of Operations” included in the 2022 Form 10-K.</w:t>
      </w:r>
    </w:p>
    <w:p>
      <w:pPr>
        <w:spacing w:after="0" w:line="58" w:lineRule="exact"/>
        <w:rPr>
          <w:sz w:val="20"/>
          <w:szCs w:val="20"/>
          <w:color w:val="auto"/>
        </w:rPr>
      </w:pPr>
    </w:p>
    <w:p>
      <w:pPr>
        <w:ind w:right="20" w:firstLine="139"/>
        <w:spacing w:after="0" w:line="307" w:lineRule="auto"/>
        <w:rPr>
          <w:sz w:val="20"/>
          <w:szCs w:val="20"/>
          <w:color w:val="auto"/>
        </w:rPr>
      </w:pPr>
      <w:r>
        <w:rPr>
          <w:rFonts w:ascii="Arial" w:cs="Arial" w:eastAsia="Arial" w:hAnsi="Arial"/>
          <w:sz w:val="15"/>
          <w:szCs w:val="15"/>
          <w:color w:val="auto"/>
        </w:rPr>
        <w:t>The accompanying unaudited condensed consolidated financial statements of LivaNova and its consolidated subsidiaries have been prepared in accordance with U.S. GAAP on an interim basis.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Results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gridSpan w:val="4"/>
          </w:tcPr>
          <w:p>
            <w:pPr>
              <w:ind w:left="140"/>
              <w:spacing w:after="0"/>
              <w:rPr>
                <w:sz w:val="20"/>
                <w:szCs w:val="20"/>
                <w:color w:val="auto"/>
              </w:rPr>
            </w:pPr>
            <w:r>
              <w:rPr>
                <w:rFonts w:ascii="Arial" w:cs="Arial" w:eastAsia="Arial" w:hAnsi="Arial"/>
                <w:sz w:val="15"/>
                <w:szCs w:val="15"/>
                <w:color w:val="auto"/>
                <w:w w:val="93"/>
              </w:rPr>
              <w:t>The following table summarizes LivaNova’s condensed consolidated results of operations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2"/>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5"/>
          </w:tcPr>
          <w:p>
            <w:pPr>
              <w:ind w:left="100"/>
              <w:spacing w:after="0"/>
              <w:rPr>
                <w:sz w:val="20"/>
                <w:szCs w:val="20"/>
                <w:color w:val="auto"/>
              </w:rPr>
            </w:pPr>
            <w:r>
              <w:rPr>
                <w:rFonts w:ascii="Arial" w:cs="Arial" w:eastAsia="Arial" w:hAnsi="Arial"/>
                <w:sz w:val="15"/>
                <w:szCs w:val="15"/>
                <w:b w:val="1"/>
                <w:bCs w:val="1"/>
                <w:color w:val="auto"/>
              </w:rPr>
              <w:t>Three Months Ended September 30,</w:t>
            </w:r>
          </w:p>
        </w:tc>
        <w:tc>
          <w:tcPr>
            <w:tcW w:w="220" w:type="dxa"/>
            <w:vAlign w:val="bottom"/>
          </w:tcPr>
          <w:p>
            <w:pPr>
              <w:spacing w:after="0"/>
              <w:rPr>
                <w:sz w:val="20"/>
                <w:szCs w:val="20"/>
                <w:color w:val="auto"/>
              </w:rPr>
            </w:pPr>
          </w:p>
        </w:tc>
        <w:tc>
          <w:tcPr>
            <w:tcW w:w="2800" w:type="dxa"/>
            <w:vAlign w:val="bottom"/>
            <w:gridSpan w:val="4"/>
          </w:tcPr>
          <w:p>
            <w:pPr>
              <w:jc w:val="right"/>
              <w:ind w:right="283"/>
              <w:spacing w:after="0"/>
              <w:rPr>
                <w:sz w:val="20"/>
                <w:szCs w:val="20"/>
                <w:color w:val="auto"/>
              </w:rPr>
            </w:pPr>
            <w:r>
              <w:rPr>
                <w:rFonts w:ascii="Arial" w:cs="Arial" w:eastAsia="Arial" w:hAnsi="Arial"/>
                <w:sz w:val="15"/>
                <w:szCs w:val="15"/>
                <w:b w:val="1"/>
                <w:bCs w:val="1"/>
                <w:color w:val="auto"/>
                <w:w w:val="98"/>
              </w:rPr>
              <w:t>Nine Months Ended September 30,</w:t>
            </w:r>
          </w:p>
        </w:tc>
      </w:tr>
      <w:tr>
        <w:trPr>
          <w:trHeight w:val="189"/>
        </w:trPr>
        <w:tc>
          <w:tcPr>
            <w:tcW w:w="5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2022</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revenue</w:t>
            </w: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286,113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252,605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843,413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746,931</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84,310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81,687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223,220</w:t>
            </w:r>
          </w:p>
        </w:tc>
      </w:tr>
      <w:tr>
        <w:trPr>
          <w:trHeight w:val="189"/>
        </w:trPr>
        <w:tc>
          <w:tcPr>
            <w:tcW w:w="5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581,083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523,711</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Operating expenses: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134,794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114,630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384,795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349,637</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46,541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35,725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147,651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110,872</w:t>
            </w:r>
          </w:p>
        </w:tc>
      </w:tr>
      <w:tr>
        <w:trPr>
          <w:trHeight w:val="198"/>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Impairment of goodwill</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129,396</w:t>
            </w:r>
          </w:p>
        </w:tc>
      </w:tr>
      <w:tr>
        <w:trPr>
          <w:trHeight w:val="197"/>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operating expense</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23,140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29,145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24,518</w:t>
            </w:r>
          </w:p>
        </w:tc>
      </w:tr>
      <w:tr>
        <w:trPr>
          <w:trHeight w:val="189"/>
        </w:trPr>
        <w:tc>
          <w:tcPr>
            <w:tcW w:w="51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Operating income (loss)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(131,973)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(90,712)</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Interest expense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(14,986)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(12,661)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(43,232)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(34,889)</w:t>
            </w:r>
          </w:p>
        </w:tc>
      </w:tr>
      <w:tr>
        <w:trPr>
          <w:trHeight w:val="198"/>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income/(expense)</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38,528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36,810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44,065</w:t>
            </w:r>
          </w:p>
        </w:tc>
      </w:tr>
      <w:tr>
        <w:trPr>
          <w:trHeight w:val="189"/>
        </w:trPr>
        <w:tc>
          <w:tcPr>
            <w:tcW w:w="5160" w:type="dxa"/>
            <w:vAlign w:val="bottom"/>
          </w:tcPr>
          <w:p>
            <w:pPr>
              <w:ind w:left="120"/>
              <w:spacing w:after="0"/>
              <w:rPr>
                <w:sz w:val="20"/>
                <w:szCs w:val="20"/>
                <w:color w:val="auto"/>
              </w:rPr>
            </w:pPr>
            <w:r>
              <w:rPr>
                <w:rFonts w:ascii="Arial" w:cs="Arial" w:eastAsia="Arial" w:hAnsi="Arial"/>
                <w:sz w:val="15"/>
                <w:szCs w:val="15"/>
                <w:color w:val="auto"/>
              </w:rPr>
              <w:t>(Loss) income before tax</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(1,978)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(106,106)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13,070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(81,536)</w:t>
            </w:r>
          </w:p>
        </w:tc>
      </w:tr>
      <w:tr>
        <w:trPr>
          <w:trHeight w:val="198"/>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6,347</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 income from equity method investments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r>
      <w:tr>
        <w:trPr>
          <w:trHeight w:val="21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Net (loss) income</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(87,907)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74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1"/>
        </w:trPr>
        <w:tc>
          <w:tcPr>
            <w:tcW w:w="51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87" w:right="31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Net Revenue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gridSpan w:val="10"/>
          </w:tcPr>
          <w:p>
            <w:pPr>
              <w:ind w:left="140"/>
              <w:spacing w:after="0"/>
              <w:rPr>
                <w:sz w:val="20"/>
                <w:szCs w:val="20"/>
                <w:color w:val="auto"/>
              </w:rPr>
            </w:pPr>
            <w:r>
              <w:rPr>
                <w:rFonts w:ascii="Arial" w:cs="Arial" w:eastAsia="Arial" w:hAnsi="Arial"/>
                <w:sz w:val="15"/>
                <w:szCs w:val="15"/>
                <w:color w:val="auto"/>
                <w:w w:val="93"/>
              </w:rPr>
              <w:t>The table below presents net revenue by operating segment and geographic region (in thousands, except for percentages):</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6"/>
          </w:tcPr>
          <w:p>
            <w:pPr>
              <w:jc w:val="right"/>
              <w:ind w:right="630"/>
              <w:spacing w:after="0"/>
              <w:rPr>
                <w:sz w:val="20"/>
                <w:szCs w:val="20"/>
                <w:color w:val="auto"/>
              </w:rPr>
            </w:pPr>
            <w:r>
              <w:rPr>
                <w:rFonts w:ascii="Arial" w:cs="Arial" w:eastAsia="Arial" w:hAnsi="Arial"/>
                <w:sz w:val="15"/>
                <w:szCs w:val="15"/>
                <w:b w:val="1"/>
                <w:bCs w:val="1"/>
                <w:color w:val="auto"/>
              </w:rPr>
              <w:t>Three Months Ended September 30,</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5"/>
                <w:szCs w:val="15"/>
                <w:b w:val="1"/>
                <w:bCs w:val="1"/>
                <w:color w:val="auto"/>
              </w:rPr>
              <w:t>Nine Months Ended September 30,</w:t>
            </w:r>
          </w:p>
        </w:tc>
        <w:tc>
          <w:tcPr>
            <w:tcW w:w="0" w:type="dxa"/>
            <w:vAlign w:val="bottom"/>
          </w:tcPr>
          <w:p>
            <w:pPr>
              <w:spacing w:after="0"/>
              <w:rPr>
                <w:sz w:val="1"/>
                <w:szCs w:val="1"/>
                <w:color w:val="auto"/>
              </w:rPr>
            </w:pPr>
          </w:p>
        </w:tc>
      </w:tr>
      <w:tr>
        <w:trPr>
          <w:trHeight w:val="189"/>
        </w:trPr>
        <w:tc>
          <w:tcPr>
            <w:tcW w:w="3580" w:type="dxa"/>
            <w:vAlign w:val="bottom"/>
            <w:vMerge w:val="restart"/>
          </w:tcPr>
          <w:p>
            <w:pPr>
              <w:spacing w:after="0"/>
              <w:rPr>
                <w:sz w:val="20"/>
                <w:szCs w:val="20"/>
                <w:color w:val="auto"/>
              </w:rPr>
            </w:pPr>
            <w:r>
              <w:rPr>
                <w:rFonts w:ascii="Arial" w:cs="Arial" w:eastAsia="Arial" w:hAnsi="Arial"/>
                <w:sz w:val="15"/>
                <w:szCs w:val="15"/>
                <w:b w:val="1"/>
                <w:bCs w:val="1"/>
                <w:color w:val="auto"/>
              </w:rPr>
              <w:t>Cardiopulmonary</w:t>
            </w:r>
          </w:p>
        </w:tc>
        <w:tc>
          <w:tcPr>
            <w:tcW w:w="26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138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c>
          <w:tcPr>
            <w:tcW w:w="860" w:type="dxa"/>
            <w:vAlign w:val="bottom"/>
          </w:tcPr>
          <w:p>
            <w:pPr>
              <w:jc w:val="right"/>
              <w:ind w:right="363"/>
              <w:spacing w:after="0"/>
              <w:rPr>
                <w:sz w:val="20"/>
                <w:szCs w:val="20"/>
                <w:color w:val="auto"/>
              </w:rPr>
            </w:pPr>
            <w:r>
              <w:rPr>
                <w:rFonts w:ascii="Arial" w:cs="Arial" w:eastAsia="Arial" w:hAnsi="Arial"/>
                <w:sz w:val="15"/>
                <w:szCs w:val="15"/>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43"/>
              <w:spacing w:after="0"/>
              <w:rPr>
                <w:sz w:val="20"/>
                <w:szCs w:val="20"/>
                <w:color w:val="auto"/>
              </w:rPr>
            </w:pPr>
            <w:r>
              <w:rPr>
                <w:rFonts w:ascii="Arial" w:cs="Arial" w:eastAsia="Arial" w:hAnsi="Arial"/>
                <w:sz w:val="15"/>
                <w:szCs w:val="15"/>
                <w:b w:val="1"/>
                <w:bCs w:val="1"/>
                <w:color w:val="auto"/>
              </w:rPr>
              <w:t>2022</w:t>
            </w:r>
          </w:p>
        </w:tc>
        <w:tc>
          <w:tcPr>
            <w:tcW w:w="80" w:type="dxa"/>
            <w:vAlign w:val="bottom"/>
          </w:tcPr>
          <w:p>
            <w:pPr>
              <w:spacing w:after="0"/>
              <w:rPr>
                <w:sz w:val="16"/>
                <w:szCs w:val="16"/>
                <w:color w:val="auto"/>
              </w:rPr>
            </w:pPr>
          </w:p>
        </w:tc>
        <w:tc>
          <w:tcPr>
            <w:tcW w:w="1300" w:type="dxa"/>
            <w:vAlign w:val="bottom"/>
          </w:tcPr>
          <w:p>
            <w:pPr>
              <w:jc w:val="right"/>
              <w:ind w:right="2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7"/>
        </w:trPr>
        <w:tc>
          <w:tcPr>
            <w:tcW w:w="3580" w:type="dxa"/>
            <w:vAlign w:val="bottom"/>
            <w:vMerge w:val="continue"/>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38,476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26.2 %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131,372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14.8 %</w:t>
            </w:r>
          </w:p>
        </w:tc>
        <w:tc>
          <w:tcPr>
            <w:tcW w:w="0" w:type="dxa"/>
            <w:vAlign w:val="bottom"/>
          </w:tcPr>
          <w:p>
            <w:pPr>
              <w:spacing w:after="0"/>
              <w:rPr>
                <w:sz w:val="1"/>
                <w:szCs w:val="1"/>
                <w:color w:val="auto"/>
              </w:rPr>
            </w:pPr>
          </w:p>
        </w:tc>
      </w:tr>
      <w:tr>
        <w:trPr>
          <w:trHeight w:val="197"/>
        </w:trPr>
        <w:tc>
          <w:tcPr>
            <w:tcW w:w="358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35,190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28,754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22.4 %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110,642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93,980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17.7 %</w:t>
            </w: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61,090</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53,729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13.7 %</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185,488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155,437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19.3 %</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144,827</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120,959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19.7 %</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427,502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363,854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17.5 %</w:t>
            </w:r>
          </w:p>
        </w:tc>
        <w:tc>
          <w:tcPr>
            <w:tcW w:w="0" w:type="dxa"/>
            <w:vAlign w:val="bottom"/>
          </w:tcPr>
          <w:p>
            <w:pPr>
              <w:spacing w:after="0"/>
              <w:rPr>
                <w:sz w:val="1"/>
                <w:szCs w:val="1"/>
                <w:color w:val="auto"/>
              </w:rPr>
            </w:pPr>
          </w:p>
        </w:tc>
      </w:tr>
      <w:tr>
        <w:trPr>
          <w:trHeight w:val="178"/>
        </w:trPr>
        <w:tc>
          <w:tcPr>
            <w:tcW w:w="35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Neuromodulation</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102,475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96,504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6.2 %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301,029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275,145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9.4 %</w:t>
            </w: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180"/>
              <w:spacing w:after="0" w:line="198"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13.8 %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41,066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37,296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10.1 %</w:t>
            </w:r>
          </w:p>
        </w:tc>
        <w:tc>
          <w:tcPr>
            <w:tcW w:w="0" w:type="dxa"/>
            <w:vAlign w:val="bottom"/>
          </w:tcPr>
          <w:p>
            <w:pPr>
              <w:spacing w:after="0"/>
              <w:rPr>
                <w:sz w:val="1"/>
                <w:szCs w:val="1"/>
                <w:color w:val="auto"/>
              </w:rPr>
            </w:pPr>
          </w:p>
        </w:tc>
      </w:tr>
      <w:tr>
        <w:trPr>
          <w:trHeight w:val="197"/>
        </w:trPr>
        <w:tc>
          <w:tcPr>
            <w:tcW w:w="358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13,744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14,201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40,689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37,416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8.7 %</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128,880</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121,835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5.8 %</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382,784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349,857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9.4 %</w:t>
            </w:r>
          </w:p>
        </w:tc>
        <w:tc>
          <w:tcPr>
            <w:tcW w:w="0" w:type="dxa"/>
            <w:vAlign w:val="bottom"/>
          </w:tcPr>
          <w:p>
            <w:pPr>
              <w:spacing w:after="0"/>
              <w:rPr>
                <w:sz w:val="1"/>
                <w:szCs w:val="1"/>
                <w:color w:val="auto"/>
              </w:rPr>
            </w:pPr>
          </w:p>
        </w:tc>
      </w:tr>
      <w:tr>
        <w:trPr>
          <w:trHeight w:val="177"/>
        </w:trPr>
        <w:tc>
          <w:tcPr>
            <w:tcW w:w="3580" w:type="dxa"/>
            <w:vAlign w:val="bottom"/>
          </w:tcPr>
          <w:p>
            <w:pPr>
              <w:spacing w:after="0"/>
              <w:rPr>
                <w:sz w:val="20"/>
                <w:szCs w:val="20"/>
                <w:color w:val="auto"/>
              </w:rPr>
            </w:pPr>
            <w:r>
              <w:rPr>
                <w:rFonts w:ascii="Arial" w:cs="Arial" w:eastAsia="Arial" w:hAnsi="Arial"/>
                <w:sz w:val="15"/>
                <w:szCs w:val="15"/>
                <w:b w:val="1"/>
                <w:bCs w:val="1"/>
                <w:color w:val="auto"/>
              </w:rPr>
              <w:t>Advanced Circulatory Support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10,562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29,423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28,183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197"/>
        </w:trPr>
        <w:tc>
          <w:tcPr>
            <w:tcW w:w="358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114</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143.0 %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522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1,220</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22.8 %</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266</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89"/>
        </w:trPr>
        <w:tc>
          <w:tcPr>
            <w:tcW w:w="3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8,636</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26.8 %</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30,211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29,671</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1.8 %</w:t>
            </w: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line="189" w:lineRule="exact"/>
              <w:rPr>
                <w:sz w:val="20"/>
                <w:szCs w:val="20"/>
                <w:color w:val="auto"/>
              </w:rPr>
            </w:pPr>
            <w:r>
              <w:rPr>
                <w:rFonts w:ascii="Arial" w:cs="Arial" w:eastAsia="Arial" w:hAnsi="Arial"/>
                <w:sz w:val="15"/>
                <w:szCs w:val="15"/>
                <w:b w:val="1"/>
                <w:bCs w:val="1"/>
                <w:color w:val="auto"/>
              </w:rPr>
              <w:t xml:space="preserve">Other Revenue </w:t>
            </w:r>
            <w:r>
              <w:rPr>
                <w:rFonts w:ascii="Arial" w:cs="Arial" w:eastAsia="Arial" w:hAnsi="Arial"/>
                <w:sz w:val="20"/>
                <w:szCs w:val="20"/>
                <w:b w:val="1"/>
                <w:bCs w:val="1"/>
                <w:color w:val="auto"/>
                <w:vertAlign w:val="superscript"/>
              </w:rPr>
              <w:t>(2)</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1,454</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23.7 %</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2,916</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77"/>
        </w:trPr>
        <w:tc>
          <w:tcPr>
            <w:tcW w:w="3580" w:type="dxa"/>
            <w:vAlign w:val="bottom"/>
          </w:tcPr>
          <w:p>
            <w:pPr>
              <w:spacing w:after="0"/>
              <w:rPr>
                <w:sz w:val="20"/>
                <w:szCs w:val="20"/>
                <w:color w:val="auto"/>
              </w:rPr>
            </w:pPr>
            <w:r>
              <w:rPr>
                <w:rFonts w:ascii="Arial" w:cs="Arial" w:eastAsia="Arial" w:hAnsi="Arial"/>
                <w:sz w:val="15"/>
                <w:szCs w:val="15"/>
                <w:b w:val="1"/>
                <w:bCs w:val="1"/>
                <w:color w:val="auto"/>
              </w:rPr>
              <w:t>Totals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161,583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12.7 %</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461,823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417,765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10.5 %</w:t>
            </w:r>
          </w:p>
        </w:tc>
        <w:tc>
          <w:tcPr>
            <w:tcW w:w="0" w:type="dxa"/>
            <w:vAlign w:val="bottom"/>
          </w:tcPr>
          <w:p>
            <w:pPr>
              <w:spacing w:after="0"/>
              <w:rPr>
                <w:sz w:val="1"/>
                <w:szCs w:val="1"/>
                <w:color w:val="auto"/>
              </w:rPr>
            </w:pPr>
          </w:p>
        </w:tc>
      </w:tr>
      <w:tr>
        <w:trPr>
          <w:trHeight w:val="197"/>
        </w:trPr>
        <w:tc>
          <w:tcPr>
            <w:tcW w:w="358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48,129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39,998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20.3 %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5"/>
                <w:szCs w:val="15"/>
                <w:color w:val="auto"/>
              </w:rPr>
              <w:t>152,231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132,496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14.9 %</w:t>
            </w:r>
          </w:p>
        </w:tc>
        <w:tc>
          <w:tcPr>
            <w:tcW w:w="0" w:type="dxa"/>
            <w:vAlign w:val="bottom"/>
          </w:tcPr>
          <w:p>
            <w:pPr>
              <w:spacing w:after="0"/>
              <w:rPr>
                <w:sz w:val="1"/>
                <w:szCs w:val="1"/>
                <w:color w:val="auto"/>
              </w:rPr>
            </w:pPr>
          </w:p>
        </w:tc>
      </w:tr>
      <w:tr>
        <w:trPr>
          <w:trHeight w:val="197"/>
        </w:trPr>
        <w:tc>
          <w:tcPr>
            <w:tcW w:w="35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76,401</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69,197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10.4 %</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229,359</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196,670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16.6 %</w:t>
            </w:r>
          </w:p>
        </w:tc>
        <w:tc>
          <w:tcPr>
            <w:tcW w:w="0" w:type="dxa"/>
            <w:vAlign w:val="bottom"/>
          </w:tcPr>
          <w:p>
            <w:pPr>
              <w:spacing w:after="0"/>
              <w:rPr>
                <w:sz w:val="1"/>
                <w:szCs w:val="1"/>
                <w:color w:val="auto"/>
              </w:rPr>
            </w:pPr>
          </w:p>
        </w:tc>
      </w:tr>
      <w:tr>
        <w:trPr>
          <w:trHeight w:val="189"/>
        </w:trPr>
        <w:tc>
          <w:tcPr>
            <w:tcW w:w="3580" w:type="dxa"/>
            <w:vAlign w:val="bottom"/>
          </w:tcPr>
          <w:p>
            <w:pPr>
              <w:ind w:left="4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286,113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252,605</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13.3 %</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843,413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746,931</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12.9 %</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560" w:hanging="288"/>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countries in Europe where the Company has a direct sales presence. Countries where sales are made through distributors are included in “Rest of World.”</w:t>
      </w:r>
    </w:p>
    <w:p>
      <w:pPr>
        <w:spacing w:after="0" w:line="36" w:lineRule="exact"/>
        <w:rPr>
          <w:rFonts w:ascii="Arial" w:cs="Arial" w:eastAsia="Arial" w:hAnsi="Arial"/>
          <w:sz w:val="14"/>
          <w:szCs w:val="14"/>
          <w:color w:val="auto"/>
        </w:rPr>
      </w:pPr>
    </w:p>
    <w:p>
      <w:pPr>
        <w:ind w:left="560" w:hanging="288"/>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revenue primarily includes rental income not allocated to segments.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34" w:name="page35"/>
    <w:bookmarkEnd w:id="34"/>
    <w:p>
      <w:pPr>
        <w:ind w:left="140"/>
        <w:spacing w:after="0"/>
        <w:rPr>
          <w:sz w:val="20"/>
          <w:szCs w:val="20"/>
          <w:color w:val="auto"/>
        </w:rPr>
      </w:pPr>
      <w:r>
        <w:rPr>
          <w:rFonts w:ascii="Arial" w:cs="Arial" w:eastAsia="Arial" w:hAnsi="Arial"/>
          <w:sz w:val="15"/>
          <w:szCs w:val="15"/>
          <w:color w:val="auto"/>
        </w:rPr>
        <w:t>The table below presents segment income (loss) (in thousands, except for percentages):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6"/>
          </w:tcPr>
          <w:p>
            <w:pPr>
              <w:jc w:val="right"/>
              <w:ind w:right="890"/>
              <w:spacing w:after="0"/>
              <w:rPr>
                <w:sz w:val="20"/>
                <w:szCs w:val="20"/>
                <w:color w:val="auto"/>
              </w:rPr>
            </w:pPr>
            <w:r>
              <w:rPr>
                <w:rFonts w:ascii="Arial" w:cs="Arial" w:eastAsia="Arial" w:hAnsi="Arial"/>
                <w:sz w:val="15"/>
                <w:szCs w:val="15"/>
                <w:b w:val="1"/>
                <w:bCs w:val="1"/>
                <w:color w:val="auto"/>
                <w:w w:val="97"/>
              </w:rPr>
              <w:t>Three Months Ended September 30,</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6"/>
          </w:tcPr>
          <w:p>
            <w:pPr>
              <w:jc w:val="right"/>
              <w:ind w:right="950"/>
              <w:spacing w:after="0"/>
              <w:rPr>
                <w:sz w:val="20"/>
                <w:szCs w:val="20"/>
                <w:color w:val="auto"/>
              </w:rPr>
            </w:pPr>
            <w:r>
              <w:rPr>
                <w:rFonts w:ascii="Arial" w:cs="Arial" w:eastAsia="Arial" w:hAnsi="Arial"/>
                <w:sz w:val="15"/>
                <w:szCs w:val="15"/>
                <w:b w:val="1"/>
                <w:bCs w:val="1"/>
                <w:color w:val="auto"/>
              </w:rPr>
              <w:t>Nine Months Ended September 30,</w:t>
            </w:r>
          </w:p>
        </w:tc>
      </w:tr>
      <w:tr>
        <w:trPr>
          <w:trHeight w:val="189"/>
        </w:trPr>
        <w:tc>
          <w:tcPr>
            <w:tcW w:w="25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Cardiopulmonary</w:t>
            </w:r>
          </w:p>
        </w:tc>
        <w:tc>
          <w:tcPr>
            <w:tcW w:w="8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(3,959)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(10,324)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15,006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6,879.5 %</w:t>
            </w:r>
          </w:p>
        </w:tc>
      </w:tr>
      <w:tr>
        <w:trPr>
          <w:trHeight w:val="197"/>
        </w:trPr>
        <w:tc>
          <w:tcPr>
            <w:tcW w:w="2540" w:type="dxa"/>
            <w:vAlign w:val="bottom"/>
          </w:tcPr>
          <w:p>
            <w:pPr>
              <w:spacing w:after="0"/>
              <w:rPr>
                <w:sz w:val="20"/>
                <w:szCs w:val="20"/>
                <w:color w:val="auto"/>
              </w:rPr>
            </w:pPr>
            <w:r>
              <w:rPr>
                <w:rFonts w:ascii="Arial" w:cs="Arial" w:eastAsia="Arial" w:hAnsi="Arial"/>
                <w:sz w:val="15"/>
                <w:szCs w:val="15"/>
                <w:color w:val="auto"/>
              </w:rPr>
              <w:t>Neuromodulation</w:t>
            </w:r>
          </w:p>
        </w:tc>
        <w:tc>
          <w:tcPr>
            <w:tcW w:w="84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w w:val="87"/>
              </w:rPr>
              <w:t>41,930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43,281</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107,084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132,119</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(18.9)%</w:t>
            </w:r>
          </w:p>
        </w:tc>
      </w:tr>
      <w:tr>
        <w:trPr>
          <w:trHeight w:val="197"/>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Advanced Circulatory Support</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2,884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(134,902)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w:t>
            </w: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(8,315)</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(136,855)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(93.9)%</w:t>
            </w:r>
          </w:p>
        </w:tc>
      </w:tr>
      <w:tr>
        <w:trPr>
          <w:trHeight w:val="189"/>
        </w:trPr>
        <w:tc>
          <w:tcPr>
            <w:tcW w:w="2540" w:type="dxa"/>
            <w:vAlign w:val="bottom"/>
          </w:tcPr>
          <w:p>
            <w:pPr>
              <w:spacing w:after="0" w:line="189" w:lineRule="exact"/>
              <w:rPr>
                <w:sz w:val="20"/>
                <w:szCs w:val="20"/>
                <w:color w:val="auto"/>
              </w:rPr>
            </w:pPr>
            <w:r>
              <w:rPr>
                <w:rFonts w:ascii="Arial" w:cs="Arial" w:eastAsia="Arial" w:hAnsi="Arial"/>
                <w:sz w:val="15"/>
                <w:szCs w:val="15"/>
                <w:color w:val="auto"/>
              </w:rPr>
              <w:t xml:space="preserve">Segment income (loss) </w:t>
            </w:r>
            <w:r>
              <w:rPr>
                <w:rFonts w:ascii="Arial" w:cs="Arial" w:eastAsia="Arial" w:hAnsi="Arial"/>
                <w:sz w:val="20"/>
                <w:szCs w:val="20"/>
                <w:color w:val="auto"/>
                <w:vertAlign w:val="superscript"/>
              </w:rPr>
              <w:t>(1)</w:t>
            </w:r>
          </w:p>
        </w:tc>
        <w:tc>
          <w:tcPr>
            <w:tcW w:w="84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87"/>
              </w:rPr>
              <w:t>40,855</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(101,945)</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(140.1)%</w:t>
            </w:r>
          </w:p>
        </w:tc>
        <w:tc>
          <w:tcPr>
            <w:tcW w:w="80" w:type="dxa"/>
            <w:vAlign w:val="bottom"/>
          </w:tcPr>
          <w:p>
            <w:pPr>
              <w:spacing w:after="0"/>
              <w:rPr>
                <w:sz w:val="16"/>
                <w:szCs w:val="16"/>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113,775</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(4,521)</w:t>
            </w:r>
          </w:p>
        </w:tc>
        <w:tc>
          <w:tcPr>
            <w:tcW w:w="1560" w:type="dxa"/>
            <w:vAlign w:val="bottom"/>
            <w:gridSpan w:val="2"/>
          </w:tcPr>
          <w:p>
            <w:pPr>
              <w:jc w:val="right"/>
              <w:spacing w:after="0"/>
              <w:rPr>
                <w:sz w:val="20"/>
                <w:szCs w:val="20"/>
                <w:color w:val="auto"/>
              </w:rPr>
            </w:pPr>
            <w:r>
              <w:rPr>
                <w:rFonts w:ascii="Arial" w:cs="Arial" w:eastAsia="Arial" w:hAnsi="Arial"/>
                <w:sz w:val="15"/>
                <w:szCs w:val="15"/>
                <w:color w:val="auto"/>
              </w:rPr>
              <w:t>(2,616.6)%</w:t>
            </w:r>
          </w:p>
        </w:tc>
      </w:tr>
      <w:tr>
        <w:trPr>
          <w:trHeight w:val="20"/>
        </w:trPr>
        <w:tc>
          <w:tcPr>
            <w:tcW w:w="2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54" w:lineRule="exact"/>
        <w:rPr>
          <w:sz w:val="20"/>
          <w:szCs w:val="20"/>
          <w:color w:val="auto"/>
        </w:rPr>
      </w:pPr>
    </w:p>
    <w:p>
      <w:pPr>
        <w:ind w:left="560" w:right="460" w:hanging="288"/>
        <w:spacing w:after="0" w:line="285" w:lineRule="auto"/>
        <w:tabs>
          <w:tab w:leader="none" w:pos="5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a reconciliation of segment income (loss) to consolidated (loss) income before tax refer to “Note 13. Geographic and Segment Information” in the condensed consolidated financial statements in this Quarterly Report on Form 10-Q.</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Cardiopulmonary</w:t>
      </w:r>
    </w:p>
    <w:p>
      <w:pPr>
        <w:spacing w:after="0" w:line="111" w:lineRule="exact"/>
        <w:rPr>
          <w:sz w:val="20"/>
          <w:szCs w:val="20"/>
          <w:color w:val="auto"/>
        </w:rPr>
      </w:pPr>
    </w:p>
    <w:p>
      <w:pPr>
        <w:ind w:right="100" w:firstLine="139"/>
        <w:spacing w:after="0" w:line="282" w:lineRule="auto"/>
        <w:rPr>
          <w:sz w:val="20"/>
          <w:szCs w:val="20"/>
          <w:color w:val="auto"/>
        </w:rPr>
      </w:pPr>
      <w:r>
        <w:rPr>
          <w:rFonts w:ascii="Arial" w:cs="Arial" w:eastAsia="Arial" w:hAnsi="Arial"/>
          <w:sz w:val="15"/>
          <w:szCs w:val="15"/>
          <w:color w:val="auto"/>
        </w:rPr>
        <w:t>Cardiopulmonary net revenue for the three and nine months ended September 30, 2023 increased 19.7% to $144.8 million and 17.5% to $427.5 million, respectively, compared to the three and nine months ended September 30, 2022, respectively, with growth across all regions, driven by increased heart-lung machine placements, including Essenz Perfusion System installations in the U.S. and Europe, and strong oxygenator demand.</w:t>
      </w:r>
    </w:p>
    <w:p>
      <w:pPr>
        <w:spacing w:after="0" w:line="65" w:lineRule="exact"/>
        <w:rPr>
          <w:sz w:val="20"/>
          <w:szCs w:val="20"/>
          <w:color w:val="auto"/>
        </w:rPr>
      </w:pPr>
    </w:p>
    <w:p>
      <w:pPr>
        <w:ind w:right="40" w:firstLine="139"/>
        <w:spacing w:after="0" w:line="274" w:lineRule="auto"/>
        <w:rPr>
          <w:sz w:val="20"/>
          <w:szCs w:val="20"/>
          <w:color w:val="auto"/>
        </w:rPr>
      </w:pPr>
      <w:r>
        <w:rPr>
          <w:rFonts w:ascii="Arial" w:cs="Arial" w:eastAsia="Arial" w:hAnsi="Arial"/>
          <w:sz w:val="15"/>
          <w:szCs w:val="15"/>
          <w:color w:val="auto"/>
        </w:rPr>
        <w:t>Cardiopulmonary segment loss for the three months ended September 30, 2023 was $4.0 million, compared to $10.3 million for the three months ended September 30, 2022. The decrease in segment loss was primarily due to the increase in net revenue, as described above, and a decrease in the litigation provision related to LivaNova’s 3T Heater-Cooler device of $5.0 million, partially offset by an increase in sales and marketing expense associated with the launch of Essenz. Cardiopulmonary segment income for the nine months ended September 30, 2023 was $15.0 million, compared to $0.2 million for the nine months ended September 30, 2022. The increase in segment income was primarily due to the increase in net revenue, as described above, partially offset by an increase in sales and marketing expense associated with the launch of Essenz, as well as an increase in the litigation provision related to LivaNova’s 3T Heater-Cooler device of $6.4 million.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Neuromodulation</w:t>
      </w:r>
    </w:p>
    <w:p>
      <w:pPr>
        <w:spacing w:after="0" w:line="99" w:lineRule="exact"/>
        <w:rPr>
          <w:sz w:val="20"/>
          <w:szCs w:val="20"/>
          <w:color w:val="auto"/>
        </w:rPr>
      </w:pPr>
    </w:p>
    <w:p>
      <w:pPr>
        <w:ind w:right="20" w:firstLine="139"/>
        <w:spacing w:after="0" w:line="282" w:lineRule="auto"/>
        <w:rPr>
          <w:sz w:val="20"/>
          <w:szCs w:val="20"/>
          <w:color w:val="auto"/>
        </w:rPr>
      </w:pPr>
      <w:r>
        <w:rPr>
          <w:rFonts w:ascii="Arial" w:cs="Arial" w:eastAsia="Arial" w:hAnsi="Arial"/>
          <w:sz w:val="15"/>
          <w:szCs w:val="15"/>
          <w:color w:val="auto"/>
        </w:rPr>
        <w:t>Neuromodulation net revenue for the three and nine months ended September 30, 2023 increased 5.8% to $128.9 million and 9.4% to $382.8 million, respectively, compared to the three and nine months ended September 30, 2022, respectively. For the three-month comparative period, net revenue increased with growth in the U.S. and Europe regions. For the nine-month comparative period, net revenue increased with growth across all regions.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Neuromodulation segment income for the three and nine months ended September 30, 2023 was $41.9 million and $107.1 million, respectively, compared to $43.3 million and</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$132.1 million for the three and nine months ended September 30, 2022, respectively. The decreases in segment income were primarily due to the net unfavorable impact of the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change in fair value of the sales-based and milestone-based contingent consideration arrangement associated with the acquisition of ImThera of $7.2 million and $29.3 million for</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the three- and nine-month comparative periods, respectively, as well as an increase in R&amp;D expense for the three- and nine-month comparative periods totaling $1.8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$10.6 million, respectively, associated with the Company’s RECOVER clinical study and OSPREY clinical trial. These increases in expense were partially offset by the increase in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net revenue, as described above.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Advanced Circulatory Support</w:t>
      </w:r>
    </w:p>
    <w:p>
      <w:pPr>
        <w:spacing w:after="0" w:line="99" w:lineRule="exact"/>
        <w:rPr>
          <w:sz w:val="20"/>
          <w:szCs w:val="20"/>
          <w:color w:val="auto"/>
        </w:rPr>
      </w:pPr>
    </w:p>
    <w:p>
      <w:pPr>
        <w:ind w:right="180" w:firstLine="139"/>
        <w:spacing w:after="0" w:line="307" w:lineRule="auto"/>
        <w:rPr>
          <w:sz w:val="20"/>
          <w:szCs w:val="20"/>
          <w:color w:val="auto"/>
        </w:rPr>
      </w:pPr>
      <w:r>
        <w:rPr>
          <w:rFonts w:ascii="Arial" w:cs="Arial" w:eastAsia="Arial" w:hAnsi="Arial"/>
          <w:sz w:val="15"/>
          <w:szCs w:val="15"/>
          <w:color w:val="auto"/>
        </w:rPr>
        <w:t>ACS net revenue for the three and nine months ended September 30, 2023, increased 26.8% and 1.8% to $11.0 million and $30.2 million, respectively, compared to $8.6 million and $29.7 million for the three and nine months ended September 30, 2022, respectively, reflecting growth in case volumes.</w:t>
      </w:r>
    </w:p>
    <w:p>
      <w:pPr>
        <w:spacing w:after="0" w:line="35" w:lineRule="exact"/>
        <w:rPr>
          <w:sz w:val="20"/>
          <w:szCs w:val="20"/>
          <w:color w:val="auto"/>
        </w:rPr>
      </w:pPr>
    </w:p>
    <w:p>
      <w:pPr>
        <w:ind w:right="100" w:firstLine="139"/>
        <w:spacing w:after="0" w:line="278" w:lineRule="auto"/>
        <w:rPr>
          <w:sz w:val="20"/>
          <w:szCs w:val="20"/>
          <w:color w:val="auto"/>
        </w:rPr>
      </w:pPr>
      <w:r>
        <w:rPr>
          <w:rFonts w:ascii="Arial" w:cs="Arial" w:eastAsia="Arial" w:hAnsi="Arial"/>
          <w:sz w:val="15"/>
          <w:szCs w:val="15"/>
          <w:color w:val="auto"/>
        </w:rPr>
        <w:t>ACS segment income for the three months ended September 30, 2023, was $2.9 million, compared to segment loss of $134.9 million for the three months ended September 30, 2022. ACS segment loss for the nine months ended September 30, 2023, was $8.3 million, compared to $136.9 million for the nine months ended September 30, 2022. These increases in segment income were primarily due to the impairment of the goodwill associated with the Company’s ACS segment of $129.4 million during the three and nine months ended September 30, 2022. For additional information, please refer to “Note 4. Goodwill and Intangible Assets” in the condensed consolidated financial statements in this Quarterly Report on Form 10-Q.</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Cost of Sales and Expenses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420" w:type="dxa"/>
            <w:vAlign w:val="bottom"/>
            <w:gridSpan w:val="12"/>
          </w:tcPr>
          <w:p>
            <w:pPr>
              <w:ind w:left="140"/>
              <w:spacing w:after="0"/>
              <w:rPr>
                <w:sz w:val="20"/>
                <w:szCs w:val="20"/>
                <w:color w:val="auto"/>
              </w:rPr>
            </w:pPr>
            <w:r>
              <w:rPr>
                <w:rFonts w:ascii="Arial" w:cs="Arial" w:eastAsia="Arial" w:hAnsi="Arial"/>
                <w:sz w:val="15"/>
                <w:szCs w:val="15"/>
                <w:color w:val="auto"/>
                <w:w w:val="93"/>
              </w:rPr>
              <w:t>The following table presents costs and expenses as a percentage of net revenue for the three and nine months ended September 30, 2023 and 2022:</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2"/>
        </w:trPr>
        <w:tc>
          <w:tcPr>
            <w:tcW w:w="3300" w:type="dxa"/>
            <w:vAlign w:val="bottom"/>
          </w:tcPr>
          <w:p>
            <w:pPr>
              <w:spacing w:after="0"/>
              <w:rPr>
                <w:sz w:val="20"/>
                <w:szCs w:val="20"/>
                <w:color w:val="auto"/>
              </w:rPr>
            </w:pPr>
          </w:p>
        </w:tc>
        <w:tc>
          <w:tcPr>
            <w:tcW w:w="4000" w:type="dxa"/>
            <w:vAlign w:val="bottom"/>
            <w:gridSpan w:val="7"/>
          </w:tcPr>
          <w:p>
            <w:pPr>
              <w:ind w:left="760"/>
              <w:spacing w:after="0"/>
              <w:rPr>
                <w:sz w:val="20"/>
                <w:szCs w:val="20"/>
                <w:color w:val="auto"/>
              </w:rPr>
            </w:pPr>
            <w:r>
              <w:rPr>
                <w:rFonts w:ascii="Arial" w:cs="Arial" w:eastAsia="Arial" w:hAnsi="Arial"/>
                <w:sz w:val="15"/>
                <w:szCs w:val="15"/>
                <w:b w:val="1"/>
                <w:bCs w:val="1"/>
                <w:color w:val="auto"/>
              </w:rPr>
              <w:t>Three Months Ended September 30,</w:t>
            </w:r>
          </w:p>
        </w:tc>
        <w:tc>
          <w:tcPr>
            <w:tcW w:w="780" w:type="dxa"/>
            <w:vAlign w:val="bottom"/>
          </w:tcPr>
          <w:p>
            <w:pPr>
              <w:spacing w:after="0"/>
              <w:rPr>
                <w:sz w:val="20"/>
                <w:szCs w:val="20"/>
                <w:color w:val="auto"/>
              </w:rPr>
            </w:pPr>
          </w:p>
        </w:tc>
        <w:tc>
          <w:tcPr>
            <w:tcW w:w="3180" w:type="dxa"/>
            <w:vAlign w:val="bottom"/>
            <w:gridSpan w:val="6"/>
          </w:tcPr>
          <w:p>
            <w:pPr>
              <w:jc w:val="center"/>
              <w:ind w:right="703"/>
              <w:spacing w:after="0"/>
              <w:rPr>
                <w:sz w:val="20"/>
                <w:szCs w:val="20"/>
                <w:color w:val="auto"/>
              </w:rPr>
            </w:pPr>
            <w:r>
              <w:rPr>
                <w:rFonts w:ascii="Arial" w:cs="Arial" w:eastAsia="Arial" w:hAnsi="Arial"/>
                <w:sz w:val="15"/>
                <w:szCs w:val="15"/>
                <w:b w:val="1"/>
                <w:bCs w:val="1"/>
                <w:color w:val="auto"/>
                <w:w w:val="94"/>
              </w:rPr>
              <w:t>Nine Months Ended September 30,</w:t>
            </w:r>
          </w:p>
        </w:tc>
      </w:tr>
      <w:tr>
        <w:trPr>
          <w:trHeight w:val="189"/>
        </w:trPr>
        <w:tc>
          <w:tcPr>
            <w:tcW w:w="33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2022</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Change</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2023</w:t>
            </w:r>
          </w:p>
        </w:tc>
        <w:tc>
          <w:tcPr>
            <w:tcW w:w="1340" w:type="dxa"/>
            <w:vAlign w:val="bottom"/>
            <w:tcBorders>
              <w:top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2022</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Change</w:t>
            </w:r>
          </w:p>
        </w:tc>
      </w:tr>
      <w:tr>
        <w:trPr>
          <w:trHeight w:val="189"/>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Cost of sales</w:t>
            </w: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29.5 %</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32.3 %</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31.1 %</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29.9 %</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1.2 %</w:t>
            </w:r>
          </w:p>
        </w:tc>
      </w:tr>
      <w:tr>
        <w:trPr>
          <w:trHeight w:val="197"/>
        </w:trPr>
        <w:tc>
          <w:tcPr>
            <w:tcW w:w="4080" w:type="dxa"/>
            <w:vAlign w:val="bottom"/>
            <w:gridSpan w:val="2"/>
          </w:tcPr>
          <w:p>
            <w:pPr>
              <w:spacing w:after="0"/>
              <w:rPr>
                <w:sz w:val="20"/>
                <w:szCs w:val="20"/>
                <w:color w:val="auto"/>
              </w:rPr>
            </w:pPr>
            <w:r>
              <w:rPr>
                <w:rFonts w:ascii="Arial" w:cs="Arial" w:eastAsia="Arial" w:hAnsi="Arial"/>
                <w:sz w:val="15"/>
                <w:szCs w:val="15"/>
                <w:color w:val="auto"/>
              </w:rPr>
              <w:t>Selling, general and administrative</w:t>
            </w:r>
          </w:p>
        </w:tc>
        <w:tc>
          <w:tcPr>
            <w:tcW w:w="460" w:type="dxa"/>
            <w:vAlign w:val="bottom"/>
          </w:tcPr>
          <w:p>
            <w:pPr>
              <w:jc w:val="right"/>
              <w:spacing w:after="0"/>
              <w:rPr>
                <w:sz w:val="20"/>
                <w:szCs w:val="20"/>
                <w:color w:val="auto"/>
              </w:rPr>
            </w:pPr>
            <w:r>
              <w:rPr>
                <w:rFonts w:ascii="Arial" w:cs="Arial" w:eastAsia="Arial" w:hAnsi="Arial"/>
                <w:sz w:val="15"/>
                <w:szCs w:val="15"/>
                <w:color w:val="auto"/>
                <w:w w:val="89"/>
              </w:rPr>
              <w:t>47.1 %</w:t>
            </w: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45.4 %</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1.7 %</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9"/>
              </w:rPr>
              <w:t>45.6 %</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89"/>
              </w:rPr>
              <w:t>46.8 %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98"/>
        </w:trPr>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16.3 %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17.5 %</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14.8 %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2.7 %</w:t>
            </w:r>
          </w:p>
        </w:tc>
      </w:tr>
      <w:tr>
        <w:trPr>
          <w:trHeight w:val="197"/>
        </w:trPr>
        <w:tc>
          <w:tcPr>
            <w:tcW w:w="4080" w:type="dxa"/>
            <w:vAlign w:val="bottom"/>
            <w:gridSpan w:val="2"/>
          </w:tcPr>
          <w:p>
            <w:pPr>
              <w:spacing w:after="0"/>
              <w:rPr>
                <w:sz w:val="20"/>
                <w:szCs w:val="20"/>
                <w:color w:val="auto"/>
              </w:rPr>
            </w:pPr>
            <w:r>
              <w:rPr>
                <w:rFonts w:ascii="Arial" w:cs="Arial" w:eastAsia="Arial" w:hAnsi="Arial"/>
                <w:sz w:val="15"/>
                <w:szCs w:val="15"/>
                <w:color w:val="auto"/>
              </w:rPr>
              <w:t>Impairment of goodwill</w:t>
            </w:r>
          </w:p>
        </w:tc>
        <w:tc>
          <w:tcPr>
            <w:tcW w:w="560" w:type="dxa"/>
            <w:vAlign w:val="bottom"/>
            <w:gridSpan w:val="2"/>
          </w:tcPr>
          <w:p>
            <w:pPr>
              <w:jc w:val="right"/>
              <w:ind w:right="120"/>
              <w:spacing w:after="0"/>
              <w:rPr>
                <w:sz w:val="20"/>
                <w:szCs w:val="20"/>
                <w:color w:val="auto"/>
              </w:rPr>
            </w:pPr>
            <w:r>
              <w:rPr>
                <w:rFonts w:ascii="Arial" w:cs="Arial" w:eastAsia="Arial" w:hAnsi="Arial"/>
                <w:sz w:val="15"/>
                <w:szCs w:val="15"/>
                <w:color w:val="auto"/>
              </w:rPr>
              <w:t>— %</w:t>
            </w:r>
          </w:p>
        </w:tc>
        <w:tc>
          <w:tcPr>
            <w:tcW w:w="1220" w:type="dxa"/>
            <w:vAlign w:val="bottom"/>
          </w:tcPr>
          <w:p>
            <w:pPr>
              <w:jc w:val="right"/>
              <w:spacing w:after="0"/>
              <w:rPr>
                <w:sz w:val="20"/>
                <w:szCs w:val="20"/>
                <w:color w:val="auto"/>
              </w:rPr>
            </w:pPr>
            <w:r>
              <w:rPr>
                <w:rFonts w:ascii="Arial" w:cs="Arial" w:eastAsia="Arial" w:hAnsi="Arial"/>
                <w:sz w:val="15"/>
                <w:szCs w:val="15"/>
                <w:color w:val="auto"/>
              </w:rPr>
              <w:t>51.2 %</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(51.2)%</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gridSpan w:val="3"/>
          </w:tcPr>
          <w:p>
            <w:pPr>
              <w:jc w:val="right"/>
              <w:ind w:right="900"/>
              <w:spacing w:after="0"/>
              <w:rPr>
                <w:sz w:val="20"/>
                <w:szCs w:val="20"/>
                <w:color w:val="auto"/>
              </w:rPr>
            </w:pPr>
            <w:r>
              <w:rPr>
                <w:rFonts w:ascii="Arial" w:cs="Arial" w:eastAsia="Arial" w:hAnsi="Arial"/>
                <w:sz w:val="15"/>
                <w:szCs w:val="15"/>
                <w:color w:val="auto"/>
              </w:rPr>
              <w:t>— %</w:t>
            </w:r>
          </w:p>
        </w:tc>
        <w:tc>
          <w:tcPr>
            <w:tcW w:w="460" w:type="dxa"/>
            <w:vAlign w:val="bottom"/>
          </w:tcPr>
          <w:p>
            <w:pPr>
              <w:jc w:val="right"/>
              <w:spacing w:after="0"/>
              <w:rPr>
                <w:sz w:val="20"/>
                <w:szCs w:val="20"/>
                <w:color w:val="auto"/>
              </w:rPr>
            </w:pPr>
            <w:r>
              <w:rPr>
                <w:rFonts w:ascii="Arial" w:cs="Arial" w:eastAsia="Arial" w:hAnsi="Arial"/>
                <w:sz w:val="15"/>
                <w:szCs w:val="15"/>
                <w:color w:val="auto"/>
                <w:w w:val="89"/>
              </w:rPr>
              <w:t>17.3 %</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(17.3)%</w:t>
            </w:r>
          </w:p>
        </w:tc>
      </w:tr>
      <w:tr>
        <w:trPr>
          <w:trHeight w:val="198"/>
        </w:trPr>
        <w:tc>
          <w:tcPr>
            <w:tcW w:w="4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operating expense</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3.3 %</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0.2 %</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Cost of Sales</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Cost of sales consists primarily of direct labor, allocated manufacturing overhead and raw materials and components.</w:t>
      </w:r>
    </w:p>
    <w:p>
      <w:pPr>
        <w:spacing w:after="0" w:line="118" w:lineRule="exact"/>
        <w:rPr>
          <w:sz w:val="20"/>
          <w:szCs w:val="20"/>
          <w:color w:val="auto"/>
        </w:rPr>
      </w:pPr>
    </w:p>
    <w:p>
      <w:pPr>
        <w:ind w:right="60" w:firstLine="139"/>
        <w:spacing w:after="0" w:line="307" w:lineRule="auto"/>
        <w:rPr>
          <w:sz w:val="20"/>
          <w:szCs w:val="20"/>
          <w:color w:val="auto"/>
        </w:rPr>
      </w:pPr>
      <w:r>
        <w:rPr>
          <w:rFonts w:ascii="Arial" w:cs="Arial" w:eastAsia="Arial" w:hAnsi="Arial"/>
          <w:sz w:val="13"/>
          <w:szCs w:val="13"/>
          <w:color w:val="auto"/>
        </w:rPr>
        <w:t>Cost of sales as a percentage of net revenue was 29.5% for the three months ended September 30, 2023, a decrease of 2.8% compared to the three months ended September 30, 2022. Cost of sales as a percentage of net revenue was 31.1% for the nine months ended September 30, 2023, an increase of 1.2% compared to the nine months ended September 30,</w:t>
      </w:r>
    </w:p>
    <w:p>
      <w:pPr>
        <w:spacing w:after="0" w:line="1" w:lineRule="exact"/>
        <w:rPr>
          <w:sz w:val="20"/>
          <w:szCs w:val="20"/>
          <w:color w:val="auto"/>
        </w:rPr>
      </w:pPr>
    </w:p>
    <w:p>
      <w:pPr>
        <w:jc w:val="both"/>
        <w:ind w:right="340"/>
        <w:spacing w:after="0" w:line="282" w:lineRule="auto"/>
        <w:rPr>
          <w:sz w:val="20"/>
          <w:szCs w:val="20"/>
          <w:color w:val="auto"/>
        </w:rPr>
      </w:pPr>
      <w:r>
        <w:rPr>
          <w:rFonts w:ascii="Arial" w:cs="Arial" w:eastAsia="Arial" w:hAnsi="Arial"/>
          <w:sz w:val="15"/>
          <w:szCs w:val="15"/>
          <w:color w:val="auto"/>
        </w:rPr>
        <w:t>2022. The decrease for the three-month comparative period was primarily due to the net impact of the change in fair value of sales-based contingent consideration arrangements totaling $6.1 million. The increase for the nine-month comparative period was primarily due to the net impact of the change in fair value of sales-based contingent consideration arrangements totaling $13.0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Expense</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SG&amp;A expense is comprised of sales, marketing, and general and administrative activities.</w:t>
      </w:r>
    </w:p>
    <w:p>
      <w:pPr>
        <w:spacing w:after="0" w:line="118" w:lineRule="exact"/>
        <w:rPr>
          <w:sz w:val="20"/>
          <w:szCs w:val="20"/>
          <w:color w:val="auto"/>
        </w:rPr>
      </w:pPr>
    </w:p>
    <w:p>
      <w:pPr>
        <w:ind w:right="40" w:firstLine="139"/>
        <w:spacing w:after="0" w:line="302" w:lineRule="auto"/>
        <w:rPr>
          <w:sz w:val="20"/>
          <w:szCs w:val="20"/>
          <w:color w:val="auto"/>
        </w:rPr>
      </w:pPr>
      <w:r>
        <w:rPr>
          <w:rFonts w:ascii="Arial" w:cs="Arial" w:eastAsia="Arial" w:hAnsi="Arial"/>
          <w:sz w:val="14"/>
          <w:szCs w:val="14"/>
          <w:color w:val="auto"/>
        </w:rPr>
        <w:t>SG&amp;A expense as a percentage of net revenue was 47.1% for the three months ended September 30, 2023, an increase of 1.7% compared to the three months ended September 30, 2022, and 45.6% for the nine months ended September 30, 2023, a decrease of 1.2% compared to the nine months ended September 30, 2022. The increase for the three-month comparative period was primarily due to an increase in legal costs, partially offset by a decrease in sales and marketing expense as a percentage of net revenue. The decrease for the nine-month comparative period was primarily due to a decrease in stock-based compensation expense due to forfeitures of awards associated with the recent departure of the Company’s former CEO and prior year business development expense related to the acquisition of ALung, partially offset by an increase in legal costs.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w:t>
      </w:r>
    </w:p>
    <w:p>
      <w:pPr>
        <w:spacing w:after="0" w:line="111" w:lineRule="exact"/>
        <w:rPr>
          <w:sz w:val="20"/>
          <w:szCs w:val="20"/>
          <w:color w:val="auto"/>
        </w:rPr>
      </w:pPr>
    </w:p>
    <w:p>
      <w:pPr>
        <w:ind w:right="680" w:firstLine="139"/>
        <w:spacing w:after="0" w:line="291" w:lineRule="auto"/>
        <w:rPr>
          <w:sz w:val="20"/>
          <w:szCs w:val="20"/>
          <w:color w:val="auto"/>
        </w:rPr>
      </w:pPr>
      <w:r>
        <w:rPr>
          <w:rFonts w:ascii="Arial" w:cs="Arial" w:eastAsia="Arial" w:hAnsi="Arial"/>
          <w:sz w:val="15"/>
          <w:szCs w:val="15"/>
          <w:color w:val="auto"/>
        </w:rPr>
        <w:t>R&amp;D expense consists of product design and development efforts, clinical study programs and regulatory activities, which are essential to LivaNova’s strategic portfolio initiatives, including DTD, OSA and, until recently, heart failure.</w:t>
      </w:r>
    </w:p>
    <w:p>
      <w:pPr>
        <w:spacing w:after="0" w:line="58" w:lineRule="exact"/>
        <w:rPr>
          <w:sz w:val="20"/>
          <w:szCs w:val="20"/>
          <w:color w:val="auto"/>
        </w:rPr>
      </w:pPr>
    </w:p>
    <w:p>
      <w:pPr>
        <w:ind w:right="100" w:firstLine="139"/>
        <w:spacing w:after="0" w:line="335" w:lineRule="auto"/>
        <w:rPr>
          <w:sz w:val="20"/>
          <w:szCs w:val="20"/>
          <w:color w:val="auto"/>
        </w:rPr>
      </w:pPr>
      <w:r>
        <w:rPr>
          <w:rFonts w:ascii="Arial" w:cs="Arial" w:eastAsia="Arial" w:hAnsi="Arial"/>
          <w:sz w:val="13"/>
          <w:szCs w:val="13"/>
          <w:color w:val="auto"/>
        </w:rPr>
        <w:t>R&amp;D expense as a percentage of net revenue was 16.3% and 17.5% for the three and nine months ended September 30, 2023, respectively, an increase of 2.2% and 2.7% compared to the three and nine months ended September 30, 2022, respectively. These increases were primarily due to the net impact of the change in the fair value of milestone-based contingent consideration arrangements totaling $9.2 million and $24.9 million for the three- and nine-month comparative periods, respectively, as well as increases associated with the Company’s RECOVER clinical study and OSPREY clinical trial totaling $1.8 million and $10.6 million for the three- and nine-month comparative periods,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Impairment of Goodwill</w:t>
      </w:r>
    </w:p>
    <w:p>
      <w:pPr>
        <w:spacing w:after="0" w:line="145" w:lineRule="exact"/>
        <w:rPr>
          <w:sz w:val="20"/>
          <w:szCs w:val="20"/>
          <w:color w:val="auto"/>
        </w:rPr>
      </w:pPr>
    </w:p>
    <w:p>
      <w:pPr>
        <w:ind w:right="60" w:firstLine="139"/>
        <w:spacing w:after="0" w:line="305" w:lineRule="auto"/>
        <w:rPr>
          <w:sz w:val="20"/>
          <w:szCs w:val="20"/>
          <w:color w:val="auto"/>
        </w:rPr>
      </w:pPr>
      <w:r>
        <w:rPr>
          <w:rFonts w:ascii="Arial" w:cs="Arial" w:eastAsia="Arial" w:hAnsi="Arial"/>
          <w:sz w:val="14"/>
          <w:szCs w:val="14"/>
          <w:color w:val="auto"/>
        </w:rPr>
        <w:t>LivaNova tests goodwill for impairment on an annual basis on October 1 or when events or changes in circumstances indicate that a potential impairment exists. As part of LivaNova’s assessment as of September 30, 2022, the Company considered that revenue for the ACS reporting unit during the nine months ended September 30, 2022 had declined by approximately 29% compared to the prior year period, primarily as a result of a reduction in severe COVID-19 cases, hospital-related challenges and product mix. Furthermore, future revenue projections were reduced. Based on these circumstances, LivaNova concluded it was more likely than not that the goodwill of the Company’s ACS reporting unit was impaired, and performed a quantitative assessment of the goodwill as of September 30, 2022, using management’s current estimate of future cash flows. Based on the valuation performed, LivaNova determined that the fair value of the ACS reporting unit was less than the carrying value and recognized a goodwill impairment of $129.4 million in the Company’s condensed consolidated statements of income (loss) for the three and nine months ended September 30, 2022.</w:t>
      </w: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8" w:right="31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Other Operating Expense</w:t>
      </w:r>
    </w:p>
    <w:p>
      <w:pPr>
        <w:spacing w:after="0" w:line="99" w:lineRule="exact"/>
        <w:rPr>
          <w:sz w:val="20"/>
          <w:szCs w:val="20"/>
          <w:color w:val="auto"/>
        </w:rPr>
      </w:pPr>
    </w:p>
    <w:p>
      <w:pPr>
        <w:ind w:right="180" w:firstLine="139"/>
        <w:spacing w:after="0" w:line="307" w:lineRule="auto"/>
        <w:rPr>
          <w:sz w:val="20"/>
          <w:szCs w:val="20"/>
          <w:color w:val="auto"/>
        </w:rPr>
      </w:pPr>
      <w:r>
        <w:rPr>
          <w:rFonts w:ascii="Arial" w:cs="Arial" w:eastAsia="Arial" w:hAnsi="Arial"/>
          <w:sz w:val="15"/>
          <w:szCs w:val="15"/>
          <w:color w:val="auto"/>
        </w:rPr>
        <w:t>Other operating expense primarily consists of the provision for litigation involving LivaNova’s 3T Heater-Cooler device, the Saluggia site provision, restructuring expense, and merger and integration expense.</w:t>
      </w:r>
    </w:p>
    <w:p>
      <w:pPr>
        <w:spacing w:after="0" w:line="46" w:lineRule="exact"/>
        <w:rPr>
          <w:sz w:val="20"/>
          <w:szCs w:val="20"/>
          <w:color w:val="auto"/>
        </w:rPr>
      </w:pPr>
    </w:p>
    <w:p>
      <w:pPr>
        <w:ind w:right="40" w:firstLine="139"/>
        <w:spacing w:after="0" w:line="298" w:lineRule="auto"/>
        <w:rPr>
          <w:sz w:val="20"/>
          <w:szCs w:val="20"/>
          <w:color w:val="auto"/>
        </w:rPr>
      </w:pPr>
      <w:r>
        <w:rPr>
          <w:rFonts w:ascii="Arial" w:cs="Arial" w:eastAsia="Arial" w:hAnsi="Arial"/>
          <w:sz w:val="14"/>
          <w:szCs w:val="14"/>
          <w:color w:val="auto"/>
        </w:rPr>
        <w:t>Other operating expense as a percentage of net revenue was 5.6% for the three months ended September 30, 2023, a decrease of 3.6% compared to the three months ended September 30, 2022. Other operating expense as a percentage of net revenue was 3.5% for the nine months ended September 30, 2023, an increase of 0.2% compared to the nine months ended September 30, 2022. The decrease for the three-month comparative period was primarily due to a decline in the amount recorded for the litigation provision related to LivaNova’s 3T Heater-Cooler device of $5.0 million, partially offset by an increase in the Saluggia site provision of $2.3 million. For additional information on these provisions, please refer to “Note 8. Commitments and Contingencies” in the condensed consolidated financial statements in this Quarterly Report on Form 10-Q.</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w:t>
      </w:r>
    </w:p>
    <w:p>
      <w:pPr>
        <w:spacing w:after="0" w:line="99" w:lineRule="exact"/>
        <w:rPr>
          <w:sz w:val="20"/>
          <w:szCs w:val="20"/>
          <w:color w:val="auto"/>
        </w:rPr>
      </w:pPr>
    </w:p>
    <w:p>
      <w:pPr>
        <w:ind w:firstLine="139"/>
        <w:spacing w:after="0" w:line="280" w:lineRule="auto"/>
        <w:rPr>
          <w:sz w:val="20"/>
          <w:szCs w:val="20"/>
          <w:color w:val="auto"/>
        </w:rPr>
      </w:pPr>
      <w:r>
        <w:rPr>
          <w:rFonts w:ascii="Arial" w:cs="Arial" w:eastAsia="Arial" w:hAnsi="Arial"/>
          <w:sz w:val="15"/>
          <w:szCs w:val="15"/>
          <w:color w:val="auto"/>
        </w:rPr>
        <w:t>Interest expense for the three and nine months ended September 30, 2023, increased to $15.0 million and $43.2 million, respectively, compared to $12.7 million and $34.9 million for the three and nine months ended September 30, 2022, respectively, primarily due to an increase in interest rates and an increase in average borrowings, partially offset by a reduction in amortization of debt issuance costs for the nine-month comparative period. For further details, refer to “Note 6. Financing Arrangements” in the condensed consolidated financial statements in this Quarterly Report on Form 10-Q.</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Foreign Exchange and Other Income/(Expense)</w:t>
      </w:r>
    </w:p>
    <w:p>
      <w:pPr>
        <w:spacing w:after="0" w:line="99" w:lineRule="exact"/>
        <w:rPr>
          <w:sz w:val="20"/>
          <w:szCs w:val="20"/>
          <w:color w:val="auto"/>
        </w:rPr>
      </w:pPr>
    </w:p>
    <w:p>
      <w:pPr>
        <w:ind w:right="400" w:firstLine="139"/>
        <w:spacing w:after="0" w:line="346" w:lineRule="auto"/>
        <w:rPr>
          <w:sz w:val="20"/>
          <w:szCs w:val="20"/>
          <w:color w:val="auto"/>
        </w:rPr>
      </w:pPr>
      <w:r>
        <w:rPr>
          <w:rFonts w:ascii="Arial" w:cs="Arial" w:eastAsia="Arial" w:hAnsi="Arial"/>
          <w:sz w:val="14"/>
          <w:szCs w:val="14"/>
          <w:color w:val="auto"/>
        </w:rPr>
        <w:t>Foreign exchange and other income/(expense) consist primarily of gains and losses arising from transactions denominated in a currency different from an entity’s functional currency, FX derivative gains and losses, changes in the fair value of the embedded exchange feature and capped call derivatives and interest income.</w:t>
      </w:r>
    </w:p>
    <w:p>
      <w:pPr>
        <w:spacing w:after="0" w:line="23" w:lineRule="exact"/>
        <w:rPr>
          <w:sz w:val="20"/>
          <w:szCs w:val="20"/>
          <w:color w:val="auto"/>
        </w:rPr>
      </w:pPr>
    </w:p>
    <w:p>
      <w:pPr>
        <w:ind w:right="120" w:firstLine="139"/>
        <w:spacing w:after="0" w:line="282" w:lineRule="auto"/>
        <w:rPr>
          <w:sz w:val="20"/>
          <w:szCs w:val="20"/>
          <w:color w:val="auto"/>
        </w:rPr>
      </w:pPr>
      <w:r>
        <w:rPr>
          <w:rFonts w:ascii="Arial" w:cs="Arial" w:eastAsia="Arial" w:hAnsi="Arial"/>
          <w:sz w:val="15"/>
          <w:szCs w:val="15"/>
          <w:color w:val="auto"/>
        </w:rPr>
        <w:t>Foreign exchange and other income/(expense) was income of $8.6 million and $36.8 million for the three and nine months ended September 30, 2023, respectively, compared to income of $38.5 million and $44.1 million for the three and nine months ended September 30, 2022, respectively. For further details, refer to “Note 14. Supplemental Financial Information” in the condensed consolidated financial statements in this Quarterly Report on Form 10-Q.</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Income Taxes</w:t>
      </w:r>
    </w:p>
    <w:p>
      <w:pPr>
        <w:spacing w:after="0" w:line="111" w:lineRule="exact"/>
        <w:rPr>
          <w:sz w:val="20"/>
          <w:szCs w:val="20"/>
          <w:color w:val="auto"/>
        </w:rPr>
      </w:pPr>
    </w:p>
    <w:p>
      <w:pPr>
        <w:ind w:right="40" w:firstLine="139"/>
        <w:spacing w:after="0" w:line="280" w:lineRule="auto"/>
        <w:rPr>
          <w:sz w:val="20"/>
          <w:szCs w:val="20"/>
          <w:color w:val="auto"/>
        </w:rPr>
      </w:pPr>
      <w:r>
        <w:rPr>
          <w:rFonts w:ascii="Arial" w:cs="Arial" w:eastAsia="Arial" w:hAnsi="Arial"/>
          <w:sz w:val="15"/>
          <w:szCs w:val="15"/>
          <w:color w:val="auto"/>
        </w:rPr>
        <w:t>LivaNova PLC is resident in the UK for tax purposes. LivaNova’s subsidiaries conduct operations and earn income in numerous countries and are subject to the laws of taxing jurisdictions within those countries, and the income tax rates imposed in the tax jurisdictions in which the Company’s subsidiaries conduct operations vary. LivaNova’s effective income tax rate fluctuates based on, among other factors, changes in pretax income in countries with varying statutory tax rates, valuation allowances, tax credits and incentives and unrecognized tax benefits associated with uncertain tax positions.</w:t>
      </w:r>
    </w:p>
    <w:p>
      <w:pPr>
        <w:spacing w:after="0" w:line="54" w:lineRule="exact"/>
        <w:rPr>
          <w:sz w:val="20"/>
          <w:szCs w:val="20"/>
          <w:color w:val="auto"/>
        </w:rPr>
      </w:pPr>
    </w:p>
    <w:p>
      <w:pPr>
        <w:ind w:firstLine="139"/>
        <w:spacing w:after="0" w:line="278" w:lineRule="auto"/>
        <w:rPr>
          <w:sz w:val="20"/>
          <w:szCs w:val="20"/>
          <w:color w:val="auto"/>
        </w:rPr>
      </w:pPr>
      <w:r>
        <w:rPr>
          <w:rFonts w:ascii="Arial" w:cs="Arial" w:eastAsia="Arial" w:hAnsi="Arial"/>
          <w:sz w:val="15"/>
          <w:szCs w:val="15"/>
          <w:color w:val="auto"/>
        </w:rPr>
        <w:t>LivaNova’s effective income tax rate for the three and nine months ended September 30, 2023 was (268.4)% and 90.1%, respectively, compared with (1.2)% and (7.8)% for the three and nine months ended September 30, 2022, respectively. The decrease in the effective tax rate for the three months ended September 30, 2023, compared to the prior year period, was primarily attributable to changes in valuation allowances and year-over-year changes in income before tax in countries with varying statutory tax rates. The increase in the effective tax rate for the nine months ended September 30, 2023, compared to the prior year period, was primarily attributable to changes in valuation allowances, year-over-year changes in income before tax in countries with varying statutory tax rates and an audit settlement.</w:t>
      </w:r>
    </w:p>
    <w:p>
      <w:pPr>
        <w:spacing w:after="0" w:line="69" w:lineRule="exact"/>
        <w:rPr>
          <w:sz w:val="20"/>
          <w:szCs w:val="20"/>
          <w:color w:val="auto"/>
        </w:rPr>
      </w:pPr>
    </w:p>
    <w:p>
      <w:pPr>
        <w:ind w:right="120" w:firstLine="139"/>
        <w:spacing w:after="0" w:line="274" w:lineRule="auto"/>
        <w:rPr>
          <w:sz w:val="20"/>
          <w:szCs w:val="20"/>
          <w:color w:val="auto"/>
        </w:rPr>
      </w:pPr>
      <w:r>
        <w:rPr>
          <w:rFonts w:ascii="Arial" w:cs="Arial" w:eastAsia="Arial" w:hAnsi="Arial"/>
          <w:sz w:val="15"/>
          <w:szCs w:val="15"/>
          <w:color w:val="auto"/>
        </w:rPr>
        <w:t>On July 11, 2023, the UK Act implemented the OECD’s BEPS Pillar Two Framework, providing a minimum effective tax rate of 15%, including both a multinational top-up tax and a domestic top-up tax for accounting periods beginning on or after December 31, 2023. The UK Act also included a transitional safe harbor election for accounting periods beginning on or before December 31, 2026. LivaNova is reviewing the draft guidance issued on June 15, 2023, and the UK Act to assess the full implications for 2024 and will continue to monitor related guidance in the UK and other jurisdictions that impact LivaNova’s operations. Any material change in tax laws, regulations or policies, or their interpretation and enforcement, including with respect to the Pillar Two Framework, could result in a higher effective tax rate and have a material impact on our consolidated statements of income (loss) or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3" w:lineRule="exact"/>
        <w:rPr>
          <w:sz w:val="20"/>
          <w:szCs w:val="20"/>
          <w:color w:val="auto"/>
        </w:rPr>
      </w:pPr>
    </w:p>
    <w:p>
      <w:pPr>
        <w:ind w:right="60" w:firstLine="139"/>
        <w:spacing w:after="0" w:line="311" w:lineRule="auto"/>
        <w:rPr>
          <w:sz w:val="20"/>
          <w:szCs w:val="20"/>
          <w:color w:val="auto"/>
        </w:rPr>
      </w:pPr>
      <w:r>
        <w:rPr>
          <w:rFonts w:ascii="Arial" w:cs="Arial" w:eastAsia="Arial" w:hAnsi="Arial"/>
          <w:sz w:val="14"/>
          <w:szCs w:val="14"/>
          <w:color w:val="auto"/>
        </w:rPr>
        <w:t>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00"/>
          </w:cols>
          <w:pgMar w:left="320" w:top="798" w:right="379" w:bottom="1440" w:gutter="0" w:footer="0" w:header="0"/>
        </w:sectPr>
      </w:pPr>
    </w:p>
    <w:bookmarkStart w:id="37" w:name="page38"/>
    <w:bookmarkEnd w:id="37"/>
    <w:p>
      <w:pPr>
        <w:ind w:right="120"/>
        <w:spacing w:after="0" w:line="280" w:lineRule="auto"/>
        <w:rPr>
          <w:sz w:val="20"/>
          <w:szCs w:val="20"/>
          <w:color w:val="auto"/>
        </w:rPr>
      </w:pPr>
      <w:r>
        <w:rPr>
          <w:rFonts w:ascii="Arial" w:cs="Arial" w:eastAsia="Arial" w:hAnsi="Arial"/>
          <w:sz w:val="15"/>
          <w:szCs w:val="15"/>
          <w:color w:val="auto"/>
        </w:rPr>
        <w:t>date of these condensed consolidated financial statements. From time to time, LivaNova may access debt and/or equity markets to optimize its capital structure, raise additional capital, or increase liquidity as necessary. LivaNova’s liquidity could be adversely impacted by the factors affecting future operating results, including those referred to in “Part I, Item 1A. Risk Factors” in the 2022 Form 10-K as well as “Note 8. Commitments and Contingencies” in the condensed consolidated financial statements in this Quarterly Report on Form 10-Q.</w:t>
      </w:r>
    </w:p>
    <w:p>
      <w:pPr>
        <w:spacing w:after="0" w:line="66" w:lineRule="exact"/>
        <w:rPr>
          <w:sz w:val="20"/>
          <w:szCs w:val="20"/>
          <w:color w:val="auto"/>
        </w:rPr>
      </w:pPr>
    </w:p>
    <w:p>
      <w:pPr>
        <w:ind w:right="60" w:firstLine="139"/>
        <w:spacing w:after="0" w:line="282" w:lineRule="auto"/>
        <w:rPr>
          <w:sz w:val="20"/>
          <w:szCs w:val="20"/>
          <w:color w:val="auto"/>
        </w:rPr>
      </w:pPr>
      <w:r>
        <w:rPr>
          <w:rFonts w:ascii="Arial" w:cs="Arial" w:eastAsia="Arial" w:hAnsi="Arial"/>
          <w:sz w:val="15"/>
          <w:szCs w:val="15"/>
          <w:color w:val="auto"/>
        </w:rPr>
        <w:t>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presents selected financial information related to LivaNova’s liquidity as of September 30, 2023 and December 31,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20" w:type="dxa"/>
            <w:vAlign w:val="bottom"/>
            <w:vMerge w:val="restart"/>
          </w:tcPr>
          <w:p>
            <w:pPr>
              <w:spacing w:after="0"/>
              <w:rPr>
                <w:sz w:val="20"/>
                <w:szCs w:val="20"/>
                <w:color w:val="auto"/>
              </w:rPr>
            </w:pPr>
            <w:r>
              <w:rPr>
                <w:rFonts w:ascii="Arial" w:cs="Arial" w:eastAsia="Arial" w:hAnsi="Arial"/>
                <w:sz w:val="15"/>
                <w:szCs w:val="15"/>
                <w:b w:val="1"/>
                <w:bCs w:val="1"/>
                <w:color w:val="auto"/>
              </w:rPr>
              <w:t>Available Short-term Liquidity</w:t>
            </w: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5"/>
                <w:szCs w:val="15"/>
                <w:b w:val="1"/>
                <w:bCs w:val="1"/>
                <w:color w:val="auto"/>
              </w:rPr>
              <w:t>September 30, 2023</w:t>
            </w:r>
          </w:p>
        </w:tc>
        <w:tc>
          <w:tcPr>
            <w:tcW w:w="220" w:type="dxa"/>
            <w:vAlign w:val="bottom"/>
          </w:tcPr>
          <w:p>
            <w:pPr>
              <w:spacing w:after="0"/>
              <w:rPr>
                <w:sz w:val="17"/>
                <w:szCs w:val="17"/>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2022</w:t>
            </w:r>
          </w:p>
        </w:tc>
        <w:tc>
          <w:tcPr>
            <w:tcW w:w="0" w:type="dxa"/>
            <w:vAlign w:val="bottom"/>
          </w:tcPr>
          <w:p>
            <w:pPr>
              <w:spacing w:after="0"/>
              <w:rPr>
                <w:sz w:val="1"/>
                <w:szCs w:val="1"/>
                <w:color w:val="auto"/>
              </w:rPr>
            </w:pPr>
          </w:p>
        </w:tc>
      </w:tr>
      <w:tr>
        <w:trPr>
          <w:trHeight w:val="177"/>
        </w:trPr>
        <w:tc>
          <w:tcPr>
            <w:tcW w:w="722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233,941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214,172</w:t>
            </w:r>
          </w:p>
        </w:tc>
        <w:tc>
          <w:tcPr>
            <w:tcW w:w="0" w:type="dxa"/>
            <w:vAlign w:val="bottom"/>
          </w:tcPr>
          <w:p>
            <w:pPr>
              <w:spacing w:after="0"/>
              <w:rPr>
                <w:sz w:val="1"/>
                <w:szCs w:val="1"/>
                <w:color w:val="auto"/>
              </w:rPr>
            </w:pPr>
          </w:p>
        </w:tc>
      </w:tr>
      <w:tr>
        <w:trPr>
          <w:trHeight w:val="220"/>
        </w:trPr>
        <w:tc>
          <w:tcPr>
            <w:tcW w:w="7220" w:type="dxa"/>
            <w:vAlign w:val="bottom"/>
          </w:tcPr>
          <w:p>
            <w:pPr>
              <w:ind w:left="140"/>
              <w:spacing w:after="0"/>
              <w:rPr>
                <w:sz w:val="20"/>
                <w:szCs w:val="20"/>
                <w:color w:val="auto"/>
              </w:rPr>
            </w:pPr>
            <w:r>
              <w:rPr>
                <w:rFonts w:ascii="Arial" w:cs="Arial" w:eastAsia="Arial" w:hAnsi="Arial"/>
                <w:sz w:val="15"/>
                <w:szCs w:val="15"/>
                <w:color w:val="auto"/>
              </w:rPr>
              <w:t>Availability under the 2021 First Lien Credit Agreement</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125,000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ind w:left="140"/>
              <w:spacing w:after="0" w:line="221" w:lineRule="exact"/>
              <w:rPr>
                <w:sz w:val="20"/>
                <w:szCs w:val="20"/>
                <w:color w:val="auto"/>
              </w:rPr>
            </w:pPr>
            <w:r>
              <w:rPr>
                <w:rFonts w:ascii="Arial" w:cs="Arial" w:eastAsia="Arial" w:hAnsi="Arial"/>
                <w:sz w:val="15"/>
                <w:szCs w:val="15"/>
                <w:color w:val="auto"/>
              </w:rPr>
              <w:t xml:space="preserve">Availability under the Delayed Draw Term Facility </w:t>
            </w:r>
            <w:r>
              <w:rPr>
                <w:rFonts w:ascii="Arial" w:cs="Arial" w:eastAsia="Arial" w:hAnsi="Arial"/>
                <w:sz w:val="20"/>
                <w:szCs w:val="20"/>
                <w:color w:val="auto"/>
                <w:vertAlign w:val="superscript"/>
              </w:rPr>
              <w:t>(1)</w:t>
            </w:r>
          </w:p>
        </w:tc>
        <w:tc>
          <w:tcPr>
            <w:tcW w:w="2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0" w:type="dxa"/>
            <w:vAlign w:val="bottom"/>
          </w:tcPr>
          <w:p>
            <w:pPr>
              <w:spacing w:after="0"/>
              <w:rPr>
                <w:sz w:val="1"/>
                <w:szCs w:val="1"/>
                <w:color w:val="auto"/>
              </w:rPr>
            </w:pPr>
          </w:p>
        </w:tc>
      </w:tr>
      <w:tr>
        <w:trPr>
          <w:trHeight w:val="189"/>
        </w:trPr>
        <w:tc>
          <w:tcPr>
            <w:tcW w:w="7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358,941</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389,172</w:t>
            </w:r>
          </w:p>
        </w:tc>
        <w:tc>
          <w:tcPr>
            <w:tcW w:w="0" w:type="dxa"/>
            <w:vAlign w:val="bottom"/>
          </w:tcPr>
          <w:p>
            <w:pPr>
              <w:spacing w:after="0"/>
              <w:rPr>
                <w:sz w:val="1"/>
                <w:szCs w:val="1"/>
                <w:color w:val="auto"/>
              </w:rPr>
            </w:pPr>
          </w:p>
        </w:tc>
      </w:tr>
      <w:tr>
        <w:trPr>
          <w:trHeight w:val="20"/>
        </w:trPr>
        <w:tc>
          <w:tcPr>
            <w:tcW w:w="7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20" w:type="dxa"/>
            <w:vAlign w:val="bottom"/>
          </w:tcPr>
          <w:p>
            <w:pPr>
              <w:spacing w:after="0"/>
              <w:rPr>
                <w:sz w:val="20"/>
                <w:szCs w:val="20"/>
                <w:color w:val="auto"/>
              </w:rPr>
            </w:pPr>
            <w:r>
              <w:rPr>
                <w:rFonts w:ascii="Arial" w:cs="Arial" w:eastAsia="Arial" w:hAnsi="Arial"/>
                <w:sz w:val="15"/>
                <w:szCs w:val="15"/>
                <w:b w:val="1"/>
                <w:bCs w:val="1"/>
                <w:color w:val="auto"/>
              </w:rPr>
              <w:t>Working Capital</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assets</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953,867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886,136</w:t>
            </w:r>
          </w:p>
        </w:tc>
        <w:tc>
          <w:tcPr>
            <w:tcW w:w="0" w:type="dxa"/>
            <w:vAlign w:val="bottom"/>
          </w:tcPr>
          <w:p>
            <w:pPr>
              <w:spacing w:after="0"/>
              <w:rPr>
                <w:sz w:val="1"/>
                <w:szCs w:val="1"/>
                <w:color w:val="auto"/>
              </w:rPr>
            </w:pPr>
          </w:p>
        </w:tc>
      </w:tr>
      <w:tr>
        <w:trPr>
          <w:trHeight w:val="220"/>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Current liabilities</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295,396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297,398</w:t>
            </w:r>
          </w:p>
        </w:tc>
        <w:tc>
          <w:tcPr>
            <w:tcW w:w="0" w:type="dxa"/>
            <w:vAlign w:val="bottom"/>
          </w:tcPr>
          <w:p>
            <w:pPr>
              <w:spacing w:after="0"/>
              <w:rPr>
                <w:sz w:val="1"/>
                <w:szCs w:val="1"/>
                <w:color w:val="auto"/>
              </w:rPr>
            </w:pPr>
          </w:p>
        </w:tc>
      </w:tr>
      <w:tr>
        <w:trPr>
          <w:trHeight w:val="214"/>
        </w:trPr>
        <w:tc>
          <w:tcPr>
            <w:tcW w:w="7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658,471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588,738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Debt Obligations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20" w:type="dxa"/>
            <w:vAlign w:val="bottom"/>
          </w:tcPr>
          <w:p>
            <w:pPr>
              <w:ind w:left="14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18,417</w:t>
            </w:r>
          </w:p>
        </w:tc>
        <w:tc>
          <w:tcPr>
            <w:tcW w:w="1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5"/>
                <w:szCs w:val="15"/>
                <w:color w:val="auto"/>
              </w:rPr>
              <w:t>20,892</w:t>
            </w: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Short-term unsecured borrowing arrangements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2,542</w:t>
            </w:r>
          </w:p>
        </w:tc>
        <w:tc>
          <w:tcPr>
            <w:tcW w:w="0" w:type="dxa"/>
            <w:vAlign w:val="bottom"/>
          </w:tcPr>
          <w:p>
            <w:pPr>
              <w:spacing w:after="0"/>
              <w:rPr>
                <w:sz w:val="1"/>
                <w:szCs w:val="1"/>
                <w:color w:val="auto"/>
              </w:rPr>
            </w:pPr>
          </w:p>
        </w:tc>
      </w:tr>
      <w:tr>
        <w:trPr>
          <w:trHeight w:val="200"/>
        </w:trPr>
        <w:tc>
          <w:tcPr>
            <w:tcW w:w="7220" w:type="dxa"/>
            <w:vAlign w:val="bottom"/>
          </w:tcPr>
          <w:p>
            <w:pPr>
              <w:ind w:left="140"/>
              <w:spacing w:after="0"/>
              <w:rPr>
                <w:sz w:val="20"/>
                <w:szCs w:val="20"/>
                <w:color w:val="auto"/>
              </w:rPr>
            </w:pPr>
            <w:r>
              <w:rPr>
                <w:rFonts w:ascii="Arial" w:cs="Arial" w:eastAsia="Arial" w:hAnsi="Arial"/>
                <w:sz w:val="15"/>
                <w:szCs w:val="15"/>
                <w:color w:val="auto"/>
              </w:rPr>
              <w:t>Current debt obligations</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19,027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23,434</w:t>
            </w:r>
          </w:p>
        </w:tc>
        <w:tc>
          <w:tcPr>
            <w:tcW w:w="0" w:type="dxa"/>
            <w:vAlign w:val="bottom"/>
          </w:tcPr>
          <w:p>
            <w:pPr>
              <w:spacing w:after="0"/>
              <w:rPr>
                <w:sz w:val="1"/>
                <w:szCs w:val="1"/>
                <w:color w:val="auto"/>
              </w:rPr>
            </w:pPr>
          </w:p>
        </w:tc>
      </w:tr>
      <w:tr>
        <w:trPr>
          <w:trHeight w:val="221"/>
        </w:trPr>
        <w:tc>
          <w:tcPr>
            <w:tcW w:w="72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Long-term debt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568,163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518,067</w:t>
            </w:r>
          </w:p>
        </w:tc>
        <w:tc>
          <w:tcPr>
            <w:tcW w:w="0" w:type="dxa"/>
            <w:vAlign w:val="bottom"/>
          </w:tcPr>
          <w:p>
            <w:pPr>
              <w:spacing w:after="0"/>
              <w:rPr>
                <w:sz w:val="1"/>
                <w:szCs w:val="1"/>
                <w:color w:val="auto"/>
              </w:rPr>
            </w:pPr>
          </w:p>
        </w:tc>
      </w:tr>
      <w:tr>
        <w:trPr>
          <w:trHeight w:val="189"/>
        </w:trPr>
        <w:tc>
          <w:tcPr>
            <w:tcW w:w="7220" w:type="dxa"/>
            <w:vAlign w:val="bottom"/>
          </w:tcPr>
          <w:p>
            <w:pPr>
              <w:ind w:left="140"/>
              <w:spacing w:after="0"/>
              <w:rPr>
                <w:sz w:val="20"/>
                <w:szCs w:val="20"/>
                <w:color w:val="auto"/>
              </w:rPr>
            </w:pPr>
            <w:r>
              <w:rPr>
                <w:rFonts w:ascii="Arial" w:cs="Arial" w:eastAsia="Arial" w:hAnsi="Arial"/>
                <w:sz w:val="15"/>
                <w:szCs w:val="15"/>
                <w:color w:val="auto"/>
              </w:rPr>
              <w:t>Total debt obligations</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587,190</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541,501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80"/>
        <w:spacing w:after="0"/>
        <w:tabs>
          <w:tab w:leader="none" w:pos="5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On April 6, 2023, LivaNova drew the full $50 million under the Delayed Draw Term Facility to be used for general corporate purposes.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For additional information, refer to “Note 6. Financing Arrangements” in the condensed consolidated financial statements in this Quarterly Report on Form 10-Q.</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Cash Flows</w:t>
      </w:r>
    </w:p>
    <w:p>
      <w:pPr>
        <w:spacing w:after="0" w:line="99" w:lineRule="exact"/>
        <w:rPr>
          <w:sz w:val="20"/>
          <w:szCs w:val="20"/>
          <w:color w:val="auto"/>
        </w:rPr>
      </w:pPr>
    </w:p>
    <w:p>
      <w:pPr>
        <w:ind w:right="220" w:firstLine="139"/>
        <w:spacing w:after="0" w:line="286" w:lineRule="auto"/>
        <w:rPr>
          <w:sz w:val="20"/>
          <w:szCs w:val="20"/>
          <w:color w:val="auto"/>
        </w:rPr>
      </w:pPr>
      <w:r>
        <w:rPr>
          <w:rFonts w:ascii="Arial" w:cs="Arial" w:eastAsia="Arial" w:hAnsi="Arial"/>
          <w:sz w:val="15"/>
          <w:szCs w:val="15"/>
          <w:color w:val="auto"/>
        </w:rPr>
        <w:t>Net cash and cash equivalents provided by (used in) operating, investing and financing activities and the net increase in the balance of cash, cash equivalents and restricted cash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40" w:type="dxa"/>
            <w:vAlign w:val="bottom"/>
          </w:tcPr>
          <w:p>
            <w:pPr>
              <w:spacing w:after="0"/>
              <w:rPr>
                <w:sz w:val="17"/>
                <w:szCs w:val="17"/>
                <w:color w:val="auto"/>
              </w:rPr>
            </w:pPr>
          </w:p>
        </w:tc>
        <w:tc>
          <w:tcPr>
            <w:tcW w:w="3500" w:type="dxa"/>
            <w:vAlign w:val="bottom"/>
            <w:tcBorders>
              <w:bottom w:val="single" w:sz="8" w:color="auto"/>
            </w:tcBorders>
            <w:gridSpan w:val="4"/>
          </w:tcPr>
          <w:p>
            <w:pPr>
              <w:jc w:val="right"/>
              <w:ind w:right="163"/>
              <w:spacing w:after="0"/>
              <w:rPr>
                <w:sz w:val="20"/>
                <w:szCs w:val="20"/>
                <w:color w:val="auto"/>
              </w:rPr>
            </w:pPr>
            <w:r>
              <w:rPr>
                <w:rFonts w:ascii="Arial" w:cs="Arial" w:eastAsia="Arial" w:hAnsi="Arial"/>
                <w:sz w:val="15"/>
                <w:szCs w:val="15"/>
                <w:b w:val="1"/>
                <w:bCs w:val="1"/>
                <w:color w:val="auto"/>
              </w:rPr>
              <w:t>Nine Months Ended September 30,</w:t>
            </w:r>
          </w:p>
        </w:tc>
        <w:tc>
          <w:tcPr>
            <w:tcW w:w="720" w:type="dxa"/>
            <w:vAlign w:val="bottom"/>
            <w:tcBorders>
              <w:bottom w:val="single" w:sz="8" w:color="auto"/>
            </w:tcBorders>
          </w:tcPr>
          <w:p>
            <w:pPr>
              <w:spacing w:after="0"/>
              <w:rPr>
                <w:sz w:val="17"/>
                <w:szCs w:val="17"/>
                <w:color w:val="auto"/>
              </w:rPr>
            </w:pPr>
          </w:p>
        </w:tc>
      </w:tr>
      <w:tr>
        <w:trPr>
          <w:trHeight w:val="212"/>
        </w:trPr>
        <w:tc>
          <w:tcPr>
            <w:tcW w:w="70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2023</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2022</w:t>
            </w:r>
          </w:p>
        </w:tc>
        <w:tc>
          <w:tcPr>
            <w:tcW w:w="720" w:type="dxa"/>
            <w:vAlign w:val="bottom"/>
            <w:tcBorders>
              <w:bottom w:val="single" w:sz="8" w:color="auto"/>
            </w:tcBorders>
          </w:tcPr>
          <w:p>
            <w:pPr>
              <w:spacing w:after="0"/>
              <w:rPr>
                <w:sz w:val="18"/>
                <w:szCs w:val="18"/>
                <w:color w:val="auto"/>
              </w:rPr>
            </w:pPr>
          </w:p>
        </w:tc>
      </w:tr>
      <w:tr>
        <w:trPr>
          <w:trHeight w:val="189"/>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20,956</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51,218</w:t>
            </w:r>
          </w:p>
        </w:tc>
      </w:tr>
      <w:tr>
        <w:trPr>
          <w:trHeight w:val="197"/>
        </w:trPr>
        <w:tc>
          <w:tcPr>
            <w:tcW w:w="7040" w:type="dxa"/>
            <w:vAlign w:val="bottom"/>
          </w:tcPr>
          <w:p>
            <w:pPr>
              <w:spacing w:after="0"/>
              <w:rPr>
                <w:sz w:val="20"/>
                <w:szCs w:val="20"/>
                <w:color w:val="auto"/>
              </w:rPr>
            </w:pPr>
            <w:r>
              <w:rPr>
                <w:rFonts w:ascii="Arial" w:cs="Arial" w:eastAsia="Arial" w:hAnsi="Arial"/>
                <w:sz w:val="15"/>
                <w:szCs w:val="15"/>
                <w:color w:val="auto"/>
              </w:rPr>
              <w:t>Investing activities</w:t>
            </w:r>
          </w:p>
        </w:tc>
        <w:tc>
          <w:tcPr>
            <w:tcW w:w="1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(28,193)</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(27,461)</w:t>
            </w:r>
          </w:p>
        </w:tc>
      </w:tr>
      <w:tr>
        <w:trPr>
          <w:trHeight w:val="198"/>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26,502</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281,787</w:t>
            </w:r>
          </w:p>
        </w:tc>
      </w:tr>
      <w:tr>
        <w:trPr>
          <w:trHeight w:val="197"/>
        </w:trPr>
        <w:tc>
          <w:tcPr>
            <w:tcW w:w="7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cash equivalents and restricted cash</w:t>
            </w: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(2,161)</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(7,257)</w:t>
            </w:r>
          </w:p>
        </w:tc>
      </w:tr>
      <w:tr>
        <w:trPr>
          <w:trHeight w:val="214"/>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increase in cash, cash equivalents and restricted cash</w:t>
            </w:r>
          </w:p>
        </w:tc>
        <w:tc>
          <w:tcPr>
            <w:tcW w:w="134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17,104</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298,287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Operating Activities</w:t>
      </w:r>
    </w:p>
    <w:p>
      <w:pPr>
        <w:spacing w:after="0" w:line="99" w:lineRule="exact"/>
        <w:rPr>
          <w:sz w:val="20"/>
          <w:szCs w:val="20"/>
          <w:color w:val="auto"/>
        </w:rPr>
      </w:pPr>
    </w:p>
    <w:p>
      <w:pPr>
        <w:ind w:right="260" w:firstLine="139"/>
        <w:spacing w:after="0" w:line="307" w:lineRule="auto"/>
        <w:rPr>
          <w:sz w:val="20"/>
          <w:szCs w:val="20"/>
          <w:color w:val="auto"/>
        </w:rPr>
      </w:pPr>
      <w:r>
        <w:rPr>
          <w:rFonts w:ascii="Arial" w:cs="Arial" w:eastAsia="Arial" w:hAnsi="Arial"/>
          <w:sz w:val="15"/>
          <w:szCs w:val="15"/>
          <w:color w:val="auto"/>
        </w:rPr>
        <w:t>Cash provided by operating activities during the nine months ended September 30, 2023 decreased by $30.3 million compared to the same prior year period primarily due to an increase in 3T Heater-Cooler litigation settlement payments of $17.5 million, as well as additional changes in working capital.</w:t>
      </w: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60"/>
          </w:cols>
          <w:pgMar w:left="320" w:top="791" w:right="319" w:bottom="1440" w:gutter="0" w:footer="0" w:header="0"/>
        </w:sectPr>
      </w:pPr>
    </w:p>
    <w:bookmarkStart w:id="38" w:name="page39"/>
    <w:bookmarkEnd w:id="38"/>
    <w:p>
      <w:pPr>
        <w:ind w:left="140"/>
        <w:spacing w:after="0"/>
        <w:rPr>
          <w:sz w:val="20"/>
          <w:szCs w:val="20"/>
          <w:color w:val="auto"/>
        </w:rPr>
      </w:pPr>
      <w:r>
        <w:rPr>
          <w:rFonts w:ascii="Arial" w:cs="Arial" w:eastAsia="Arial" w:hAnsi="Arial"/>
          <w:sz w:val="17"/>
          <w:szCs w:val="17"/>
          <w:i w:val="1"/>
          <w:iCs w:val="1"/>
          <w:color w:val="auto"/>
        </w:rPr>
        <w:t>Investing Activities</w:t>
      </w:r>
    </w:p>
    <w:p>
      <w:pPr>
        <w:spacing w:after="0" w:line="99" w:lineRule="exact"/>
        <w:rPr>
          <w:sz w:val="20"/>
          <w:szCs w:val="20"/>
          <w:color w:val="auto"/>
        </w:rPr>
      </w:pPr>
    </w:p>
    <w:p>
      <w:pPr>
        <w:ind w:right="240" w:firstLine="139"/>
        <w:spacing w:after="0" w:line="290" w:lineRule="auto"/>
        <w:rPr>
          <w:sz w:val="20"/>
          <w:szCs w:val="20"/>
          <w:color w:val="auto"/>
        </w:rPr>
      </w:pPr>
      <w:r>
        <w:rPr>
          <w:rFonts w:ascii="Arial" w:cs="Arial" w:eastAsia="Arial" w:hAnsi="Arial"/>
          <w:sz w:val="15"/>
          <w:szCs w:val="15"/>
          <w:color w:val="auto"/>
        </w:rPr>
        <w:t>Cash used in investing activities during the nine months ended September 30, 2023 increased $0.7 million compared to the same prior year period primarily due to increases in purchases of investments of $5.6 million and purchases of property, plant and equipment of $4.7 million, partially offset by $8.9 million paid during the nine months ended September 30, 2022 associated with the acquisition of ALung.</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Financing Activities</w:t>
      </w:r>
    </w:p>
    <w:p>
      <w:pPr>
        <w:spacing w:after="0" w:line="111" w:lineRule="exact"/>
        <w:rPr>
          <w:sz w:val="20"/>
          <w:szCs w:val="20"/>
          <w:color w:val="auto"/>
        </w:rPr>
      </w:pPr>
    </w:p>
    <w:p>
      <w:pPr>
        <w:ind w:right="360" w:firstLine="139"/>
        <w:spacing w:after="0" w:line="291" w:lineRule="auto"/>
        <w:rPr>
          <w:sz w:val="20"/>
          <w:szCs w:val="20"/>
          <w:color w:val="auto"/>
        </w:rPr>
      </w:pPr>
      <w:r>
        <w:rPr>
          <w:rFonts w:ascii="Arial" w:cs="Arial" w:eastAsia="Arial" w:hAnsi="Arial"/>
          <w:sz w:val="15"/>
          <w:szCs w:val="15"/>
          <w:color w:val="auto"/>
        </w:rPr>
        <w:t>Cash provided by financing activities during the nine months ended September 30, 2023 decreased $255.3 million compared to the same prior year period, primarily due to a reduction in proceeds from net borrowings of $251.8 million.</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Quantitative and Qualitative Disclosures About Market Risk</w:t>
      </w:r>
    </w:p>
    <w:p>
      <w:pPr>
        <w:spacing w:after="0" w:line="107" w:lineRule="exact"/>
        <w:rPr>
          <w:sz w:val="20"/>
          <w:szCs w:val="20"/>
          <w:color w:val="auto"/>
        </w:rPr>
      </w:pPr>
    </w:p>
    <w:p>
      <w:pPr>
        <w:ind w:right="80" w:firstLine="139"/>
        <w:spacing w:after="0" w:line="274" w:lineRule="auto"/>
        <w:rPr>
          <w:sz w:val="20"/>
          <w:szCs w:val="20"/>
          <w:color w:val="auto"/>
        </w:rPr>
      </w:pPr>
      <w:r>
        <w:rPr>
          <w:rFonts w:ascii="Arial" w:cs="Arial" w:eastAsia="Arial" w:hAnsi="Arial"/>
          <w:sz w:val="15"/>
          <w:szCs w:val="15"/>
          <w:color w:val="auto"/>
        </w:rPr>
        <w:t>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Quarterly Report on Form 10-Q in “Part I, Note 7. Derivatives and Risk Management,” “Part I, Item 2. Management’s Discussion and Analysis of Financial Conditions and Results of Operations” and “Part II, Item 1A. Risk Factors” and in LivaNova’s 2022 Form 10-K in “Part II, Item 7. Management’s Discussion and Analysis of Financial Condition and Results of Operations” and “Part I, Item 1A. Risk Factors.”</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Disclosure Controls and Procedures</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(a) Evaluation of Disclosure Controls and Procedures</w:t>
      </w:r>
    </w:p>
    <w:p>
      <w:pPr>
        <w:spacing w:after="0" w:line="118"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LivaNova maintains a system of disclosure controls and procedures, as defined in Rules 13a-15(e) and 15d-15(e) of the Exchange Act, that is designed to ensure that information required to be disclosed in the Company’s reports filed under the Exchange Act is recorded, processed, summarized and reported within the time periods specified in the SEC’s rules and forms. This information is also accumulated and communicated to management, including LivaNova’s CEO and CFO, as appropriate, to allow timely decisions regarding required disclosure.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September 30, 2023.</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(b) Changes in Internal Control Over Financial Reporting</w:t>
      </w:r>
    </w:p>
    <w:p>
      <w:pPr>
        <w:spacing w:after="0" w:line="106" w:lineRule="exact"/>
        <w:rPr>
          <w:sz w:val="20"/>
          <w:szCs w:val="20"/>
          <w:color w:val="auto"/>
        </w:rPr>
      </w:pPr>
    </w:p>
    <w:p>
      <w:pPr>
        <w:ind w:right="80" w:firstLine="139"/>
        <w:spacing w:after="0" w:line="307" w:lineRule="auto"/>
        <w:rPr>
          <w:sz w:val="20"/>
          <w:szCs w:val="20"/>
          <w:color w:val="auto"/>
        </w:rPr>
      </w:pPr>
      <w:r>
        <w:rPr>
          <w:rFonts w:ascii="Arial" w:cs="Arial" w:eastAsia="Arial" w:hAnsi="Arial"/>
          <w:sz w:val="15"/>
          <w:szCs w:val="15"/>
          <w:color w:val="auto"/>
        </w:rPr>
        <w:t>There have been no changes in LivaNova’s internal control over financial reporting (as defined in Rules 13a-15(f) and 15d-5(f) under the Exchange Act) during the quarter ended September 30, 2023 that have materially affected, or are reasonably likely to materially affect, LivaNova’s internal control over financial reporting.</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127635</wp:posOffset>
            </wp:positionV>
            <wp:extent cx="717677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20"/>
          </w:cols>
          <w:pgMar w:left="320" w:top="798" w:right="35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PART II. OTHER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Legal Proceedings</w:t>
      </w:r>
    </w:p>
    <w:p>
      <w:pPr>
        <w:spacing w:after="0" w:line="107" w:lineRule="exact"/>
        <w:rPr>
          <w:sz w:val="20"/>
          <w:szCs w:val="20"/>
          <w:color w:val="auto"/>
        </w:rPr>
      </w:pPr>
    </w:p>
    <w:p>
      <w:pPr>
        <w:ind w:right="580" w:firstLine="139"/>
        <w:spacing w:after="0" w:line="307" w:lineRule="auto"/>
        <w:rPr>
          <w:sz w:val="20"/>
          <w:szCs w:val="20"/>
          <w:color w:val="auto"/>
        </w:rPr>
      </w:pPr>
      <w:r>
        <w:rPr>
          <w:rFonts w:ascii="Arial" w:cs="Arial" w:eastAsia="Arial" w:hAnsi="Arial"/>
          <w:sz w:val="15"/>
          <w:szCs w:val="15"/>
          <w:color w:val="auto"/>
        </w:rPr>
        <w:t>For a description of LivaNova’s material pending legal and regulatory proceedings and settlements, refer to “Note 8. Commitments and Contingencies” in the Company’s condensed consolidated financial statements included in this Quarterly Report on Form 10-Q.</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107" w:lineRule="exact"/>
        <w:rPr>
          <w:sz w:val="20"/>
          <w:szCs w:val="20"/>
          <w:color w:val="auto"/>
        </w:rPr>
      </w:pPr>
    </w:p>
    <w:p>
      <w:pPr>
        <w:ind w:right="40" w:firstLine="139"/>
        <w:spacing w:after="0" w:line="307" w:lineRule="auto"/>
        <w:rPr>
          <w:sz w:val="20"/>
          <w:szCs w:val="20"/>
          <w:color w:val="auto"/>
        </w:rPr>
      </w:pPr>
      <w:r>
        <w:rPr>
          <w:rFonts w:ascii="Arial" w:cs="Arial" w:eastAsia="Arial" w:hAnsi="Arial"/>
          <w:sz w:val="15"/>
          <w:szCs w:val="15"/>
          <w:color w:val="auto"/>
        </w:rPr>
        <w:t>There have been no material changes in LivaNova’s risk factors from those disclosed in Part I, Item 1A of the Company’s 2022 Annual Report on Form 10-K and Part II, Item 1A of the Company’s 10-Q for the quarter ending March 31, 2023.</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Unregistered Sales of Equity Securities, Use of Proceeds, and Issuer Purchases of Equity Securities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Defaults Upon Senior Securities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Mine Safety Disclosures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Other Information</w:t>
      </w:r>
    </w:p>
    <w:p>
      <w:pPr>
        <w:spacing w:after="0" w:line="107" w:lineRule="exact"/>
        <w:rPr>
          <w:sz w:val="20"/>
          <w:szCs w:val="20"/>
          <w:color w:val="auto"/>
        </w:rPr>
      </w:pPr>
    </w:p>
    <w:p>
      <w:pPr>
        <w:ind w:firstLine="139"/>
        <w:spacing w:after="0" w:line="282" w:lineRule="auto"/>
        <w:rPr>
          <w:sz w:val="20"/>
          <w:szCs w:val="20"/>
          <w:color w:val="auto"/>
        </w:rPr>
      </w:pPr>
      <w:r>
        <w:rPr>
          <w:rFonts w:ascii="Arial" w:cs="Arial" w:eastAsia="Arial" w:hAnsi="Arial"/>
          <w:sz w:val="15"/>
          <w:szCs w:val="15"/>
          <w:color w:val="auto"/>
        </w:rPr>
        <w:t>During the three months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Pursuant to Section 13(r) of the Exchange Act of 1934</w:t>
      </w:r>
    </w:p>
    <w:p>
      <w:pPr>
        <w:spacing w:after="0" w:line="103" w:lineRule="exact"/>
        <w:rPr>
          <w:sz w:val="20"/>
          <w:szCs w:val="20"/>
          <w:color w:val="auto"/>
        </w:rPr>
      </w:pPr>
    </w:p>
    <w:p>
      <w:pPr>
        <w:ind w:right="280" w:firstLine="139"/>
        <w:spacing w:after="0" w:line="282" w:lineRule="auto"/>
        <w:rPr>
          <w:sz w:val="20"/>
          <w:szCs w:val="20"/>
          <w:color w:val="auto"/>
        </w:rPr>
      </w:pPr>
      <w:r>
        <w:rPr>
          <w:rFonts w:ascii="Arial" w:cs="Arial" w:eastAsia="Arial" w:hAnsi="Arial"/>
          <w:sz w:val="15"/>
          <w:szCs w:val="15"/>
          <w:color w:val="auto"/>
        </w:rPr>
        <w:t>Section 13(r) of the Exchange Act requires issuers to disclose in their quarterly reports certain types of dealings with Iran, including transactions or dealings with government-owned entities, even when those activities are lawful and do not involve U.S. persons. One of LivaNova’s non-U.S. subsidiaries currently sells medical devices, including cardiopulmonary, cardiac surgery and neuromodulation products, to distributors and a non-governmental public organization in Iran.</w:t>
      </w:r>
    </w:p>
    <w:p>
      <w:pPr>
        <w:spacing w:after="0" w:line="65" w:lineRule="exact"/>
        <w:rPr>
          <w:sz w:val="20"/>
          <w:szCs w:val="20"/>
          <w:color w:val="auto"/>
        </w:rPr>
      </w:pPr>
    </w:p>
    <w:p>
      <w:pPr>
        <w:ind w:right="440" w:firstLine="139"/>
        <w:spacing w:after="0" w:line="282" w:lineRule="auto"/>
        <w:rPr>
          <w:sz w:val="20"/>
          <w:szCs w:val="20"/>
          <w:color w:val="auto"/>
        </w:rPr>
      </w:pPr>
      <w:r>
        <w:rPr>
          <w:rFonts w:ascii="Arial" w:cs="Arial" w:eastAsia="Arial" w:hAnsi="Arial"/>
          <w:sz w:val="15"/>
          <w:szCs w:val="15"/>
          <w:color w:val="auto"/>
        </w:rPr>
        <w:t>LivaNova has limited visibility into the identity of the end customers in Iran. It is possible that such customers include entities, such as government-owned hospitals or sub-distributors, that are owned or controlled directly or indirectly by the Iranian government. To the best of the Company’s knowledge at this time, LivaNova does not have any contracts or commercial arrangements with the Iranian government.</w:t>
      </w:r>
    </w:p>
    <w:p>
      <w:pPr>
        <w:spacing w:after="0" w:line="65" w:lineRule="exact"/>
        <w:rPr>
          <w:sz w:val="20"/>
          <w:szCs w:val="20"/>
          <w:color w:val="auto"/>
        </w:rPr>
      </w:pPr>
    </w:p>
    <w:p>
      <w:pPr>
        <w:ind w:right="620" w:firstLine="139"/>
        <w:spacing w:after="0" w:line="291" w:lineRule="auto"/>
        <w:rPr>
          <w:sz w:val="20"/>
          <w:szCs w:val="20"/>
          <w:color w:val="auto"/>
        </w:rPr>
      </w:pPr>
      <w:r>
        <w:rPr>
          <w:rFonts w:ascii="Arial" w:cs="Arial" w:eastAsia="Arial" w:hAnsi="Arial"/>
          <w:sz w:val="15"/>
          <w:szCs w:val="15"/>
          <w:color w:val="auto"/>
        </w:rPr>
        <w:t>LivaNova’s net revenue and net profits attributable to the above-mentioned Iranian activities were $0.4 million and $0.3 million, respectively, for the three months ended September 30, 2023, and $3.3 million and $1.4 million, respectively, for the nine months ended September 30, 2023.</w:t>
      </w:r>
    </w:p>
    <w:p>
      <w:pPr>
        <w:spacing w:after="0" w:line="58" w:lineRule="exact"/>
        <w:rPr>
          <w:sz w:val="20"/>
          <w:szCs w:val="20"/>
          <w:color w:val="auto"/>
        </w:rPr>
      </w:pPr>
    </w:p>
    <w:p>
      <w:pPr>
        <w:ind w:right="280" w:firstLine="139"/>
        <w:spacing w:after="0" w:line="307" w:lineRule="auto"/>
        <w:rPr>
          <w:sz w:val="20"/>
          <w:szCs w:val="20"/>
          <w:color w:val="auto"/>
        </w:rPr>
      </w:pPr>
      <w:r>
        <w:rPr>
          <w:rFonts w:ascii="Arial" w:cs="Arial" w:eastAsia="Arial" w:hAnsi="Arial"/>
          <w:sz w:val="15"/>
          <w:szCs w:val="15"/>
          <w:color w:val="auto"/>
        </w:rPr>
        <w:t>The Company believes its activities are consistent with applicable law, including U.S., EU, and other applicable sanctions laws, though such laws are complex and continue to evolve rapidly. LivaNova intends to continue its business in Iran.</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120650</wp:posOffset>
            </wp:positionV>
            <wp:extent cx="717677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40005"/>
                    </a:xfrm>
                    <a:prstGeom prst="rect">
                      <a:avLst/>
                    </a:prstGeom>
                    <a:noFill/>
                  </pic:spPr>
                </pic:pic>
              </a:graphicData>
            </a:graphic>
          </wp:anchor>
        </w:drawing>
      </w:r>
    </w:p>
    <w:p>
      <w:pPr>
        <w:sectPr>
          <w:pgSz w:w="11900" w:h="16838" w:orient="portrait"/>
          <w:cols w:equalWidth="0" w:num="1">
            <w:col w:w="11220"/>
          </w:cols>
          <w:pgMar w:left="320" w:top="790" w:right="35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Exhibits</w:t>
      </w:r>
    </w:p>
    <w:p>
      <w:pPr>
        <w:spacing w:after="0" w:line="107" w:lineRule="exact"/>
        <w:rPr>
          <w:sz w:val="20"/>
          <w:szCs w:val="20"/>
          <w:color w:val="auto"/>
        </w:rPr>
      </w:pPr>
    </w:p>
    <w:p>
      <w:pPr>
        <w:ind w:right="400" w:firstLine="139"/>
        <w:spacing w:after="0" w:line="307" w:lineRule="auto"/>
        <w:rPr>
          <w:sz w:val="20"/>
          <w:szCs w:val="20"/>
          <w:color w:val="auto"/>
        </w:rPr>
      </w:pPr>
      <w:r>
        <w:rPr>
          <w:rFonts w:ascii="Arial" w:cs="Arial" w:eastAsia="Arial" w:hAnsi="Arial"/>
          <w:sz w:val="15"/>
          <w:szCs w:val="15"/>
          <w:color w:val="auto"/>
        </w:rPr>
        <w:t>The exhibits marked with the asterisk symbol (*) are filed or furnished (in the case of Exhibit 32.1) with this Quarterly Report on Form 10-Q. Exhibits marked with the cross symbol (†), if any, are management contracts or compensatory plans or arrangements filed pursuant to Item 601(b)(10)(iii) of Regulation S-K.</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Exhibit</w:t>
            </w:r>
          </w:p>
        </w:tc>
        <w:tc>
          <w:tcPr>
            <w:tcW w:w="10500" w:type="dxa"/>
            <w:vAlign w:val="bottom"/>
            <w:vMerge w:val="restart"/>
          </w:tcPr>
          <w:p>
            <w:pPr>
              <w:ind w:left="4700"/>
              <w:spacing w:after="0"/>
              <w:rPr>
                <w:sz w:val="20"/>
                <w:szCs w:val="20"/>
                <w:color w:val="auto"/>
              </w:rPr>
            </w:pPr>
            <w:r>
              <w:rPr>
                <w:rFonts w:ascii="Arial" w:cs="Arial" w:eastAsia="Arial" w:hAnsi="Arial"/>
                <w:sz w:val="12"/>
                <w:szCs w:val="12"/>
                <w:b w:val="1"/>
                <w:bCs w:val="1"/>
                <w:color w:val="auto"/>
              </w:rPr>
              <w:t>Document Description</w:t>
            </w:r>
          </w:p>
        </w:tc>
        <w:tc>
          <w:tcPr>
            <w:tcW w:w="0" w:type="dxa"/>
            <w:vAlign w:val="bottom"/>
          </w:tcPr>
          <w:p>
            <w:pPr>
              <w:spacing w:after="0"/>
              <w:rPr>
                <w:sz w:val="1"/>
                <w:szCs w:val="1"/>
                <w:color w:val="auto"/>
              </w:rPr>
            </w:pPr>
          </w:p>
        </w:tc>
      </w:tr>
      <w:tr>
        <w:trPr>
          <w:trHeight w:val="165"/>
        </w:trPr>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10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60" w:type="dxa"/>
            <w:vAlign w:val="bottom"/>
            <w:gridSpan w:val="3"/>
            <w:shd w:val="clear" w:color="auto" w:fill="CCEEFF"/>
          </w:tcPr>
          <w:p>
            <w:pPr>
              <w:spacing w:after="0" w:line="168" w:lineRule="exact"/>
              <w:rPr>
                <w:sz w:val="20"/>
                <w:szCs w:val="20"/>
                <w:color w:val="auto"/>
              </w:rPr>
            </w:pPr>
            <w:r>
              <w:rPr>
                <w:rFonts w:ascii="Arial" w:cs="Arial" w:eastAsia="Arial" w:hAnsi="Arial"/>
                <w:sz w:val="15"/>
                <w:szCs w:val="15"/>
                <w:color w:val="0000FF"/>
              </w:rPr>
              <w:t>10.</w:t>
            </w:r>
            <w:r>
              <w:rPr>
                <w:rFonts w:ascii="Arial" w:cs="Arial" w:eastAsia="Arial" w:hAnsi="Arial"/>
                <w:sz w:val="15"/>
                <w:szCs w:val="15"/>
                <w:u w:val="single" w:color="auto"/>
                <w:color w:val="0000FF"/>
              </w:rPr>
              <w:t>1*†</w:t>
            </w:r>
          </w:p>
        </w:tc>
        <w:tc>
          <w:tcPr>
            <w:tcW w:w="10500" w:type="dxa"/>
            <w:vAlign w:val="bottom"/>
            <w:shd w:val="clear" w:color="auto" w:fill="CCEEFF"/>
          </w:tcPr>
          <w:p>
            <w:pPr>
              <w:ind w:left="100"/>
              <w:spacing w:after="0" w:line="168" w:lineRule="exact"/>
              <w:rPr>
                <w:sz w:val="20"/>
                <w:szCs w:val="20"/>
                <w:color w:val="auto"/>
              </w:rPr>
            </w:pPr>
            <w:r>
              <w:rPr>
                <w:rFonts w:ascii="Arial" w:cs="Arial" w:eastAsia="Arial" w:hAnsi="Arial"/>
                <w:sz w:val="15"/>
                <w:szCs w:val="15"/>
                <w:color w:val="auto"/>
              </w:rPr>
              <w:t>Marco Dolci Retirement Agreement dated September 18, 2023</w:t>
            </w:r>
          </w:p>
        </w:tc>
        <w:tc>
          <w:tcPr>
            <w:tcW w:w="0" w:type="dxa"/>
            <w:vAlign w:val="bottom"/>
          </w:tcPr>
          <w:p>
            <w:pPr>
              <w:spacing w:after="0"/>
              <w:rPr>
                <w:sz w:val="1"/>
                <w:szCs w:val="1"/>
                <w:color w:val="auto"/>
              </w:rPr>
            </w:pPr>
          </w:p>
        </w:tc>
      </w:tr>
      <w:tr>
        <w:trPr>
          <w:trHeight w:val="170"/>
        </w:trPr>
        <w:tc>
          <w:tcPr>
            <w:tcW w:w="360" w:type="dxa"/>
            <w:vAlign w:val="bottom"/>
            <w:tcBorders>
              <w:top w:val="single" w:sz="8" w:color="0000FF"/>
              <w:bottom w:val="single" w:sz="8" w:color="0000FF"/>
            </w:tcBorders>
          </w:tcPr>
          <w:p>
            <w:pPr>
              <w:spacing w:after="0" w:line="163" w:lineRule="exact"/>
              <w:rPr>
                <w:sz w:val="20"/>
                <w:szCs w:val="20"/>
                <w:color w:val="auto"/>
              </w:rPr>
            </w:pPr>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1*</w:t>
            </w: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CCEEFF"/>
            </w:tcBorders>
          </w:tcPr>
          <w:p>
            <w:pPr>
              <w:spacing w:after="0"/>
              <w:rPr>
                <w:sz w:val="14"/>
                <w:szCs w:val="14"/>
                <w:color w:val="auto"/>
              </w:rPr>
            </w:pPr>
          </w:p>
        </w:tc>
        <w:tc>
          <w:tcPr>
            <w:tcW w:w="10500" w:type="dxa"/>
            <w:vAlign w:val="bottom"/>
            <w:tcBorders>
              <w:top w:val="single" w:sz="8" w:color="CCEEFF"/>
            </w:tcBorders>
          </w:tcPr>
          <w:p>
            <w:pPr>
              <w:ind w:left="100"/>
              <w:spacing w:after="0" w:line="163" w:lineRule="exact"/>
              <w:rPr>
                <w:sz w:val="20"/>
                <w:szCs w:val="20"/>
                <w:color w:val="auto"/>
              </w:rPr>
            </w:pPr>
            <w:r>
              <w:rPr>
                <w:rFonts w:ascii="Arial" w:cs="Arial" w:eastAsia="Arial" w:hAnsi="Arial"/>
                <w:sz w:val="15"/>
                <w:szCs w:val="15"/>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185"/>
        </w:trPr>
        <w:tc>
          <w:tcPr>
            <w:tcW w:w="360" w:type="dxa"/>
            <w:vAlign w:val="bottom"/>
            <w:tcBorders>
              <w:bottom w:val="single" w:sz="8" w:color="0000FF"/>
            </w:tcBorders>
            <w:shd w:val="clear" w:color="auto" w:fill="CCEEFF"/>
          </w:tcPr>
          <w:p>
            <w:pPr>
              <w:spacing w:after="0" w:line="170" w:lineRule="exact"/>
              <w:rPr>
                <w:sz w:val="20"/>
                <w:szCs w:val="20"/>
                <w:color w:val="auto"/>
              </w:rPr>
            </w:pPr>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500" w:type="dxa"/>
            <w:vAlign w:val="bottom"/>
            <w:tcBorders>
              <w:bottom w:val="single" w:sz="8" w:color="CCEEFF"/>
            </w:tcBorders>
            <w:shd w:val="clear" w:color="auto" w:fill="CCEEFF"/>
          </w:tcPr>
          <w:p>
            <w:pPr>
              <w:ind w:left="100"/>
              <w:spacing w:after="0" w:line="170" w:lineRule="exact"/>
              <w:rPr>
                <w:sz w:val="20"/>
                <w:szCs w:val="20"/>
                <w:color w:val="auto"/>
              </w:rPr>
            </w:pPr>
            <w:r>
              <w:rPr>
                <w:rFonts w:ascii="Arial" w:cs="Arial" w:eastAsia="Arial" w:hAnsi="Arial"/>
                <w:sz w:val="15"/>
                <w:szCs w:val="15"/>
                <w:color w:val="auto"/>
              </w:rPr>
              <w:t>Certification of the Chief Financial Officer of LivaNova PLC pursuant to Section 302 of the Sarbanes-Oxley Act of 2002</w:t>
            </w:r>
          </w:p>
        </w:tc>
        <w:tc>
          <w:tcPr>
            <w:tcW w:w="0" w:type="dxa"/>
            <w:vAlign w:val="bottom"/>
          </w:tcPr>
          <w:p>
            <w:pPr>
              <w:spacing w:after="0"/>
              <w:rPr>
                <w:sz w:val="1"/>
                <w:szCs w:val="1"/>
                <w:color w:val="auto"/>
              </w:rPr>
            </w:pPr>
          </w:p>
        </w:tc>
      </w:tr>
      <w:tr>
        <w:trPr>
          <w:trHeight w:val="170"/>
        </w:trPr>
        <w:tc>
          <w:tcPr>
            <w:tcW w:w="360" w:type="dxa"/>
            <w:vAlign w:val="bottom"/>
            <w:tcBorders>
              <w:bottom w:val="single" w:sz="8" w:color="0000FF"/>
            </w:tcBorders>
          </w:tcPr>
          <w:p>
            <w:pPr>
              <w:spacing w:after="0" w:line="163" w:lineRule="exact"/>
              <w:rPr>
                <w:sz w:val="20"/>
                <w:szCs w:val="20"/>
                <w:color w:val="auto"/>
              </w:rPr>
            </w:pPr>
            <w:r>
              <w:rPr>
                <w:rFonts w:ascii="Arial" w:cs="Arial" w:eastAsia="Arial" w:hAnsi="Arial"/>
                <w:sz w:val="15"/>
                <w:szCs w:val="15"/>
                <w:color w:val="0000FF"/>
                <w:w w:val="96"/>
              </w:rPr>
              <w:t>32.</w:t>
            </w:r>
            <w:r>
              <w:rPr>
                <w:rFonts w:ascii="Arial" w:cs="Arial" w:eastAsia="Arial" w:hAnsi="Arial"/>
                <w:sz w:val="15"/>
                <w:szCs w:val="15"/>
                <w:u w:val="single" w:color="auto"/>
                <w:color w:val="0000FF"/>
                <w:w w:val="96"/>
              </w:rPr>
              <w:t>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500" w:type="dxa"/>
            <w:vAlign w:val="bottom"/>
          </w:tcPr>
          <w:p>
            <w:pPr>
              <w:ind w:left="100"/>
              <w:spacing w:after="0" w:line="163" w:lineRule="exact"/>
              <w:rPr>
                <w:sz w:val="20"/>
                <w:szCs w:val="20"/>
                <w:color w:val="auto"/>
              </w:rPr>
            </w:pPr>
            <w:r>
              <w:rPr>
                <w:rFonts w:ascii="Arial" w:cs="Arial" w:eastAsia="Arial" w:hAnsi="Arial"/>
                <w:sz w:val="15"/>
                <w:szCs w:val="15"/>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159"/>
        </w:trPr>
        <w:tc>
          <w:tcPr>
            <w:tcW w:w="36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w w:val="96"/>
              </w:rPr>
              <w:t>Interactive Data Files Pursuant to Rule 405 of Regulation S-T formatted in Inline XBRL: (i) the Condensed Consolidated Statements of Income (Loss) for the three</w:t>
            </w:r>
          </w:p>
        </w:tc>
        <w:tc>
          <w:tcPr>
            <w:tcW w:w="0" w:type="dxa"/>
            <w:vAlign w:val="bottom"/>
          </w:tcPr>
          <w:p>
            <w:pPr>
              <w:spacing w:after="0"/>
              <w:rPr>
                <w:sz w:val="1"/>
                <w:szCs w:val="1"/>
                <w:color w:val="auto"/>
              </w:rPr>
            </w:pPr>
          </w:p>
        </w:tc>
      </w:tr>
      <w:tr>
        <w:trPr>
          <w:trHeight w:val="163"/>
        </w:trPr>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500" w:type="dxa"/>
            <w:vAlign w:val="bottom"/>
            <w:shd w:val="clear" w:color="auto" w:fill="CCEEFF"/>
          </w:tcPr>
          <w:p>
            <w:pPr>
              <w:ind w:left="100"/>
              <w:spacing w:after="0" w:line="163" w:lineRule="exact"/>
              <w:rPr>
                <w:sz w:val="20"/>
                <w:szCs w:val="20"/>
                <w:color w:val="auto"/>
              </w:rPr>
            </w:pPr>
            <w:r>
              <w:rPr>
                <w:rFonts w:ascii="Arial" w:cs="Arial" w:eastAsia="Arial" w:hAnsi="Arial"/>
                <w:sz w:val="15"/>
                <w:szCs w:val="15"/>
                <w:color w:val="auto"/>
                <w:w w:val="95"/>
              </w:rPr>
              <w:t>and nine months ended September 30, 2023 and 2022, (ii) the Condensed Consolidated Statements of Comprehensive Income (Loss) for the three and nine months</w:t>
            </w:r>
          </w:p>
        </w:tc>
        <w:tc>
          <w:tcPr>
            <w:tcW w:w="0" w:type="dxa"/>
            <w:vAlign w:val="bottom"/>
          </w:tcPr>
          <w:p>
            <w:pPr>
              <w:spacing w:after="0"/>
              <w:rPr>
                <w:sz w:val="1"/>
                <w:szCs w:val="1"/>
                <w:color w:val="auto"/>
              </w:rPr>
            </w:pPr>
          </w:p>
        </w:tc>
      </w:tr>
      <w:tr>
        <w:trPr>
          <w:trHeight w:val="151"/>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8"/>
              </w:rPr>
              <w:t>ended September 30, 2023 and 2022, (iii) the Condensed Consolidated Balance Sheet as of September 30, 2023 and December 31, 2022, (iv) the Condensed</w:t>
            </w:r>
          </w:p>
        </w:tc>
        <w:tc>
          <w:tcPr>
            <w:tcW w:w="0" w:type="dxa"/>
            <w:vAlign w:val="bottom"/>
          </w:tcPr>
          <w:p>
            <w:pPr>
              <w:spacing w:after="0"/>
              <w:rPr>
                <w:sz w:val="1"/>
                <w:szCs w:val="1"/>
                <w:color w:val="auto"/>
              </w:rPr>
            </w:pPr>
          </w:p>
        </w:tc>
      </w:tr>
      <w:tr>
        <w:trPr>
          <w:trHeight w:val="151"/>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50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8"/>
              </w:rPr>
              <w:t>Consolidated Statements of Cash Flows for the nine months ended September 30, 2023 and 2022, and (vi) the Notes to the Condensed Consolidated Financial</w:t>
            </w:r>
          </w:p>
        </w:tc>
        <w:tc>
          <w:tcPr>
            <w:tcW w:w="0" w:type="dxa"/>
            <w:vAlign w:val="bottom"/>
          </w:tcPr>
          <w:p>
            <w:pPr>
              <w:spacing w:after="0"/>
              <w:rPr>
                <w:sz w:val="1"/>
                <w:szCs w:val="1"/>
                <w:color w:val="auto"/>
              </w:rPr>
            </w:pPr>
          </w:p>
        </w:tc>
      </w:tr>
      <w:tr>
        <w:trPr>
          <w:trHeight w:val="208"/>
        </w:trPr>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5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Statements</w:t>
            </w:r>
          </w:p>
        </w:tc>
        <w:tc>
          <w:tcPr>
            <w:tcW w:w="0" w:type="dxa"/>
            <w:vAlign w:val="bottom"/>
          </w:tcPr>
          <w:p>
            <w:pPr>
              <w:spacing w:after="0"/>
              <w:rPr>
                <w:sz w:val="1"/>
                <w:szCs w:val="1"/>
                <w:color w:val="auto"/>
              </w:rPr>
            </w:pPr>
          </w:p>
        </w:tc>
      </w:tr>
      <w:tr>
        <w:trPr>
          <w:trHeight w:val="197"/>
        </w:trPr>
        <w:tc>
          <w:tcPr>
            <w:tcW w:w="360" w:type="dxa"/>
            <w:vAlign w:val="bottom"/>
          </w:tcPr>
          <w:p>
            <w:pP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tcPr>
          <w:p>
            <w:pPr>
              <w:ind w:left="100"/>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720"/>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500" w:type="dxa"/>
            <w:vAlign w:val="bottom"/>
          </w:tcPr>
          <w:p>
            <w:pPr>
              <w:ind w:left="486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89"/>
        </w:trPr>
        <w:tc>
          <w:tcPr>
            <w:tcW w:w="3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5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0" w:right="319" w:bottom="1440" w:gutter="0" w:footer="0" w:header="0"/>
        </w:sectPr>
      </w:pPr>
    </w:p>
    <w:bookmarkStart w:id="41" w:name="page42"/>
    <w:bookmarkEnd w:id="41"/>
    <w:p>
      <w:pPr>
        <w:ind w:left="5240"/>
        <w:spacing w:after="0"/>
        <w:rPr>
          <w:sz w:val="20"/>
          <w:szCs w:val="20"/>
          <w:color w:val="auto"/>
        </w:rPr>
      </w:pPr>
      <w:r>
        <w:rPr>
          <w:rFonts w:ascii="Arial" w:cs="Arial" w:eastAsia="Arial" w:hAnsi="Arial"/>
          <w:sz w:val="15"/>
          <w:szCs w:val="15"/>
          <w:b w:val="1"/>
          <w:bCs w:val="1"/>
          <w:color w:val="auto"/>
        </w:rPr>
        <w:t>SIGNATURE</w:t>
      </w:r>
    </w:p>
    <w:p>
      <w:pPr>
        <w:spacing w:after="0" w:line="124" w:lineRule="exact"/>
        <w:rPr>
          <w:sz w:val="20"/>
          <w:szCs w:val="20"/>
          <w:color w:val="auto"/>
        </w:rPr>
      </w:pPr>
    </w:p>
    <w:p>
      <w:pPr>
        <w:ind w:firstLine="139"/>
        <w:spacing w:after="0" w:line="291"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40" w:type="dxa"/>
            <w:vAlign w:val="bottom"/>
          </w:tcPr>
          <w:p>
            <w:pPr>
              <w:spacing w:after="0"/>
              <w:rPr>
                <w:sz w:val="17"/>
                <w:szCs w:val="17"/>
                <w:color w:val="auto"/>
              </w:rPr>
            </w:pPr>
          </w:p>
        </w:tc>
        <w:tc>
          <w:tcPr>
            <w:tcW w:w="6420" w:type="dxa"/>
            <w:vAlign w:val="bottom"/>
            <w:gridSpan w:val="2"/>
          </w:tcPr>
          <w:p>
            <w:pPr>
              <w:ind w:left="80"/>
              <w:spacing w:after="0"/>
              <w:rPr>
                <w:sz w:val="20"/>
                <w:szCs w:val="20"/>
                <w:color w:val="auto"/>
              </w:rPr>
            </w:pPr>
            <w:r>
              <w:rPr>
                <w:rFonts w:ascii="Arial" w:cs="Arial" w:eastAsia="Arial" w:hAnsi="Arial"/>
                <w:sz w:val="15"/>
                <w:szCs w:val="15"/>
                <w:color w:val="auto"/>
              </w:rPr>
              <w:t>LIVANOVA PLC</w:t>
            </w:r>
          </w:p>
        </w:tc>
      </w:tr>
      <w:tr>
        <w:trPr>
          <w:trHeight w:val="708"/>
        </w:trPr>
        <w:tc>
          <w:tcPr>
            <w:tcW w:w="1640" w:type="dxa"/>
            <w:vAlign w:val="bottom"/>
          </w:tcPr>
          <w:p>
            <w:pPr>
              <w:spacing w:after="0"/>
              <w:rPr>
                <w:sz w:val="20"/>
                <w:szCs w:val="20"/>
                <w:color w:val="auto"/>
              </w:rPr>
            </w:pPr>
            <w:r>
              <w:rPr>
                <w:rFonts w:ascii="Arial" w:cs="Arial" w:eastAsia="Arial" w:hAnsi="Arial"/>
                <w:sz w:val="15"/>
                <w:szCs w:val="15"/>
                <w:color w:val="auto"/>
                <w:w w:val="99"/>
              </w:rPr>
              <w:t>Date: November 1, 2023</w:t>
            </w:r>
          </w:p>
        </w:tc>
        <w:tc>
          <w:tcPr>
            <w:tcW w:w="700" w:type="dxa"/>
            <w:vAlign w:val="bottom"/>
          </w:tcPr>
          <w:p>
            <w:pPr>
              <w:ind w:left="80"/>
              <w:spacing w:after="0"/>
              <w:rPr>
                <w:sz w:val="20"/>
                <w:szCs w:val="20"/>
                <w:color w:val="auto"/>
              </w:rPr>
            </w:pPr>
            <w:r>
              <w:rPr>
                <w:rFonts w:ascii="Arial" w:cs="Arial" w:eastAsia="Arial" w:hAnsi="Arial"/>
                <w:sz w:val="15"/>
                <w:szCs w:val="15"/>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WILLIAM A. KOZY</w:t>
            </w:r>
          </w:p>
        </w:tc>
      </w:tr>
      <w:tr>
        <w:trPr>
          <w:trHeight w:val="189"/>
        </w:trPr>
        <w:tc>
          <w:tcPr>
            <w:tcW w:w="1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William A. Kozy</w:t>
            </w:r>
          </w:p>
        </w:tc>
      </w:tr>
      <w:tr>
        <w:trPr>
          <w:trHeight w:val="209"/>
        </w:trPr>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5"/>
                <w:szCs w:val="15"/>
                <w:color w:val="auto"/>
              </w:rPr>
              <w:t>Interim Chief Executive Officer and Chair of the Board</w:t>
            </w:r>
          </w:p>
        </w:tc>
      </w:tr>
      <w:tr>
        <w:trPr>
          <w:trHeight w:val="221"/>
        </w:trPr>
        <w:tc>
          <w:tcPr>
            <w:tcW w:w="1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Arial" w:cs="Arial" w:eastAsia="Arial" w:hAnsi="Arial"/>
                <w:sz w:val="15"/>
                <w:szCs w:val="15"/>
                <w:i w:val="1"/>
                <w:iCs w:val="1"/>
                <w:color w:val="auto"/>
              </w:rPr>
              <w:t>(Principal Executive Officer)</w:t>
            </w:r>
          </w:p>
        </w:tc>
      </w:tr>
      <w:tr>
        <w:trPr>
          <w:trHeight w:val="348"/>
        </w:trPr>
        <w:tc>
          <w:tcPr>
            <w:tcW w:w="1640" w:type="dxa"/>
            <w:vAlign w:val="bottom"/>
          </w:tcPr>
          <w:p>
            <w:pPr>
              <w:spacing w:after="0"/>
              <w:rPr>
                <w:sz w:val="24"/>
                <w:szCs w:val="24"/>
                <w:color w:val="auto"/>
              </w:rPr>
            </w:pPr>
          </w:p>
        </w:tc>
        <w:tc>
          <w:tcPr>
            <w:tcW w:w="6420" w:type="dxa"/>
            <w:vAlign w:val="bottom"/>
            <w:gridSpan w:val="2"/>
          </w:tcPr>
          <w:p>
            <w:pPr>
              <w:ind w:left="80"/>
              <w:spacing w:after="0"/>
              <w:rPr>
                <w:sz w:val="20"/>
                <w:szCs w:val="20"/>
                <w:color w:val="auto"/>
              </w:rPr>
            </w:pPr>
            <w:r>
              <w:rPr>
                <w:rFonts w:ascii="Arial" w:cs="Arial" w:eastAsia="Arial" w:hAnsi="Arial"/>
                <w:sz w:val="15"/>
                <w:szCs w:val="15"/>
                <w:color w:val="auto"/>
              </w:rPr>
              <w:t>LIVANOVA PLC</w:t>
            </w:r>
          </w:p>
        </w:tc>
      </w:tr>
      <w:tr>
        <w:trPr>
          <w:trHeight w:val="708"/>
        </w:trPr>
        <w:tc>
          <w:tcPr>
            <w:tcW w:w="1640" w:type="dxa"/>
            <w:vAlign w:val="bottom"/>
          </w:tcPr>
          <w:p>
            <w:pPr>
              <w:spacing w:after="0"/>
              <w:rPr>
                <w:sz w:val="20"/>
                <w:szCs w:val="20"/>
                <w:color w:val="auto"/>
              </w:rPr>
            </w:pPr>
            <w:r>
              <w:rPr>
                <w:rFonts w:ascii="Arial" w:cs="Arial" w:eastAsia="Arial" w:hAnsi="Arial"/>
                <w:sz w:val="15"/>
                <w:szCs w:val="15"/>
                <w:color w:val="auto"/>
                <w:w w:val="99"/>
              </w:rPr>
              <w:t>Date: November 1, 2023</w:t>
            </w:r>
          </w:p>
        </w:tc>
        <w:tc>
          <w:tcPr>
            <w:tcW w:w="700" w:type="dxa"/>
            <w:vAlign w:val="bottom"/>
          </w:tcPr>
          <w:p>
            <w:pPr>
              <w:ind w:left="80"/>
              <w:spacing w:after="0"/>
              <w:rPr>
                <w:sz w:val="20"/>
                <w:szCs w:val="20"/>
                <w:color w:val="auto"/>
              </w:rPr>
            </w:pPr>
            <w:r>
              <w:rPr>
                <w:rFonts w:ascii="Arial" w:cs="Arial" w:eastAsia="Arial" w:hAnsi="Arial"/>
                <w:sz w:val="15"/>
                <w:szCs w:val="15"/>
                <w:color w:val="auto"/>
              </w:rPr>
              <w:t>By:</w:t>
            </w:r>
          </w:p>
        </w:tc>
        <w:tc>
          <w:tcPr>
            <w:tcW w:w="5720" w:type="dxa"/>
            <w:vAlign w:val="bottom"/>
          </w:tcPr>
          <w:p>
            <w:pPr>
              <w:ind w:left="20"/>
              <w:spacing w:after="0"/>
              <w:rPr>
                <w:sz w:val="20"/>
                <w:szCs w:val="20"/>
                <w:color w:val="auto"/>
              </w:rPr>
            </w:pPr>
            <w:r>
              <w:rPr>
                <w:rFonts w:ascii="Arial" w:cs="Arial" w:eastAsia="Arial" w:hAnsi="Arial"/>
                <w:sz w:val="15"/>
                <w:szCs w:val="15"/>
                <w:color w:val="auto"/>
              </w:rPr>
              <w:t>/s/ ALEX SHVARTSBURG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1484630</wp:posOffset>
            </wp:positionH>
            <wp:positionV relativeFrom="paragraph">
              <wp:posOffset>0</wp:posOffset>
            </wp:positionV>
            <wp:extent cx="36347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34740" cy="7620"/>
                    </a:xfrm>
                    <a:prstGeom prst="rect">
                      <a:avLst/>
                    </a:prstGeom>
                    <a:noFill/>
                  </pic:spPr>
                </pic:pic>
              </a:graphicData>
            </a:graphic>
          </wp:anchor>
        </w:drawing>
      </w:r>
    </w:p>
    <w:p>
      <w:pPr>
        <w:ind w:left="2360"/>
        <w:spacing w:after="0"/>
        <w:rPr>
          <w:sz w:val="20"/>
          <w:szCs w:val="20"/>
          <w:color w:val="auto"/>
        </w:rPr>
      </w:pPr>
      <w:r>
        <w:rPr>
          <w:rFonts w:ascii="Arial" w:cs="Arial" w:eastAsia="Arial" w:hAnsi="Arial"/>
          <w:sz w:val="15"/>
          <w:szCs w:val="15"/>
          <w:color w:val="auto"/>
        </w:rPr>
        <w:t>Alex Shvartsburg</w:t>
      </w:r>
    </w:p>
    <w:p>
      <w:pPr>
        <w:spacing w:after="0" w:line="37" w:lineRule="exact"/>
        <w:rPr>
          <w:sz w:val="20"/>
          <w:szCs w:val="20"/>
          <w:color w:val="auto"/>
        </w:rPr>
      </w:pPr>
    </w:p>
    <w:p>
      <w:pPr>
        <w:ind w:left="2360"/>
        <w:spacing w:after="0"/>
        <w:rPr>
          <w:sz w:val="20"/>
          <w:szCs w:val="20"/>
          <w:color w:val="auto"/>
        </w:rPr>
      </w:pPr>
      <w:r>
        <w:rPr>
          <w:rFonts w:ascii="Arial" w:cs="Arial" w:eastAsia="Arial" w:hAnsi="Arial"/>
          <w:sz w:val="15"/>
          <w:szCs w:val="15"/>
          <w:color w:val="auto"/>
        </w:rPr>
        <w:t>Chief Financial Officer</w:t>
      </w:r>
    </w:p>
    <w:p>
      <w:pPr>
        <w:spacing w:after="0" w:line="48" w:lineRule="exact"/>
        <w:rPr>
          <w:sz w:val="20"/>
          <w:szCs w:val="20"/>
          <w:color w:val="auto"/>
        </w:rPr>
      </w:pPr>
    </w:p>
    <w:p>
      <w:pPr>
        <w:ind w:left="236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301"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700"/>
          </w:cols>
          <w:pgMar w:left="320" w:top="785" w:right="879" w:bottom="1440"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325120</wp:posOffset>
            </wp:positionV>
            <wp:extent cx="7090410" cy="1019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90410" cy="10199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457835</wp:posOffset>
            </wp:positionV>
            <wp:extent cx="7087235" cy="10063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087235" cy="1006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457835</wp:posOffset>
            </wp:positionV>
            <wp:extent cx="7087235" cy="10063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87235" cy="1006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457835</wp:posOffset>
            </wp:positionV>
            <wp:extent cx="7087235" cy="10063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087235" cy="1006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457835</wp:posOffset>
            </wp:positionV>
            <wp:extent cx="7087235" cy="10063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087235" cy="1006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31.1</w:t>
      </w:r>
    </w:p>
    <w:p>
      <w:pPr>
        <w:spacing w:after="0" w:line="280"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William A. Kozy, certify that:</w:t>
      </w:r>
    </w:p>
    <w:p>
      <w:pPr>
        <w:spacing w:after="0" w:line="106" w:lineRule="exact"/>
        <w:rPr>
          <w:sz w:val="20"/>
          <w:szCs w:val="20"/>
          <w:color w:val="auto"/>
        </w:rPr>
      </w:pPr>
    </w:p>
    <w:p>
      <w:pPr>
        <w:ind w:left="460" w:hanging="188"/>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September 30, 2023 of LivaNova PLC and its consolidated subsidiaries;</w:t>
      </w:r>
    </w:p>
    <w:p>
      <w:pPr>
        <w:spacing w:after="0" w:line="106" w:lineRule="exact"/>
        <w:rPr>
          <w:rFonts w:ascii="Arial" w:cs="Arial" w:eastAsia="Arial" w:hAnsi="Arial"/>
          <w:sz w:val="15"/>
          <w:szCs w:val="15"/>
          <w:color w:val="auto"/>
        </w:rPr>
      </w:pPr>
    </w:p>
    <w:p>
      <w:pPr>
        <w:ind w:right="20" w:firstLine="272"/>
        <w:spacing w:after="0" w:line="291" w:lineRule="auto"/>
        <w:tabs>
          <w:tab w:leader="none" w:pos="474"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5"/>
          <w:szCs w:val="15"/>
          <w:color w:val="auto"/>
        </w:rPr>
      </w:pPr>
    </w:p>
    <w:p>
      <w:pPr>
        <w:ind w:firstLine="272"/>
        <w:spacing w:after="0" w:line="291" w:lineRule="auto"/>
        <w:tabs>
          <w:tab w:leader="none" w:pos="478"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5"/>
          <w:szCs w:val="15"/>
          <w:color w:val="auto"/>
        </w:rPr>
      </w:pPr>
    </w:p>
    <w:p>
      <w:pPr>
        <w:jc w:val="both"/>
        <w:ind w:firstLine="272"/>
        <w:spacing w:after="0" w:line="274" w:lineRule="auto"/>
        <w:tabs>
          <w:tab w:leader="none" w:pos="473"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9" w:lineRule="exact"/>
        <w:rPr>
          <w:sz w:val="20"/>
          <w:szCs w:val="20"/>
          <w:color w:val="auto"/>
        </w:rPr>
      </w:pPr>
    </w:p>
    <w:p>
      <w:pPr>
        <w:jc w:val="both"/>
        <w:ind w:right="20" w:firstLine="272"/>
        <w:spacing w:after="0" w:line="274" w:lineRule="auto"/>
        <w:tabs>
          <w:tab w:leader="none" w:pos="585"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jc w:val="both"/>
        <w:ind w:right="20" w:firstLine="272"/>
        <w:spacing w:after="0" w:line="274" w:lineRule="auto"/>
        <w:tabs>
          <w:tab w:leader="none" w:pos="546"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right="20" w:firstLine="272"/>
        <w:spacing w:after="0" w:line="291" w:lineRule="auto"/>
        <w:tabs>
          <w:tab w:leader="none" w:pos="568"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jc w:val="both"/>
        <w:ind w:firstLine="272"/>
        <w:spacing w:after="0" w:line="274" w:lineRule="auto"/>
        <w:tabs>
          <w:tab w:leader="none" w:pos="543"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firstLine="272"/>
        <w:spacing w:after="0" w:line="291" w:lineRule="auto"/>
        <w:tabs>
          <w:tab w:leader="none" w:pos="484"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sz w:val="20"/>
          <w:szCs w:val="20"/>
          <w:color w:val="auto"/>
        </w:rPr>
      </w:pPr>
    </w:p>
    <w:p>
      <w:pPr>
        <w:ind w:firstLine="272"/>
        <w:spacing w:after="0" w:line="291" w:lineRule="auto"/>
        <w:tabs>
          <w:tab w:leader="none" w:pos="533" w:val="left"/>
        </w:tabs>
        <w:numPr>
          <w:ilvl w:val="0"/>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5"/>
          <w:szCs w:val="15"/>
          <w:color w:val="auto"/>
        </w:rPr>
      </w:pPr>
    </w:p>
    <w:p>
      <w:pPr>
        <w:ind w:left="520" w:hanging="248"/>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Date: November 1, 2023</w:t>
      </w:r>
    </w:p>
    <w:p>
      <w:pPr>
        <w:spacing w:after="0" w:line="17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15240</wp:posOffset>
            </wp:positionV>
            <wp:extent cx="33769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William A. Kozy</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Interim Chief Executive Officer and Chair of the Board</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831" w:right="31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color w:val="auto"/>
        </w:rPr>
        <w:t>EXHIBIT 31.2</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60"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Alex Shvartsburg, certify that:</w:t>
      </w:r>
    </w:p>
    <w:p>
      <w:pPr>
        <w:spacing w:after="0" w:line="106" w:lineRule="exact"/>
        <w:rPr>
          <w:sz w:val="20"/>
          <w:szCs w:val="20"/>
          <w:color w:val="auto"/>
        </w:rPr>
      </w:pPr>
    </w:p>
    <w:p>
      <w:pPr>
        <w:ind w:left="460" w:hanging="188"/>
        <w:spacing w:after="0"/>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September 30, 2023 of LivaNova PLC and its consolidated subsidiaries;</w:t>
      </w:r>
    </w:p>
    <w:p>
      <w:pPr>
        <w:spacing w:after="0" w:line="106" w:lineRule="exact"/>
        <w:rPr>
          <w:rFonts w:ascii="Arial" w:cs="Arial" w:eastAsia="Arial" w:hAnsi="Arial"/>
          <w:sz w:val="15"/>
          <w:szCs w:val="15"/>
          <w:color w:val="auto"/>
        </w:rPr>
      </w:pPr>
    </w:p>
    <w:p>
      <w:pPr>
        <w:ind w:right="20" w:firstLine="272"/>
        <w:spacing w:after="0" w:line="291" w:lineRule="auto"/>
        <w:tabs>
          <w:tab w:leader="none" w:pos="474"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5"/>
          <w:szCs w:val="15"/>
          <w:color w:val="auto"/>
        </w:rPr>
      </w:pPr>
    </w:p>
    <w:p>
      <w:pPr>
        <w:ind w:firstLine="272"/>
        <w:spacing w:after="0" w:line="291" w:lineRule="auto"/>
        <w:tabs>
          <w:tab w:leader="none" w:pos="478"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5"/>
          <w:szCs w:val="15"/>
          <w:color w:val="auto"/>
        </w:rPr>
      </w:pPr>
    </w:p>
    <w:p>
      <w:pPr>
        <w:jc w:val="both"/>
        <w:ind w:firstLine="272"/>
        <w:spacing w:after="0" w:line="274" w:lineRule="auto"/>
        <w:tabs>
          <w:tab w:leader="none" w:pos="47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9" w:lineRule="exact"/>
        <w:rPr>
          <w:sz w:val="20"/>
          <w:szCs w:val="20"/>
          <w:color w:val="auto"/>
        </w:rPr>
      </w:pPr>
    </w:p>
    <w:p>
      <w:pPr>
        <w:jc w:val="both"/>
        <w:ind w:right="20" w:firstLine="272"/>
        <w:spacing w:after="0" w:line="274" w:lineRule="auto"/>
        <w:tabs>
          <w:tab w:leader="none" w:pos="585"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5"/>
          <w:szCs w:val="15"/>
          <w:color w:val="auto"/>
        </w:rPr>
      </w:pPr>
    </w:p>
    <w:p>
      <w:pPr>
        <w:jc w:val="both"/>
        <w:ind w:right="20" w:firstLine="272"/>
        <w:spacing w:after="0" w:line="274" w:lineRule="auto"/>
        <w:tabs>
          <w:tab w:leader="none" w:pos="546" w:val="left"/>
        </w:tabs>
        <w:numPr>
          <w:ilvl w:val="0"/>
          <w:numId w:val="17"/>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5"/>
          <w:szCs w:val="15"/>
          <w:color w:val="auto"/>
        </w:rPr>
      </w:pPr>
    </w:p>
    <w:p>
      <w:pPr>
        <w:ind w:right="20" w:firstLine="272"/>
        <w:spacing w:after="0" w:line="291" w:lineRule="auto"/>
        <w:tabs>
          <w:tab w:leader="none" w:pos="568" w:val="left"/>
        </w:tabs>
        <w:numPr>
          <w:ilvl w:val="0"/>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jc w:val="both"/>
        <w:ind w:firstLine="272"/>
        <w:spacing w:after="0" w:line="274" w:lineRule="auto"/>
        <w:tabs>
          <w:tab w:leader="none" w:pos="543"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firstLine="272"/>
        <w:spacing w:after="0" w:line="291" w:lineRule="auto"/>
        <w:tabs>
          <w:tab w:leader="none" w:pos="484"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sz w:val="20"/>
          <w:szCs w:val="20"/>
          <w:color w:val="auto"/>
        </w:rPr>
      </w:pPr>
    </w:p>
    <w:p>
      <w:pPr>
        <w:ind w:firstLine="272"/>
        <w:spacing w:after="0" w:line="291" w:lineRule="auto"/>
        <w:tabs>
          <w:tab w:leader="none" w:pos="533"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5"/>
          <w:szCs w:val="15"/>
          <w:color w:val="auto"/>
        </w:rPr>
      </w:pPr>
    </w:p>
    <w:p>
      <w:pPr>
        <w:ind w:left="520" w:hanging="248"/>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Date: November 1, 2023</w:t>
      </w:r>
    </w:p>
    <w:p>
      <w:pPr>
        <w:spacing w:after="0" w:line="176"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15240</wp:posOffset>
            </wp:positionV>
            <wp:extent cx="33769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Alex Shvartsburg</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Chief Financial Officer</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5"/>
          <w:szCs w:val="15"/>
          <w:i w:val="1"/>
          <w:iCs w:val="1"/>
          <w:color w:val="auto"/>
        </w:rPr>
        <w:t>(Principal Accounting and Financial Officer)</w:t>
      </w:r>
    </w:p>
    <w:p>
      <w:pPr>
        <w:sectPr>
          <w:pgSz w:w="11900" w:h="16838" w:orient="portrait"/>
          <w:cols w:equalWidth="0" w:num="1">
            <w:col w:w="11260"/>
          </w:cols>
          <w:pgMar w:left="320" w:top="924" w:right="31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color w:val="auto"/>
        </w:rPr>
        <w:t>EXHIBIT 32.1</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LIVANOVA PLC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SECTION 1350</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35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Each of William A. Kozy, Interim Chief Executive Officer and Chair of the Board of LivaNova PLC (the “Company”), and Alex Shvartsburg, Chief Financial Officer of the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Company, each hereby certifies pursuant to 18 U.S.C. Section 1350, as adopted pursuant to Section 906 of the Sarbanes-Oxley Act of 2002, that to the best of his knowledge:</w:t>
      </w:r>
    </w:p>
    <w:p>
      <w:pPr>
        <w:spacing w:after="0" w:line="200" w:lineRule="exact"/>
        <w:rPr>
          <w:sz w:val="20"/>
          <w:szCs w:val="20"/>
          <w:color w:val="auto"/>
        </w:rPr>
      </w:pPr>
    </w:p>
    <w:p>
      <w:pPr>
        <w:spacing w:after="0" w:line="301" w:lineRule="exact"/>
        <w:rPr>
          <w:sz w:val="20"/>
          <w:szCs w:val="20"/>
          <w:color w:val="auto"/>
        </w:rPr>
      </w:pPr>
    </w:p>
    <w:p>
      <w:pPr>
        <w:ind w:right="20" w:firstLine="446"/>
        <w:spacing w:after="0" w:line="467" w:lineRule="auto"/>
        <w:tabs>
          <w:tab w:leader="none" w:pos="71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Quarterly Report on Form 10-Q of the Company and its consolidated subsidiaries for the quarterly period ended September 30, 2023, as filed with the Securities and Exchange Commission on the date hereof (the “Report”) fully complies with the requirements of Section 13(a) or 15(d) of the Securities Exchange Act of 1934, as amended; and</w:t>
      </w:r>
    </w:p>
    <w:p>
      <w:pPr>
        <w:spacing w:after="0" w:line="313" w:lineRule="exact"/>
        <w:rPr>
          <w:rFonts w:ascii="Arial" w:cs="Arial" w:eastAsia="Arial" w:hAnsi="Arial"/>
          <w:sz w:val="14"/>
          <w:szCs w:val="14"/>
          <w:color w:val="auto"/>
        </w:rPr>
      </w:pPr>
    </w:p>
    <w:p>
      <w:pPr>
        <w:ind w:left="700" w:hanging="254"/>
        <w:spacing w:after="0"/>
        <w:tabs>
          <w:tab w:leader="none" w:pos="7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Date: November 1, 2023</w:t>
      </w:r>
    </w:p>
    <w:p>
      <w:pPr>
        <w:spacing w:after="0" w:line="24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 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15240</wp:posOffset>
            </wp:positionV>
            <wp:extent cx="337693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7"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William A. Kozy</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Interim Chief Executive Officer and Chair of the Board</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5"/>
          <w:szCs w:val="15"/>
          <w:i w:val="1"/>
          <w:iCs w:val="1"/>
          <w:color w:val="auto"/>
        </w:rPr>
        <w:t>(Principal Executive Officer)</w:t>
      </w:r>
    </w:p>
    <w:p>
      <w:pPr>
        <w:spacing w:after="0" w:line="200" w:lineRule="exact"/>
        <w:rPr>
          <w:sz w:val="20"/>
          <w:szCs w:val="20"/>
          <w:color w:val="auto"/>
        </w:rPr>
      </w:pPr>
    </w:p>
    <w:p>
      <w:pPr>
        <w:spacing w:after="0" w:line="35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15240</wp:posOffset>
            </wp:positionV>
            <wp:extent cx="33769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Alex Shvartsburg</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Chief Financial Officer</w:t>
      </w:r>
    </w:p>
    <w:p>
      <w:pPr>
        <w:spacing w:after="0" w:line="25"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324" w:lineRule="exact"/>
        <w:rPr>
          <w:sz w:val="20"/>
          <w:szCs w:val="20"/>
          <w:color w:val="auto"/>
        </w:rPr>
      </w:pPr>
    </w:p>
    <w:p>
      <w:pPr>
        <w:ind w:right="20" w:firstLine="279"/>
        <w:spacing w:after="0" w:line="307"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4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60"/>
      </w:cols>
      <w:pgMar w:left="320" w:top="83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decimal"/>
      <w:start w:val="5"/>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5"/>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2023-11-01T14:16:22Z</dcterms:created>
  <dcterms:modified xsi:type="dcterms:W3CDTF">2023-11-01T14:16:22Z</dcterms:modified>
</cp:coreProperties>
</file>