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Skeffington Keyna Pidcock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13"/>
        <w:spacing w:after="0"/>
        <w:rPr>
          <w:sz w:val="20"/>
          <w:szCs w:val="20"/>
          <w:color w:val="auto"/>
        </w:rPr>
      </w:pPr>
      <w:r>
        <w:rPr>
          <w:rFonts w:ascii="Arial" w:cs="Arial" w:eastAsia="Arial" w:hAnsi="Arial"/>
          <w:sz w:val="17"/>
          <w:szCs w:val="17"/>
          <w:color w:val="0000FF"/>
        </w:rPr>
        <w:t>General Counsel</w:t>
      </w:r>
    </w:p>
    <w:p>
      <w:pPr>
        <w:spacing w:after="0" w:line="31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09/15/2021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301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5,853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09/15/2021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142</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84.97</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5,711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301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240"/>
              <w:spacing w:after="0"/>
              <w:rPr>
                <w:sz w:val="20"/>
                <w:szCs w:val="20"/>
                <w:color w:val="auto"/>
              </w:rPr>
            </w:pPr>
            <w:r>
              <w:rPr>
                <w:rFonts w:ascii="Arial" w:cs="Arial" w:eastAsia="Arial" w:hAnsi="Arial"/>
                <w:sz w:val="26"/>
                <w:szCs w:val="26"/>
                <w:color w:val="0000FF"/>
                <w:w w:val="80"/>
                <w:vertAlign w:val="subscript"/>
              </w:rPr>
              <w:t>300</w:t>
            </w:r>
            <w:r>
              <w:rPr>
                <w:rFonts w:ascii="Arial" w:cs="Arial" w:eastAsia="Arial" w:hAnsi="Arial"/>
                <w:sz w:val="11"/>
                <w:szCs w:val="11"/>
                <w:color w:val="008000"/>
                <w:w w:val="8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09/15/2021</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301</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28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15, 2018, reporting person was granted RSUs subject to a four-year vesting schedule, the first vesting for which occurred on September 15, 2019. The RSUs are subject to forfeiture prior to vesting in accordance with the terms of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09/17/2021</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firstLine="626"/>
        <w:spacing w:after="0" w:line="334"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4"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-11430</wp:posOffset>
            </wp:positionV>
            <wp:extent cx="142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2021-09-17T07:58:50Z</dcterms:created>
  <dcterms:modified xsi:type="dcterms:W3CDTF">2021-09-17T07:58:50Z</dcterms:modified>
</cp:coreProperties>
</file>