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137160</wp:posOffset>
            </wp:positionH>
            <wp:positionV relativeFrom="page">
              <wp:posOffset>334010</wp:posOffset>
            </wp:positionV>
            <wp:extent cx="728789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895" cy="4064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136525</wp:posOffset>
            </wp:positionV>
            <wp:extent cx="1305560" cy="409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5560" cy="409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LivaNova PLC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23" w:lineRule="exact"/>
        <w:rPr>
          <w:sz w:val="24"/>
          <w:szCs w:val="24"/>
          <w:color w:val="auto"/>
        </w:rPr>
      </w:pPr>
    </w:p>
    <w:tbl>
      <w:tblPr>
        <w:tblLayout w:type="fixed"/>
        <w:tblInd w:w="960" w:type="dxa"/>
        <w:tblCellMar>
          <w:top w:w="0" w:type="dxa"/>
          <w:left w:w="0" w:type="dxa"/>
          <w:bottom w:w="0" w:type="dxa"/>
          <w:right w:w="0" w:type="dxa"/>
        </w:tblCellMar>
      </w:tblPr>
      <w:tr>
        <w:trPr>
          <w:trHeight w:val="193"/>
        </w:trPr>
        <w:tc>
          <w:tcPr>
            <w:tcW w:w="2200" w:type="dxa"/>
            <w:vAlign w:val="bottom"/>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England and Wales</w:t>
            </w: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001-37599</w:t>
            </w:r>
          </w:p>
        </w:tc>
        <w:tc>
          <w:tcPr>
            <w:tcW w:w="1780" w:type="dxa"/>
            <w:vAlign w:val="bottom"/>
          </w:tcPr>
          <w:p>
            <w:pPr>
              <w:jc w:val="center"/>
              <w:ind w:left="500"/>
              <w:spacing w:after="0"/>
              <w:rPr>
                <w:sz w:val="20"/>
                <w:szCs w:val="20"/>
                <w:color w:val="auto"/>
              </w:rPr>
            </w:pPr>
            <w:r>
              <w:rPr>
                <w:rFonts w:ascii="Times New Roman" w:cs="Times New Roman" w:eastAsia="Times New Roman" w:hAnsi="Times New Roman"/>
                <w:sz w:val="16"/>
                <w:szCs w:val="16"/>
                <w:b w:val="1"/>
                <w:bCs w:val="1"/>
                <w:color w:val="auto"/>
                <w:w w:val="98"/>
              </w:rPr>
              <w:t>98-1268150</w:t>
            </w:r>
          </w:p>
        </w:tc>
      </w:tr>
      <w:tr>
        <w:trPr>
          <w:trHeight w:val="191"/>
        </w:trPr>
        <w:tc>
          <w:tcPr>
            <w:tcW w:w="2200" w:type="dxa"/>
            <w:vAlign w:val="bottom"/>
          </w:tcPr>
          <w:p>
            <w:pPr>
              <w:jc w:val="center"/>
              <w:ind w:right="380"/>
              <w:spacing w:after="0"/>
              <w:rPr>
                <w:sz w:val="20"/>
                <w:szCs w:val="20"/>
                <w:color w:val="auto"/>
              </w:rPr>
            </w:pPr>
            <w:r>
              <w:rPr>
                <w:rFonts w:ascii="Times New Roman" w:cs="Times New Roman" w:eastAsia="Times New Roman" w:hAnsi="Times New Roman"/>
                <w:sz w:val="16"/>
                <w:szCs w:val="16"/>
                <w:color w:val="auto"/>
              </w:rPr>
              <w:t>(State or Other Jurisdiction</w:t>
            </w: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7"/>
              </w:rPr>
              <w:t>(Commission</w:t>
            </w:r>
          </w:p>
        </w:tc>
        <w:tc>
          <w:tcPr>
            <w:tcW w:w="1780" w:type="dxa"/>
            <w:vAlign w:val="bottom"/>
          </w:tcPr>
          <w:p>
            <w:pPr>
              <w:jc w:val="center"/>
              <w:ind w:left="500"/>
              <w:spacing w:after="0"/>
              <w:rPr>
                <w:sz w:val="20"/>
                <w:szCs w:val="20"/>
                <w:color w:val="auto"/>
              </w:rPr>
            </w:pPr>
            <w:r>
              <w:rPr>
                <w:rFonts w:ascii="Times New Roman" w:cs="Times New Roman" w:eastAsia="Times New Roman" w:hAnsi="Times New Roman"/>
                <w:sz w:val="16"/>
                <w:szCs w:val="16"/>
                <w:color w:val="auto"/>
                <w:w w:val="98"/>
              </w:rPr>
              <w:t>(IRS Employer</w:t>
            </w:r>
          </w:p>
        </w:tc>
      </w:tr>
      <w:tr>
        <w:trPr>
          <w:trHeight w:val="208"/>
        </w:trPr>
        <w:tc>
          <w:tcPr>
            <w:tcW w:w="2200" w:type="dxa"/>
            <w:vAlign w:val="bottom"/>
          </w:tcPr>
          <w:p>
            <w:pPr>
              <w:jc w:val="center"/>
              <w:ind w:right="340"/>
              <w:spacing w:after="0"/>
              <w:rPr>
                <w:sz w:val="20"/>
                <w:szCs w:val="20"/>
                <w:color w:val="auto"/>
              </w:rPr>
            </w:pPr>
            <w:r>
              <w:rPr>
                <w:rFonts w:ascii="Times New Roman" w:cs="Times New Roman" w:eastAsia="Times New Roman" w:hAnsi="Times New Roman"/>
                <w:sz w:val="16"/>
                <w:szCs w:val="16"/>
                <w:color w:val="auto"/>
              </w:rPr>
              <w:t>of Incorporation)</w:t>
            </w: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rPr>
              <w:t>File Number)</w:t>
            </w:r>
          </w:p>
        </w:tc>
        <w:tc>
          <w:tcPr>
            <w:tcW w:w="178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88"/>
        </w:trPr>
        <w:tc>
          <w:tcPr>
            <w:tcW w:w="2200" w:type="dxa"/>
            <w:vAlign w:val="bottom"/>
          </w:tcPr>
          <w:p>
            <w:pPr>
              <w:spacing w:after="0"/>
              <w:rPr>
                <w:sz w:val="24"/>
                <w:szCs w:val="24"/>
                <w:color w:val="auto"/>
              </w:rPr>
            </w:pPr>
          </w:p>
        </w:tc>
        <w:tc>
          <w:tcPr>
            <w:tcW w:w="52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20 Eastbourne Terrace</w:t>
            </w:r>
          </w:p>
        </w:tc>
        <w:tc>
          <w:tcPr>
            <w:tcW w:w="1780" w:type="dxa"/>
            <w:vAlign w:val="bottom"/>
          </w:tcPr>
          <w:p>
            <w:pPr>
              <w:spacing w:after="0"/>
              <w:rPr>
                <w:sz w:val="24"/>
                <w:szCs w:val="24"/>
                <w:color w:val="auto"/>
              </w:rPr>
            </w:pPr>
          </w:p>
        </w:tc>
      </w:tr>
      <w:tr>
        <w:trPr>
          <w:trHeight w:val="191"/>
        </w:trPr>
        <w:tc>
          <w:tcPr>
            <w:tcW w:w="2200" w:type="dxa"/>
            <w:vAlign w:val="bottom"/>
          </w:tcPr>
          <w:p>
            <w:pPr>
              <w:spacing w:after="0"/>
              <w:rPr>
                <w:sz w:val="16"/>
                <w:szCs w:val="16"/>
                <w:color w:val="auto"/>
              </w:rPr>
            </w:pP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London, W2 6LG</w:t>
            </w:r>
          </w:p>
        </w:tc>
        <w:tc>
          <w:tcPr>
            <w:tcW w:w="1780" w:type="dxa"/>
            <w:vAlign w:val="bottom"/>
          </w:tcPr>
          <w:p>
            <w:pPr>
              <w:spacing w:after="0"/>
              <w:rPr>
                <w:sz w:val="16"/>
                <w:szCs w:val="16"/>
                <w:color w:val="auto"/>
              </w:rPr>
            </w:pPr>
          </w:p>
        </w:tc>
      </w:tr>
      <w:tr>
        <w:trPr>
          <w:trHeight w:val="193"/>
        </w:trPr>
        <w:tc>
          <w:tcPr>
            <w:tcW w:w="2200" w:type="dxa"/>
            <w:vAlign w:val="bottom"/>
          </w:tcPr>
          <w:p>
            <w:pPr>
              <w:spacing w:after="0"/>
              <w:rPr>
                <w:sz w:val="16"/>
                <w:szCs w:val="16"/>
                <w:color w:val="auto"/>
              </w:rPr>
            </w:pPr>
          </w:p>
        </w:tc>
        <w:tc>
          <w:tcPr>
            <w:tcW w:w="52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United Kingdom</w:t>
            </w:r>
          </w:p>
        </w:tc>
        <w:tc>
          <w:tcPr>
            <w:tcW w:w="1780" w:type="dxa"/>
            <w:vAlign w:val="bottom"/>
          </w:tcPr>
          <w:p>
            <w:pPr>
              <w:spacing w:after="0"/>
              <w:rPr>
                <w:sz w:val="16"/>
                <w:szCs w:val="16"/>
                <w:color w:val="auto"/>
              </w:rPr>
            </w:pPr>
          </w:p>
        </w:tc>
      </w:tr>
      <w:tr>
        <w:trPr>
          <w:trHeight w:val="208"/>
        </w:trPr>
        <w:tc>
          <w:tcPr>
            <w:tcW w:w="2200" w:type="dxa"/>
            <w:vAlign w:val="bottom"/>
          </w:tcPr>
          <w:p>
            <w:pPr>
              <w:spacing w:after="0"/>
              <w:rPr>
                <w:sz w:val="18"/>
                <w:szCs w:val="18"/>
                <w:color w:val="auto"/>
              </w:rPr>
            </w:pP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780" w:type="dxa"/>
            <w:vAlign w:val="bottom"/>
          </w:tcPr>
          <w:p>
            <w:pPr>
              <w:spacing w:after="0"/>
              <w:rPr>
                <w:sz w:val="18"/>
                <w:szCs w:val="18"/>
                <w:color w:val="auto"/>
              </w:rPr>
            </w:pPr>
          </w:p>
        </w:tc>
      </w:tr>
      <w:tr>
        <w:trPr>
          <w:trHeight w:val="366"/>
        </w:trPr>
        <w:tc>
          <w:tcPr>
            <w:tcW w:w="2200" w:type="dxa"/>
            <w:vAlign w:val="bottom"/>
          </w:tcPr>
          <w:p>
            <w:pPr>
              <w:spacing w:after="0"/>
              <w:rPr>
                <w:sz w:val="24"/>
                <w:szCs w:val="24"/>
                <w:color w:val="auto"/>
              </w:rPr>
            </w:pP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+44 20 33250660</w:t>
            </w:r>
          </w:p>
        </w:tc>
        <w:tc>
          <w:tcPr>
            <w:tcW w:w="1780" w:type="dxa"/>
            <w:vAlign w:val="bottom"/>
          </w:tcPr>
          <w:p>
            <w:pPr>
              <w:spacing w:after="0"/>
              <w:rPr>
                <w:sz w:val="24"/>
                <w:szCs w:val="24"/>
                <w:color w:val="auto"/>
              </w:rPr>
            </w:pPr>
          </w:p>
        </w:tc>
      </w:tr>
      <w:tr>
        <w:trPr>
          <w:trHeight w:val="208"/>
        </w:trPr>
        <w:tc>
          <w:tcPr>
            <w:tcW w:w="2200" w:type="dxa"/>
            <w:vAlign w:val="bottom"/>
          </w:tcPr>
          <w:p>
            <w:pPr>
              <w:spacing w:after="0"/>
              <w:rPr>
                <w:sz w:val="18"/>
                <w:szCs w:val="18"/>
                <w:color w:val="auto"/>
              </w:rPr>
            </w:pPr>
          </w:p>
        </w:tc>
        <w:tc>
          <w:tcPr>
            <w:tcW w:w="5260" w:type="dxa"/>
            <w:vAlign w:val="bottom"/>
          </w:tcPr>
          <w:p>
            <w:pPr>
              <w:jc w:val="center"/>
              <w:ind w:right="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1780" w:type="dxa"/>
            <w:vAlign w:val="bottom"/>
          </w:tcPr>
          <w:p>
            <w:pPr>
              <w:spacing w:after="0"/>
              <w:rPr>
                <w:sz w:val="18"/>
                <w:szCs w:val="18"/>
                <w:color w:val="auto"/>
              </w:rPr>
            </w:pPr>
          </w:p>
        </w:tc>
      </w:tr>
      <w:tr>
        <w:trPr>
          <w:trHeight w:val="366"/>
        </w:trPr>
        <w:tc>
          <w:tcPr>
            <w:tcW w:w="2200" w:type="dxa"/>
            <w:vAlign w:val="bottom"/>
          </w:tcPr>
          <w:p>
            <w:pPr>
              <w:spacing w:after="0"/>
              <w:rPr>
                <w:sz w:val="24"/>
                <w:szCs w:val="24"/>
                <w:color w:val="auto"/>
              </w:rPr>
            </w:pP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N/A</w:t>
            </w:r>
          </w:p>
        </w:tc>
        <w:tc>
          <w:tcPr>
            <w:tcW w:w="1780" w:type="dxa"/>
            <w:vAlign w:val="bottom"/>
          </w:tcPr>
          <w:p>
            <w:pPr>
              <w:spacing w:after="0"/>
              <w:rPr>
                <w:sz w:val="24"/>
                <w:szCs w:val="24"/>
                <w:color w:val="auto"/>
              </w:rPr>
            </w:pPr>
          </w:p>
        </w:tc>
      </w:tr>
      <w:tr>
        <w:trPr>
          <w:trHeight w:val="208"/>
        </w:trPr>
        <w:tc>
          <w:tcPr>
            <w:tcW w:w="2200" w:type="dxa"/>
            <w:vAlign w:val="bottom"/>
          </w:tcPr>
          <w:p>
            <w:pPr>
              <w:spacing w:after="0"/>
              <w:rPr>
                <w:sz w:val="18"/>
                <w:szCs w:val="18"/>
                <w:color w:val="auto"/>
              </w:rPr>
            </w:pPr>
          </w:p>
        </w:tc>
        <w:tc>
          <w:tcPr>
            <w:tcW w:w="5260" w:type="dxa"/>
            <w:vAlign w:val="bottom"/>
          </w:tcPr>
          <w:p>
            <w:pPr>
              <w:jc w:val="center"/>
              <w:ind w:right="60"/>
              <w:spacing w:after="0"/>
              <w:rPr>
                <w:sz w:val="20"/>
                <w:szCs w:val="20"/>
                <w:color w:val="auto"/>
              </w:rPr>
            </w:pPr>
            <w:r>
              <w:rPr>
                <w:rFonts w:ascii="Times New Roman" w:cs="Times New Roman" w:eastAsia="Times New Roman" w:hAnsi="Times New Roman"/>
                <w:sz w:val="16"/>
                <w:szCs w:val="16"/>
                <w:color w:val="auto"/>
                <w:w w:val="99"/>
              </w:rPr>
              <w:t>(Former Name or Former Address, if Changed Since Last Report)</w:t>
            </w:r>
          </w:p>
        </w:tc>
        <w:tc>
          <w:tcPr>
            <w:tcW w:w="1780" w:type="dxa"/>
            <w:vAlign w:val="bottom"/>
          </w:tcPr>
          <w:p>
            <w:pPr>
              <w:spacing w:after="0"/>
              <w:rPr>
                <w:sz w:val="18"/>
                <w:szCs w:val="18"/>
                <w:color w:val="auto"/>
              </w:rPr>
            </w:pPr>
          </w:p>
        </w:tc>
      </w:tr>
    </w:tbl>
    <w:p>
      <w:pPr>
        <w:spacing w:after="0" w:line="174" w:lineRule="exact"/>
        <w:rPr>
          <w:sz w:val="24"/>
          <w:szCs w:val="24"/>
          <w:color w:val="auto"/>
        </w:rPr>
      </w:pPr>
    </w:p>
    <w:p>
      <w:pPr>
        <w:ind w:right="300"/>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is intended to simultaneously satisfy the filing obligation of the registrant under any of the following provisions (see General Instructions A.2. below):</w:t>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5"/>
          <w:szCs w:val="15"/>
          <w:color w:val="auto"/>
        </w:rPr>
        <w:t>Written communications pursuant to Rule 425 under the Securities Act (17 CFR 230.425)</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5"/>
          <w:szCs w:val="15"/>
          <w:color w:val="auto"/>
        </w:rPr>
        <w:t>Soliciting material pursuant to Rule 14a-12 under the Exchange Act (17 CFR 240.14a-12)</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92"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7660"/>
        <w:spacing w:after="0"/>
        <w:tabs>
          <w:tab w:leader="none" w:pos="1126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Times New Roman" w:cs="Times New Roman" w:eastAsia="Times New Roman" w:hAnsi="Times New Roman"/>
          <w:sz w:val="18"/>
          <w:szCs w:val="18"/>
          <w:color w:val="auto"/>
        </w:rPr>
        <w:t>o</w:t>
      </w:r>
    </w:p>
    <w:p>
      <w:pPr>
        <w:spacing w:after="0" w:line="216"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2" w:lineRule="exact"/>
        <w:rPr>
          <w:sz w:val="24"/>
          <w:szCs w:val="24"/>
          <w:color w:val="auto"/>
        </w:rPr>
      </w:pPr>
    </w:p>
    <w:p>
      <w:pPr>
        <w:ind w:left="11280"/>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309245</wp:posOffset>
            </wp:positionV>
            <wp:extent cx="728789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895" cy="40640"/>
                    </a:xfrm>
                    <a:prstGeom prst="rect">
                      <a:avLst/>
                    </a:prstGeom>
                    <a:noFill/>
                  </pic:spPr>
                </pic:pic>
              </a:graphicData>
            </a:graphic>
          </wp:anchor>
        </w:drawing>
      </w:r>
    </w:p>
    <w:p>
      <w:pPr>
        <w:sectPr>
          <w:pgSz w:w="11900" w:h="16838" w:orient="portrait"/>
          <w:cols w:equalWidth="0" w:num="1">
            <w:col w:w="11440"/>
          </w:cols>
          <w:pgMar w:left="240" w:top="647"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ind w:right="40" w:firstLine="574"/>
        <w:spacing w:after="0" w:line="259" w:lineRule="auto"/>
        <w:rPr>
          <w:sz w:val="20"/>
          <w:szCs w:val="20"/>
          <w:color w:val="auto"/>
        </w:rPr>
      </w:pPr>
      <w:r>
        <w:rPr>
          <w:rFonts w:ascii="Times New Roman" w:cs="Times New Roman" w:eastAsia="Times New Roman" w:hAnsi="Times New Roman"/>
          <w:sz w:val="16"/>
          <w:szCs w:val="16"/>
          <w:color w:val="auto"/>
        </w:rPr>
        <w:t>On May 1, 2019, LivaNova PLC (the “Company”) issued a press release announcing financial results for the quarter ended March 31, 2019. The Company will host a business update conference call and webcast today, May 1, 2019, at 1 p.m. London time (8 a.m. Eastern Time), during which the Company will discuss the financial results. The conference call will be available to interested parties through a live audio webcast and accessible through the Investor Relations section of the LivaNova corporate website at www.livanova.com. A copy of the Company’s press release is furnished as Exhibit 99.1 on this Current Report on Form 8-K.</w:t>
      </w:r>
    </w:p>
    <w:p>
      <w:pPr>
        <w:spacing w:after="0" w:line="162" w:lineRule="exact"/>
        <w:rPr>
          <w:sz w:val="20"/>
          <w:szCs w:val="20"/>
          <w:color w:val="auto"/>
        </w:rPr>
      </w:pPr>
    </w:p>
    <w:p>
      <w:pPr>
        <w:jc w:val="both"/>
        <w:ind w:firstLine="574"/>
        <w:spacing w:after="0" w:line="265" w:lineRule="auto"/>
        <w:rPr>
          <w:sz w:val="20"/>
          <w:szCs w:val="20"/>
          <w:color w:val="auto"/>
        </w:rPr>
      </w:pPr>
      <w:r>
        <w:rPr>
          <w:rFonts w:ascii="Times New Roman" w:cs="Times New Roman" w:eastAsia="Times New Roman" w:hAnsi="Times New Roman"/>
          <w:sz w:val="16"/>
          <w:szCs w:val="16"/>
          <w:color w:val="auto"/>
        </w:rPr>
        <w:t>The information in Item 2.02 of this report is being furnished, not filed, for purposes of Section 18 of the Securities Exchange Act of 1934, as amended, and pursuant to General Instruction B.2 of Form 8-K, will not be incorporated by reference into any filing under the Securities Act of 1933, as amended, unless specifically identified therein as being incorporated therein by reference.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(d)</w:t>
        <w:tab/>
        <w:t>Exhibits.</w:t>
      </w:r>
    </w:p>
    <w:p>
      <w:pPr>
        <w:spacing w:after="0" w:line="340" w:lineRule="exact"/>
        <w:rPr>
          <w:sz w:val="20"/>
          <w:szCs w:val="20"/>
          <w:color w:val="auto"/>
        </w:rPr>
      </w:pPr>
    </w:p>
    <w:p>
      <w:pPr>
        <w:ind w:left="20"/>
        <w:spacing w:after="0"/>
        <w:tabs>
          <w:tab w:leader="none" w:pos="1500" w:val="left"/>
        </w:tabs>
        <w:rPr>
          <w:sz w:val="20"/>
          <w:szCs w:val="20"/>
          <w:color w:val="auto"/>
        </w:rPr>
      </w:pPr>
      <w:r>
        <w:rPr>
          <w:rFonts w:ascii="Times New Roman" w:cs="Times New Roman" w:eastAsia="Times New Roman" w:hAnsi="Times New Roman"/>
          <w:sz w:val="16"/>
          <w:szCs w:val="16"/>
          <w:b w:val="1"/>
          <w:bCs w:val="1"/>
          <w:u w:val="single" w:color="auto"/>
          <w:color w:val="auto"/>
        </w:rPr>
        <w:t>Exhibit</w:t>
      </w:r>
      <w:r>
        <w:rPr>
          <w:sz w:val="20"/>
          <w:szCs w:val="20"/>
          <w:color w:val="auto"/>
        </w:rPr>
        <w:tab/>
      </w:r>
      <w:r>
        <w:rPr>
          <w:rFonts w:ascii="Times New Roman" w:cs="Times New Roman" w:eastAsia="Times New Roman" w:hAnsi="Times New Roman"/>
          <w:sz w:val="16"/>
          <w:szCs w:val="16"/>
          <w:b w:val="1"/>
          <w:bCs w:val="1"/>
          <w:u w:val="single" w:color="auto"/>
          <w:color w:val="auto"/>
        </w:rPr>
        <w:t>Description</w:t>
      </w:r>
    </w:p>
    <w:p>
      <w:pPr>
        <w:spacing w:after="0" w:line="320" w:lineRule="exact"/>
        <w:rPr>
          <w:sz w:val="20"/>
          <w:szCs w:val="20"/>
          <w:color w:val="auto"/>
        </w:rPr>
      </w:pPr>
    </w:p>
    <w:p>
      <w:pPr>
        <w:ind w:left="20"/>
        <w:spacing w:after="0"/>
        <w:tabs>
          <w:tab w:leader="none" w:pos="1500"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99.1</w:t>
      </w:r>
      <w:r>
        <w:rPr>
          <w:sz w:val="20"/>
          <w:szCs w:val="20"/>
          <w:color w:val="auto"/>
        </w:rPr>
        <w:tab/>
      </w:r>
      <w:hyperlink w:anchor="page4">
        <w:r>
          <w:rPr>
            <w:rFonts w:ascii="Times New Roman" w:cs="Times New Roman" w:eastAsia="Times New Roman" w:hAnsi="Times New Roman"/>
            <w:sz w:val="15"/>
            <w:szCs w:val="15"/>
            <w:u w:val="single" w:color="auto"/>
            <w:color w:val="0000FF"/>
          </w:rPr>
          <w:t>Press Release issued by LivaNova PLC dated May 1, 2019</w:t>
        </w:r>
      </w:hyperlink>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80"/>
          </w:cols>
          <w:pgMar w:left="240" w:top="336" w:right="3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420" w:type="dxa"/>
            <w:vAlign w:val="bottom"/>
          </w:tcPr>
          <w:p>
            <w:pPr>
              <w:spacing w:after="0"/>
              <w:rPr>
                <w:sz w:val="18"/>
                <w:szCs w:val="18"/>
                <w:color w:val="auto"/>
              </w:rPr>
            </w:pPr>
          </w:p>
        </w:tc>
        <w:tc>
          <w:tcPr>
            <w:tcW w:w="4140" w:type="dxa"/>
            <w:vAlign w:val="bottom"/>
            <w:gridSpan w:val="3"/>
          </w:tcPr>
          <w:p>
            <w:pPr>
              <w:ind w:left="2300"/>
              <w:spacing w:after="0"/>
              <w:rPr>
                <w:sz w:val="20"/>
                <w:szCs w:val="20"/>
                <w:color w:val="auto"/>
              </w:rPr>
            </w:pPr>
            <w:r>
              <w:rPr>
                <w:rFonts w:ascii="Times New Roman" w:cs="Times New Roman" w:eastAsia="Times New Roman" w:hAnsi="Times New Roman"/>
                <w:sz w:val="16"/>
                <w:szCs w:val="16"/>
                <w:color w:val="auto"/>
              </w:rPr>
              <w:t>LivaNova PLC</w:t>
            </w:r>
          </w:p>
        </w:tc>
      </w:tr>
      <w:tr>
        <w:trPr>
          <w:trHeight w:val="729"/>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Date: May 1, 2019</w:t>
            </w:r>
          </w:p>
        </w:tc>
        <w:tc>
          <w:tcPr>
            <w:tcW w:w="4140" w:type="dxa"/>
            <w:vAlign w:val="bottom"/>
            <w:gridSpan w:val="3"/>
          </w:tcPr>
          <w:p>
            <w:pPr>
              <w:ind w:left="2300"/>
              <w:spacing w:after="0"/>
              <w:rPr>
                <w:sz w:val="20"/>
                <w:szCs w:val="20"/>
                <w:color w:val="auto"/>
              </w:rPr>
            </w:pPr>
            <w:r>
              <w:rPr>
                <w:rFonts w:ascii="Times New Roman" w:cs="Times New Roman" w:eastAsia="Times New Roman" w:hAnsi="Times New Roman"/>
                <w:sz w:val="16"/>
                <w:szCs w:val="16"/>
                <w:color w:val="auto"/>
              </w:rPr>
              <w:t>By:/s/ Catherine Moroz</w:t>
            </w:r>
          </w:p>
        </w:tc>
      </w:tr>
      <w:tr>
        <w:trPr>
          <w:trHeight w:val="20"/>
        </w:trPr>
        <w:tc>
          <w:tcPr>
            <w:tcW w:w="3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55"/>
        </w:trPr>
        <w:tc>
          <w:tcPr>
            <w:tcW w:w="3420" w:type="dxa"/>
            <w:vAlign w:val="bottom"/>
          </w:tcPr>
          <w:p>
            <w:pPr>
              <w:spacing w:after="0"/>
              <w:rPr>
                <w:sz w:val="22"/>
                <w:szCs w:val="22"/>
                <w:color w:val="auto"/>
              </w:rPr>
            </w:pPr>
          </w:p>
        </w:tc>
        <w:tc>
          <w:tcPr>
            <w:tcW w:w="4140" w:type="dxa"/>
            <w:vAlign w:val="bottom"/>
            <w:gridSpan w:val="3"/>
          </w:tcPr>
          <w:p>
            <w:pPr>
              <w:ind w:left="2500"/>
              <w:spacing w:after="0"/>
              <w:rPr>
                <w:sz w:val="20"/>
                <w:szCs w:val="20"/>
                <w:color w:val="auto"/>
              </w:rPr>
            </w:pPr>
            <w:r>
              <w:rPr>
                <w:rFonts w:ascii="Times New Roman" w:cs="Times New Roman" w:eastAsia="Times New Roman" w:hAnsi="Times New Roman"/>
                <w:sz w:val="16"/>
                <w:szCs w:val="16"/>
                <w:color w:val="auto"/>
              </w:rPr>
              <w:t>Name: Catherine Moroz</w:t>
            </w:r>
          </w:p>
        </w:tc>
      </w:tr>
      <w:tr>
        <w:trPr>
          <w:trHeight w:val="239"/>
        </w:trPr>
        <w:tc>
          <w:tcPr>
            <w:tcW w:w="3420" w:type="dxa"/>
            <w:vAlign w:val="bottom"/>
          </w:tcPr>
          <w:p>
            <w:pPr>
              <w:spacing w:after="0"/>
              <w:rPr>
                <w:sz w:val="20"/>
                <w:szCs w:val="20"/>
                <w:color w:val="auto"/>
              </w:rPr>
            </w:pPr>
          </w:p>
        </w:tc>
        <w:tc>
          <w:tcPr>
            <w:tcW w:w="4140" w:type="dxa"/>
            <w:vAlign w:val="bottom"/>
            <w:gridSpan w:val="3"/>
          </w:tcPr>
          <w:p>
            <w:pPr>
              <w:ind w:left="2500"/>
              <w:spacing w:after="0"/>
              <w:rPr>
                <w:sz w:val="20"/>
                <w:szCs w:val="20"/>
                <w:color w:val="auto"/>
              </w:rPr>
            </w:pPr>
            <w:r>
              <w:rPr>
                <w:rFonts w:ascii="Times New Roman" w:cs="Times New Roman" w:eastAsia="Times New Roman" w:hAnsi="Times New Roman"/>
                <w:sz w:val="16"/>
                <w:szCs w:val="16"/>
                <w:color w:val="auto"/>
                <w:w w:val="97"/>
              </w:rPr>
              <w:t>Title: Company Secretary</w:t>
            </w:r>
          </w:p>
        </w:tc>
      </w:tr>
      <w:tr>
        <w:trPr>
          <w:trHeight w:val="884"/>
        </w:trPr>
        <w:tc>
          <w:tcPr>
            <w:tcW w:w="3420" w:type="dxa"/>
            <w:vAlign w:val="bottom"/>
          </w:tcPr>
          <w:p>
            <w:pPr>
              <w:spacing w:after="0"/>
              <w:rPr>
                <w:sz w:val="24"/>
                <w:szCs w:val="24"/>
                <w:color w:val="auto"/>
              </w:rPr>
            </w:pPr>
          </w:p>
        </w:tc>
        <w:tc>
          <w:tcPr>
            <w:tcW w:w="254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3</w:t>
            </w: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1140"/>
          </w:cols>
          <w:pgMar w:left="240" w:top="336"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487170" cy="424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7170"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FF5C39"/>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28789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895" cy="4064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Reports First Quarter 2019 Results</w:t>
      </w:r>
    </w:p>
    <w:p>
      <w:pPr>
        <w:spacing w:after="0" w:line="311" w:lineRule="exact"/>
        <w:rPr>
          <w:sz w:val="20"/>
          <w:szCs w:val="20"/>
          <w:color w:val="auto"/>
        </w:rPr>
      </w:pPr>
    </w:p>
    <w:p>
      <w:pPr>
        <w:jc w:val="both"/>
        <w:ind w:right="20"/>
        <w:spacing w:after="0" w:line="396" w:lineRule="auto"/>
        <w:rPr>
          <w:sz w:val="20"/>
          <w:szCs w:val="20"/>
          <w:color w:val="auto"/>
        </w:rPr>
      </w:pPr>
      <w:r>
        <w:rPr>
          <w:rFonts w:ascii="Arial" w:cs="Arial" w:eastAsia="Arial" w:hAnsi="Arial"/>
          <w:sz w:val="18"/>
          <w:szCs w:val="18"/>
          <w:b w:val="1"/>
          <w:bCs w:val="1"/>
          <w:color w:val="auto"/>
        </w:rPr>
        <w:t xml:space="preserve">London, May 1, 2019 – </w:t>
      </w:r>
      <w:r>
        <w:rPr>
          <w:rFonts w:ascii="Arial" w:cs="Arial" w:eastAsia="Arial" w:hAnsi="Arial"/>
          <w:sz w:val="18"/>
          <w:szCs w:val="18"/>
          <w:color w:val="auto"/>
        </w:rPr>
        <w:t>LivaNova PLC (NASDAQ:LIVN), a market-leading medical technology and innovation company, today reported results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quarter ended March 31, 2019.</w:t>
      </w:r>
    </w:p>
    <w:p>
      <w:pPr>
        <w:spacing w:after="0" w:line="251"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For the first quarter of 2019, worldwide sales from continuing operations were $250.8 million, an increase of 0.2 percent on a reported basis and an increase of 4.2 percent on a constant-currency basis, as compared to the same quarter of the previous year. On the basis of U.S. Generally Accepted Accounting Principles (GAAP), first quarter 2019 diluted loss per share from continuing operations was $0.31. First quarter 2019 adjusted diluted earnings per share from continuing operations were $0.54.</w:t>
      </w:r>
    </w:p>
    <w:p>
      <w:pPr>
        <w:spacing w:after="0" w:line="220" w:lineRule="exact"/>
        <w:rPr>
          <w:sz w:val="20"/>
          <w:szCs w:val="20"/>
          <w:color w:val="auto"/>
        </w:rPr>
      </w:pPr>
    </w:p>
    <w:p>
      <w:pPr>
        <w:jc w:val="both"/>
        <w:ind w:right="20"/>
        <w:spacing w:after="0" w:line="387" w:lineRule="auto"/>
        <w:rPr>
          <w:sz w:val="20"/>
          <w:szCs w:val="20"/>
          <w:color w:val="auto"/>
        </w:rPr>
      </w:pPr>
      <w:r>
        <w:rPr>
          <w:rFonts w:ascii="Arial" w:cs="Arial" w:eastAsia="Arial" w:hAnsi="Arial"/>
          <w:sz w:val="17"/>
          <w:szCs w:val="17"/>
          <w:color w:val="auto"/>
        </w:rPr>
        <w:t>"We are disappointed by our first quarter performance in U.S. Neuromodulation and Perceval</w:t>
      </w:r>
      <w:r>
        <w:rPr>
          <w:rFonts w:ascii="Arial" w:cs="Arial" w:eastAsia="Arial" w:hAnsi="Arial"/>
          <w:sz w:val="21"/>
          <w:szCs w:val="21"/>
          <w:color w:val="auto"/>
          <w:vertAlign w:val="superscript"/>
        </w:rPr>
        <w:t>®</w:t>
      </w:r>
      <w:r>
        <w:rPr>
          <w:rFonts w:ascii="Arial" w:cs="Arial" w:eastAsia="Arial" w:hAnsi="Arial"/>
          <w:sz w:val="17"/>
          <w:szCs w:val="17"/>
          <w:color w:val="auto"/>
        </w:rPr>
        <w:t xml:space="preserve"> sales. As a leadership team, we are implementing a series of actions to counteract the market dynamic and salesforce retention issues we experienced," said Damien McDonald, Chief Executive Officer of LivaNova. "Sales results for first quarter 2019 were strong in Cardiovascular across all regions primarily driven by double-digit growth in heart-lung machines (HLM), along with strong growth in oxygenators and Advanced Circulatory Support. Neuromodulation had another quarter of double-digit growth in Europe and Rest of World. Profitability in the quarter was impacted by lower than expected sales in U.S. Neuromodulation."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Results</w:t>
      </w:r>
    </w:p>
    <w:p>
      <w:pPr>
        <w:spacing w:after="0" w:line="261" w:lineRule="exact"/>
        <w:rPr>
          <w:sz w:val="20"/>
          <w:szCs w:val="20"/>
          <w:color w:val="auto"/>
        </w:rPr>
      </w:pPr>
    </w:p>
    <w:p>
      <w:pPr>
        <w:jc w:val="both"/>
        <w:ind w:right="20"/>
        <w:spacing w:after="0" w:line="394" w:lineRule="auto"/>
        <w:rPr>
          <w:sz w:val="20"/>
          <w:szCs w:val="20"/>
          <w:color w:val="auto"/>
        </w:rPr>
      </w:pPr>
      <w:r>
        <w:rPr>
          <w:rFonts w:ascii="Arial" w:cs="Arial" w:eastAsia="Arial" w:hAnsi="Arial"/>
          <w:sz w:val="18"/>
          <w:szCs w:val="18"/>
          <w:color w:val="auto"/>
        </w:rPr>
        <w:t>Worldwide sales from continuing operations for the first quarter were $250.8 million, up 4.2 percent on a constant-currency basis compared to the first quarter of 2018. The following table highlights worldwide sales for the first quarter of 2019 by business: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440"/>
          </w:cols>
          <w:pgMar w:left="240" w:top="554" w:right="21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4"/>
        </w:trPr>
        <w:tc>
          <w:tcPr>
            <w:tcW w:w="43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4"/>
                <w:szCs w:val="14"/>
                <w:i w:val="1"/>
                <w:iCs w:val="1"/>
                <w:color w:val="auto"/>
              </w:rPr>
              <w:t>$ in millions</w:t>
            </w:r>
          </w:p>
        </w:tc>
        <w:tc>
          <w:tcPr>
            <w:tcW w:w="2600" w:type="dxa"/>
            <w:vAlign w:val="bottom"/>
            <w:tcBorders>
              <w:top w:val="single" w:sz="8" w:color="auto"/>
            </w:tcBorders>
            <w:gridSpan w:val="2"/>
          </w:tcPr>
          <w:p>
            <w:pPr>
              <w:jc w:val="center"/>
              <w:ind w:left="899"/>
              <w:spacing w:after="0"/>
              <w:rPr>
                <w:sz w:val="20"/>
                <w:szCs w:val="20"/>
                <w:color w:val="auto"/>
              </w:rPr>
            </w:pPr>
            <w:r>
              <w:rPr>
                <w:rFonts w:ascii="Arial" w:cs="Arial" w:eastAsia="Arial" w:hAnsi="Arial"/>
                <w:sz w:val="18"/>
                <w:szCs w:val="18"/>
                <w:color w:val="auto"/>
                <w:w w:val="97"/>
              </w:rPr>
              <w:t>Three months ended</w:t>
            </w:r>
          </w:p>
        </w:tc>
        <w:tc>
          <w:tcPr>
            <w:tcW w:w="9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vMerge w:val="restart"/>
          </w:tcPr>
          <w:p>
            <w:pPr>
              <w:jc w:val="right"/>
              <w:ind w:right="39"/>
              <w:spacing w:after="0"/>
              <w:rPr>
                <w:sz w:val="20"/>
                <w:szCs w:val="20"/>
                <w:color w:val="auto"/>
              </w:rPr>
            </w:pPr>
            <w:r>
              <w:rPr>
                <w:rFonts w:ascii="Arial" w:cs="Arial" w:eastAsia="Arial" w:hAnsi="Arial"/>
                <w:sz w:val="18"/>
                <w:szCs w:val="18"/>
                <w:color w:val="auto"/>
              </w:rPr>
              <w:t>Constant-Currency</w:t>
            </w:r>
          </w:p>
        </w:tc>
        <w:tc>
          <w:tcPr>
            <w:tcW w:w="0" w:type="dxa"/>
            <w:vAlign w:val="bottom"/>
          </w:tcPr>
          <w:p>
            <w:pPr>
              <w:spacing w:after="0"/>
              <w:rPr>
                <w:sz w:val="1"/>
                <w:szCs w:val="1"/>
                <w:color w:val="auto"/>
              </w:rPr>
            </w:pPr>
          </w:p>
        </w:tc>
      </w:tr>
      <w:tr>
        <w:trPr>
          <w:trHeight w:val="120"/>
        </w:trPr>
        <w:tc>
          <w:tcPr>
            <w:tcW w:w="4380" w:type="dxa"/>
            <w:vAlign w:val="bottom"/>
            <w:tcBorders>
              <w:left w:val="single" w:sz="8" w:color="auto"/>
              <w:right w:val="single" w:sz="8" w:color="auto"/>
            </w:tcBorders>
          </w:tcPr>
          <w:p>
            <w:pPr>
              <w:spacing w:after="0"/>
              <w:rPr>
                <w:sz w:val="10"/>
                <w:szCs w:val="10"/>
                <w:color w:val="auto"/>
              </w:rPr>
            </w:pPr>
          </w:p>
        </w:tc>
        <w:tc>
          <w:tcPr>
            <w:tcW w:w="2600" w:type="dxa"/>
            <w:vAlign w:val="bottom"/>
            <w:gridSpan w:val="2"/>
            <w:vMerge w:val="restart"/>
          </w:tcPr>
          <w:p>
            <w:pPr>
              <w:jc w:val="center"/>
              <w:ind w:left="899"/>
              <w:spacing w:after="0"/>
              <w:rPr>
                <w:sz w:val="20"/>
                <w:szCs w:val="20"/>
                <w:color w:val="auto"/>
              </w:rPr>
            </w:pPr>
            <w:r>
              <w:rPr>
                <w:rFonts w:ascii="Arial" w:cs="Arial" w:eastAsia="Arial" w:hAnsi="Arial"/>
                <w:sz w:val="18"/>
                <w:szCs w:val="18"/>
                <w:color w:val="auto"/>
                <w:w w:val="97"/>
              </w:rPr>
              <w:t>March 31,</w:t>
            </w:r>
          </w:p>
        </w:tc>
        <w:tc>
          <w:tcPr>
            <w:tcW w:w="98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vMerge w:val="restart"/>
          </w:tcPr>
          <w:p>
            <w:pPr>
              <w:jc w:val="right"/>
              <w:ind w:right="419"/>
              <w:spacing w:after="0"/>
              <w:rPr>
                <w:sz w:val="20"/>
                <w:szCs w:val="20"/>
                <w:color w:val="auto"/>
              </w:rPr>
            </w:pPr>
            <w:r>
              <w:rPr>
                <w:rFonts w:ascii="Arial" w:cs="Arial" w:eastAsia="Arial" w:hAnsi="Arial"/>
                <w:sz w:val="18"/>
                <w:szCs w:val="18"/>
                <w:color w:val="auto"/>
              </w:rPr>
              <w:t>% Change</w:t>
            </w:r>
          </w:p>
        </w:tc>
        <w:tc>
          <w:tcPr>
            <w:tcW w:w="1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38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Business / Product Line:</w:t>
            </w:r>
          </w:p>
        </w:tc>
        <w:tc>
          <w:tcPr>
            <w:tcW w:w="2600" w:type="dxa"/>
            <w:vAlign w:val="bottom"/>
            <w:tcBorders>
              <w:bottom w:val="single" w:sz="8" w:color="00000A"/>
            </w:tcBorders>
            <w:gridSpan w:val="2"/>
            <w:vMerge w:val="continue"/>
          </w:tcPr>
          <w:p>
            <w:pPr>
              <w:spacing w:after="0"/>
              <w:rPr>
                <w:sz w:val="10"/>
                <w:szCs w:val="10"/>
                <w:color w:val="auto"/>
              </w:rPr>
            </w:pPr>
          </w:p>
        </w:tc>
        <w:tc>
          <w:tcPr>
            <w:tcW w:w="980" w:type="dxa"/>
            <w:vAlign w:val="bottom"/>
            <w:tcBorders>
              <w:bottom w:val="single" w:sz="8" w:color="00000A"/>
              <w:right w:val="single" w:sz="8" w:color="auto"/>
            </w:tcBorders>
          </w:tcPr>
          <w:p>
            <w:pPr>
              <w:spacing w:after="0"/>
              <w:rPr>
                <w:sz w:val="10"/>
                <w:szCs w:val="10"/>
                <w:color w:val="auto"/>
              </w:rPr>
            </w:pPr>
          </w:p>
        </w:tc>
        <w:tc>
          <w:tcPr>
            <w:tcW w:w="18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restart"/>
          </w:tcPr>
          <w:p>
            <w:pPr>
              <w:jc w:val="right"/>
              <w:ind w:right="379"/>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96"/>
        </w:trPr>
        <w:tc>
          <w:tcPr>
            <w:tcW w:w="4380" w:type="dxa"/>
            <w:vAlign w:val="bottom"/>
            <w:tcBorders>
              <w:left w:val="single" w:sz="8" w:color="auto"/>
              <w:right w:val="single" w:sz="8" w:color="auto"/>
            </w:tcBorders>
            <w:vMerge w:val="continue"/>
          </w:tcPr>
          <w:p>
            <w:pPr>
              <w:spacing w:after="0"/>
              <w:rPr>
                <w:sz w:val="8"/>
                <w:szCs w:val="8"/>
                <w:color w:val="auto"/>
              </w:rPr>
            </w:pPr>
          </w:p>
        </w:tc>
        <w:tc>
          <w:tcPr>
            <w:tcW w:w="2020" w:type="dxa"/>
            <w:vAlign w:val="bottom"/>
            <w:tcBorders>
              <w:right w:val="single" w:sz="8" w:color="auto"/>
            </w:tcBorders>
            <w:vMerge w:val="restart"/>
          </w:tcPr>
          <w:p>
            <w:pPr>
              <w:jc w:val="right"/>
              <w:ind w:right="759"/>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8"/>
                <w:szCs w:val="8"/>
                <w:color w:val="auto"/>
              </w:rPr>
            </w:pPr>
          </w:p>
        </w:tc>
        <w:tc>
          <w:tcPr>
            <w:tcW w:w="980" w:type="dxa"/>
            <w:vAlign w:val="bottom"/>
            <w:tcBorders>
              <w:right w:val="single" w:sz="8" w:color="auto"/>
            </w:tcBorders>
            <w:vMerge w:val="restart"/>
          </w:tcPr>
          <w:p>
            <w:pPr>
              <w:jc w:val="right"/>
              <w:ind w:right="540"/>
              <w:spacing w:after="0"/>
              <w:rPr>
                <w:sz w:val="20"/>
                <w:szCs w:val="20"/>
                <w:color w:val="auto"/>
              </w:rPr>
            </w:pPr>
            <w:r>
              <w:rPr>
                <w:rFonts w:ascii="Arial" w:cs="Arial" w:eastAsia="Arial" w:hAnsi="Arial"/>
                <w:sz w:val="16"/>
                <w:szCs w:val="16"/>
                <w:color w:val="auto"/>
                <w:w w:val="95"/>
              </w:rPr>
              <w:t>2018</w:t>
            </w:r>
          </w:p>
        </w:tc>
        <w:tc>
          <w:tcPr>
            <w:tcW w:w="18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3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020" w:type="dxa"/>
            <w:vAlign w:val="bottom"/>
            <w:tcBorders>
              <w:bottom w:val="single" w:sz="8" w:color="auto"/>
              <w:right w:val="single" w:sz="8" w:color="auto"/>
            </w:tcBorders>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vMerge w:val="continue"/>
          </w:tcPr>
          <w:p>
            <w:pPr>
              <w:spacing w:after="0"/>
              <w:rPr>
                <w:sz w:val="11"/>
                <w:szCs w:val="11"/>
                <w:color w:val="auto"/>
              </w:rPr>
            </w:pPr>
          </w:p>
        </w:tc>
        <w:tc>
          <w:tcPr>
            <w:tcW w:w="18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43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i w:val="1"/>
                <w:iCs w:val="1"/>
                <w:color w:val="auto"/>
              </w:rPr>
              <w:t>Cardiopulmonary</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$121.6</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$125.1</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(2.8%)</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i w:val="1"/>
                <w:iCs w:val="1"/>
                <w:color w:val="auto"/>
              </w:rPr>
              <w:t>2.6%</w:t>
            </w:r>
          </w:p>
        </w:tc>
        <w:tc>
          <w:tcPr>
            <w:tcW w:w="0" w:type="dxa"/>
            <w:vAlign w:val="bottom"/>
          </w:tcPr>
          <w:p>
            <w:pPr>
              <w:spacing w:after="0"/>
              <w:rPr>
                <w:sz w:val="1"/>
                <w:szCs w:val="1"/>
                <w:color w:val="auto"/>
              </w:rPr>
            </w:pPr>
          </w:p>
        </w:tc>
      </w:tr>
      <w:tr>
        <w:trPr>
          <w:trHeight w:val="219"/>
        </w:trPr>
        <w:tc>
          <w:tcPr>
            <w:tcW w:w="43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i w:val="1"/>
                <w:iCs w:val="1"/>
                <w:color w:val="auto"/>
              </w:rPr>
              <w:t>Heart Valves</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25.7</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31.0</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(17.3%)</w:t>
            </w:r>
          </w:p>
        </w:tc>
        <w:tc>
          <w:tcPr>
            <w:tcW w:w="1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i w:val="1"/>
                <w:iCs w:val="1"/>
                <w:color w:val="auto"/>
              </w:rPr>
              <w:t>(11.2%)</w:t>
            </w:r>
          </w:p>
        </w:tc>
        <w:tc>
          <w:tcPr>
            <w:tcW w:w="0" w:type="dxa"/>
            <w:vAlign w:val="bottom"/>
          </w:tcPr>
          <w:p>
            <w:pPr>
              <w:spacing w:after="0"/>
              <w:rPr>
                <w:sz w:val="1"/>
                <w:szCs w:val="1"/>
                <w:color w:val="auto"/>
              </w:rPr>
            </w:pPr>
          </w:p>
        </w:tc>
      </w:tr>
      <w:tr>
        <w:trPr>
          <w:trHeight w:val="219"/>
        </w:trPr>
        <w:tc>
          <w:tcPr>
            <w:tcW w:w="438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6"/>
                <w:szCs w:val="16"/>
                <w:i w:val="1"/>
                <w:iCs w:val="1"/>
                <w:color w:val="auto"/>
              </w:rPr>
              <w:t>Advanced Circulatory Support</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i w:val="1"/>
                <w:iCs w:val="1"/>
                <w:color w:val="auto"/>
              </w:rPr>
              <w:t>8.2</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i w:val="1"/>
                <w:iCs w:val="1"/>
                <w:color w:val="auto"/>
              </w:rPr>
              <w:t>—</w:t>
            </w:r>
          </w:p>
        </w:tc>
        <w:tc>
          <w:tcPr>
            <w:tcW w:w="180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16"/>
                <w:szCs w:val="16"/>
                <w:i w:val="1"/>
                <w:iCs w:val="1"/>
                <w:color w:val="auto"/>
              </w:rPr>
              <w:t>N/A</w:t>
            </w:r>
          </w:p>
        </w:tc>
        <w:tc>
          <w:tcPr>
            <w:tcW w:w="1700" w:type="dxa"/>
            <w:vAlign w:val="bottom"/>
            <w:tcBorders>
              <w:bottom w:val="single" w:sz="8" w:color="auto"/>
              <w:right w:val="single" w:sz="8" w:color="auto"/>
            </w:tcBorders>
          </w:tcPr>
          <w:p>
            <w:pPr>
              <w:jc w:val="right"/>
              <w:ind w:right="159"/>
              <w:spacing w:after="0"/>
              <w:rPr>
                <w:sz w:val="20"/>
                <w:szCs w:val="20"/>
                <w:color w:val="auto"/>
              </w:rPr>
            </w:pPr>
            <w:r>
              <w:rPr>
                <w:rFonts w:ascii="Arial" w:cs="Arial" w:eastAsia="Arial" w:hAnsi="Arial"/>
                <w:sz w:val="16"/>
                <w:szCs w:val="16"/>
                <w:i w:val="1"/>
                <w:iCs w:val="1"/>
                <w:color w:val="auto"/>
              </w:rPr>
              <w:t>N/A</w:t>
            </w:r>
          </w:p>
        </w:tc>
        <w:tc>
          <w:tcPr>
            <w:tcW w:w="0" w:type="dxa"/>
            <w:vAlign w:val="bottom"/>
          </w:tcPr>
          <w:p>
            <w:pPr>
              <w:spacing w:after="0"/>
              <w:rPr>
                <w:sz w:val="1"/>
                <w:szCs w:val="1"/>
                <w:color w:val="auto"/>
              </w:rPr>
            </w:pPr>
          </w:p>
        </w:tc>
      </w:tr>
      <w:tr>
        <w:trPr>
          <w:trHeight w:val="219"/>
        </w:trPr>
        <w:tc>
          <w:tcPr>
            <w:tcW w:w="4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Cardiovascular</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155.5</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156.2</w:t>
            </w:r>
          </w:p>
        </w:tc>
        <w:tc>
          <w:tcPr>
            <w:tcW w:w="1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9"/>
        </w:trPr>
        <w:tc>
          <w:tcPr>
            <w:tcW w:w="4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Neuromodulation</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94.6</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93.8</w:t>
            </w:r>
          </w:p>
        </w:tc>
        <w:tc>
          <w:tcPr>
            <w:tcW w:w="18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4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Other</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18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3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Total Net Sales</w:t>
            </w:r>
          </w:p>
        </w:tc>
        <w:tc>
          <w:tcPr>
            <w:tcW w:w="20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$250.8</w:t>
            </w: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6"/>
                <w:szCs w:val="16"/>
                <w:color w:val="auto"/>
              </w:rPr>
              <w:t>$250.4</w:t>
            </w:r>
          </w:p>
        </w:tc>
        <w:tc>
          <w:tcPr>
            <w:tcW w:w="18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0.2%</w:t>
            </w:r>
          </w:p>
        </w:tc>
        <w:tc>
          <w:tcPr>
            <w:tcW w:w="17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4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240" w:hanging="224"/>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Note: Numbers may not add up precisely due to rounding. Constant-currency % change is considered a non-GAAP metric.</w:t>
      </w:r>
    </w:p>
    <w:p>
      <w:pPr>
        <w:spacing w:after="0" w:line="225" w:lineRule="exact"/>
        <w:rPr>
          <w:sz w:val="20"/>
          <w:szCs w:val="20"/>
          <w:color w:val="auto"/>
        </w:rPr>
      </w:pPr>
    </w:p>
    <w:p>
      <w:pPr>
        <w:ind w:left="20" w:right="20"/>
        <w:spacing w:after="0" w:line="394" w:lineRule="auto"/>
        <w:rPr>
          <w:sz w:val="20"/>
          <w:szCs w:val="20"/>
          <w:color w:val="auto"/>
        </w:rPr>
      </w:pPr>
      <w:r>
        <w:rPr>
          <w:rFonts w:ascii="Arial" w:cs="Arial" w:eastAsia="Arial" w:hAnsi="Arial"/>
          <w:sz w:val="18"/>
          <w:szCs w:val="18"/>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Cardiovascular</w:t>
      </w:r>
    </w:p>
    <w:p>
      <w:pPr>
        <w:spacing w:after="0" w:line="106" w:lineRule="exact"/>
        <w:rPr>
          <w:sz w:val="20"/>
          <w:szCs w:val="20"/>
          <w:color w:val="auto"/>
        </w:rPr>
      </w:pPr>
    </w:p>
    <w:p>
      <w:pPr>
        <w:ind w:left="20" w:right="20"/>
        <w:spacing w:after="0" w:line="394" w:lineRule="auto"/>
        <w:rPr>
          <w:sz w:val="20"/>
          <w:szCs w:val="20"/>
          <w:color w:val="auto"/>
        </w:rPr>
      </w:pPr>
      <w:r>
        <w:rPr>
          <w:rFonts w:ascii="Arial" w:cs="Arial" w:eastAsia="Arial" w:hAnsi="Arial"/>
          <w:sz w:val="18"/>
          <w:szCs w:val="18"/>
          <w:color w:val="auto"/>
        </w:rPr>
        <w:t>Cardiovascular sales, which include Cardiopulmonary products, Heart Valves and Advanced Circulatory Support, were $155.5 million, representing a 5.1 percent increase versus the first quarter of 2018.</w:t>
      </w:r>
    </w:p>
    <w:p>
      <w:pPr>
        <w:spacing w:after="0" w:line="253" w:lineRule="exact"/>
        <w:rPr>
          <w:sz w:val="20"/>
          <w:szCs w:val="20"/>
          <w:color w:val="auto"/>
        </w:rPr>
      </w:pPr>
    </w:p>
    <w:p>
      <w:pPr>
        <w:ind w:left="20" w:right="20"/>
        <w:spacing w:after="0" w:line="394" w:lineRule="auto"/>
        <w:rPr>
          <w:sz w:val="20"/>
          <w:szCs w:val="20"/>
          <w:color w:val="auto"/>
        </w:rPr>
      </w:pPr>
      <w:r>
        <w:rPr>
          <w:rFonts w:ascii="Arial" w:cs="Arial" w:eastAsia="Arial" w:hAnsi="Arial"/>
          <w:sz w:val="18"/>
          <w:szCs w:val="18"/>
          <w:color w:val="auto"/>
        </w:rPr>
        <w:t>Sales in Cardiopulmonary products were $121.6 million, representing a 2.6 percent increase versus the first quarter of 2018, despite the impact of exiting a distribution agreement in Rest of World equating to $7.8 million. This growth was primarily driven by HLM and oxygenators.</w:t>
      </w:r>
    </w:p>
    <w:p>
      <w:pPr>
        <w:spacing w:after="0" w:line="253" w:lineRule="exact"/>
        <w:rPr>
          <w:sz w:val="20"/>
          <w:szCs w:val="20"/>
          <w:color w:val="auto"/>
        </w:rPr>
      </w:pPr>
    </w:p>
    <w:p>
      <w:pPr>
        <w:ind w:left="20" w:right="20"/>
        <w:spacing w:after="0" w:line="394" w:lineRule="auto"/>
        <w:rPr>
          <w:sz w:val="20"/>
          <w:szCs w:val="20"/>
          <w:color w:val="auto"/>
        </w:rPr>
      </w:pPr>
      <w:r>
        <w:rPr>
          <w:rFonts w:ascii="Arial" w:cs="Arial" w:eastAsia="Arial" w:hAnsi="Arial"/>
          <w:sz w:val="18"/>
          <w:szCs w:val="18"/>
          <w:color w:val="auto"/>
        </w:rPr>
        <w:t>Heart Valves sales for both tissue and mechanical heart valves, were $25.7 million, a decrease of 11.2 percent compared to the first quarter of 2018.</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Advanced Circulatory Support sales, represented by our TandemLife business, which was acquired in 2018, were $8.2 million in the quarter.</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Neuromodulation</w:t>
      </w:r>
    </w:p>
    <w:p>
      <w:pPr>
        <w:spacing w:after="0" w:line="106" w:lineRule="exact"/>
        <w:rPr>
          <w:sz w:val="20"/>
          <w:szCs w:val="20"/>
          <w:color w:val="auto"/>
        </w:rPr>
      </w:pPr>
    </w:p>
    <w:p>
      <w:pPr>
        <w:ind w:left="20" w:right="20"/>
        <w:spacing w:after="0" w:line="394" w:lineRule="auto"/>
        <w:rPr>
          <w:sz w:val="20"/>
          <w:szCs w:val="20"/>
          <w:color w:val="auto"/>
        </w:rPr>
      </w:pPr>
      <w:r>
        <w:rPr>
          <w:rFonts w:ascii="Arial" w:cs="Arial" w:eastAsia="Arial" w:hAnsi="Arial"/>
          <w:sz w:val="18"/>
          <w:szCs w:val="18"/>
          <w:color w:val="auto"/>
        </w:rPr>
        <w:t>Neuromodulation sales were $94.6 million in the first quarter, representing a 2.3 percent increase versus the first quarter of 2018. While the growth in Europe and Rest of World was strong, as previously reported, the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60"/>
          </w:cols>
          <w:pgMar w:left="220" w:top="681" w:right="219" w:bottom="1440" w:gutter="0" w:footer="0" w:header="0"/>
        </w:sectPr>
      </w:pPr>
    </w:p>
    <w:bookmarkStart w:id="5" w:name="page6"/>
    <w:bookmarkEnd w:id="5"/>
    <w:p>
      <w:pPr>
        <w:jc w:val="both"/>
        <w:ind w:right="20"/>
        <w:spacing w:after="0" w:line="394" w:lineRule="auto"/>
        <w:rPr>
          <w:sz w:val="20"/>
          <w:szCs w:val="20"/>
          <w:color w:val="auto"/>
        </w:rPr>
      </w:pPr>
      <w:r>
        <w:rPr>
          <w:rFonts w:ascii="Arial" w:cs="Arial" w:eastAsia="Arial" w:hAnsi="Arial"/>
          <w:sz w:val="18"/>
          <w:szCs w:val="18"/>
          <w:color w:val="auto"/>
        </w:rPr>
        <w:t>Neuromodulation business experienced weakness in the market due to a combination of factors, including competitive dynamics and salesforce turnover.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Performance</w:t>
      </w:r>
    </w:p>
    <w:p>
      <w:pPr>
        <w:spacing w:after="0" w:line="52" w:lineRule="exact"/>
        <w:rPr>
          <w:sz w:val="20"/>
          <w:szCs w:val="20"/>
          <w:color w:val="auto"/>
        </w:rPr>
      </w:pPr>
    </w:p>
    <w:p>
      <w:pPr>
        <w:jc w:val="both"/>
        <w:ind w:right="20"/>
        <w:spacing w:after="0" w:line="365" w:lineRule="auto"/>
        <w:rPr>
          <w:sz w:val="20"/>
          <w:szCs w:val="20"/>
          <w:color w:val="auto"/>
        </w:rPr>
      </w:pPr>
      <w:r>
        <w:rPr>
          <w:rFonts w:ascii="Arial" w:cs="Arial" w:eastAsia="Arial" w:hAnsi="Arial"/>
          <w:sz w:val="18"/>
          <w:szCs w:val="18"/>
          <w:color w:val="auto"/>
        </w:rPr>
        <w:t>On a U.S. GAAP basis, first quarter 2019 operating loss from continuing operations was $20.8 million primarily impacted by 3T Heater-Cooler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litigation and remediation. Adjusted operating income from continuing operations for the first quarter of 2019 was $32.5 million, a decrease of 21.7 percent as compared to the first quarter of 2018. This was primarily due to lower sales in our U.S. Neuromodulation business. We continue to invest in our strategic portfolio initiatives and commercial expansion in Advanced Circulatory Support and in Rest of World.</w:t>
      </w:r>
    </w:p>
    <w:p>
      <w:pPr>
        <w:spacing w:after="0" w:line="278"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Our adjusted effective tax rate in the quarter was 15.5 percent, an improvement from 15.7 percent in the first quarter of 2018, as a result of ongoing tax efforts.</w:t>
      </w:r>
    </w:p>
    <w:p>
      <w:pPr>
        <w:spacing w:after="0" w:line="253" w:lineRule="exact"/>
        <w:rPr>
          <w:sz w:val="20"/>
          <w:szCs w:val="20"/>
          <w:color w:val="auto"/>
        </w:rPr>
      </w:pPr>
    </w:p>
    <w:p>
      <w:pPr>
        <w:jc w:val="both"/>
        <w:ind w:right="20"/>
        <w:spacing w:after="0" w:line="394" w:lineRule="auto"/>
        <w:rPr>
          <w:sz w:val="20"/>
          <w:szCs w:val="20"/>
          <w:color w:val="auto"/>
        </w:rPr>
      </w:pPr>
      <w:r>
        <w:rPr>
          <w:rFonts w:ascii="Arial" w:cs="Arial" w:eastAsia="Arial" w:hAnsi="Arial"/>
          <w:sz w:val="18"/>
          <w:szCs w:val="18"/>
          <w:color w:val="auto"/>
        </w:rPr>
        <w:t>On a U.S. GAAP basis, first quarter 2019 diluted loss per share from continuing operations was $0.31. First quarter 2019 adjusted diluted earnings per share from continuing operations were $0.54, a decrease of 20.6 percent as compared to the first quarter of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Updated Guidance</w:t>
      </w:r>
    </w:p>
    <w:p>
      <w:pPr>
        <w:spacing w:after="0" w:line="106"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As a result of the challenges in the U.S. Neuromodulation business, LivaNova worldwide net sales for full-year 2019 are now expected to grow between 1 and 3 percent on a constant-currency basis. This guidance continues to account for the impact of exiting a low-margin distribution agreement in Canada and one quarter of sales from TandemLife prior to the deal closing in April 2018. Adjusted diluted earnings per share from continuing operations for 2019 are now expected to be in the range of $3.00 to $3.10.</w:t>
      </w:r>
    </w:p>
    <w:p>
      <w:pPr>
        <w:spacing w:after="0" w:line="274" w:lineRule="exact"/>
        <w:rPr>
          <w:sz w:val="20"/>
          <w:szCs w:val="20"/>
          <w:color w:val="auto"/>
        </w:rPr>
      </w:pPr>
    </w:p>
    <w:p>
      <w:pPr>
        <w:jc w:val="both"/>
        <w:spacing w:after="0" w:line="394" w:lineRule="auto"/>
        <w:rPr>
          <w:sz w:val="20"/>
          <w:szCs w:val="20"/>
          <w:color w:val="auto"/>
        </w:rPr>
      </w:pPr>
      <w:r>
        <w:rPr>
          <w:rFonts w:ascii="Arial" w:cs="Arial" w:eastAsia="Arial" w:hAnsi="Arial"/>
          <w:sz w:val="18"/>
          <w:szCs w:val="18"/>
          <w:color w:val="auto"/>
        </w:rPr>
        <w:t>The Company now estimates that adjusted cash flow from operations, excluding integration, restructuring and litigation payments, will be in the range of $150 to $170 million for 2019.</w:t>
      </w:r>
    </w:p>
    <w:p>
      <w:pPr>
        <w:spacing w:after="0" w:line="253" w:lineRule="exact"/>
        <w:rPr>
          <w:sz w:val="20"/>
          <w:szCs w:val="20"/>
          <w:color w:val="auto"/>
        </w:rPr>
      </w:pPr>
    </w:p>
    <w:p>
      <w:pPr>
        <w:jc w:val="both"/>
        <w:spacing w:after="0" w:line="428" w:lineRule="auto"/>
        <w:rPr>
          <w:sz w:val="20"/>
          <w:szCs w:val="20"/>
          <w:color w:val="auto"/>
        </w:rPr>
      </w:pPr>
      <w:r>
        <w:rPr>
          <w:rFonts w:ascii="Arial" w:cs="Arial" w:eastAsia="Arial" w:hAnsi="Arial"/>
          <w:sz w:val="16"/>
          <w:szCs w:val="16"/>
          <w:color w:val="auto"/>
        </w:rPr>
        <w:t>"We are committed to overcoming the current hurdles in U.S. Neuromodulation, investing in advancing our pipeline and implementing programs to reach new patient populations around the globe. Over the past two years, we have transformed the LivaNova portfolio with the sale of our CRM business, investments in our internal R&amp;D portfolio, including Treatment-Resistant Depression and Chronic Heart Failure, as well as recent acquisitions. At the same time, we have been able to expand gross margins, increase R&amp;D to fuel our pipeline, and strengthen talent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616" w:right="219" w:bottom="1440" w:gutter="0" w:footer="0" w:header="0"/>
        </w:sectPr>
      </w:pPr>
    </w:p>
    <w:bookmarkStart w:id="6" w:name="page7"/>
    <w:bookmarkEnd w:id="6"/>
    <w:p>
      <w:pPr>
        <w:jc w:val="both"/>
        <w:ind w:right="20"/>
        <w:spacing w:after="0" w:line="394" w:lineRule="auto"/>
        <w:rPr>
          <w:sz w:val="20"/>
          <w:szCs w:val="20"/>
          <w:color w:val="auto"/>
        </w:rPr>
      </w:pPr>
      <w:r>
        <w:rPr>
          <w:rFonts w:ascii="Arial" w:cs="Arial" w:eastAsia="Arial" w:hAnsi="Arial"/>
          <w:sz w:val="18"/>
          <w:szCs w:val="18"/>
          <w:color w:val="auto"/>
        </w:rPr>
        <w:t>capabilities," said McDonald. "We believe these efforts will provide a strong foundation for LivaNova to most effectively serve the needs of our customers and patients and create quality, long-term value for our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and Conference Call Instructions</w:t>
      </w:r>
    </w:p>
    <w:p>
      <w:pPr>
        <w:spacing w:after="0" w:line="10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 xml:space="preserve">The Company will host a live audio webcast for interested parties commencing at 1 p.m. London time (8 a.m. Eastern Time) on Wednesday, May 1 that will be accessible through the Investor Relations section of the LivaNova corporate website at </w:t>
      </w:r>
      <w:r>
        <w:rPr>
          <w:rFonts w:ascii="Arial" w:cs="Arial" w:eastAsia="Arial" w:hAnsi="Arial"/>
          <w:sz w:val="18"/>
          <w:szCs w:val="18"/>
          <w:u w:val="single" w:color="auto"/>
          <w:color w:val="auto"/>
        </w:rPr>
        <w:t>www.livanova.com</w:t>
      </w:r>
      <w:r>
        <w:rPr>
          <w:rFonts w:ascii="Arial" w:cs="Arial" w:eastAsia="Arial" w:hAnsi="Arial"/>
          <w:sz w:val="18"/>
          <w:szCs w:val="18"/>
          <w:b w:val="1"/>
          <w:bCs w:val="1"/>
          <w:color w:val="auto"/>
        </w:rPr>
        <w:t>.</w:t>
      </w:r>
      <w:r>
        <w:rPr>
          <w:rFonts w:ascii="Arial" w:cs="Arial" w:eastAsia="Arial" w:hAnsi="Arial"/>
          <w:sz w:val="18"/>
          <w:szCs w:val="18"/>
          <w:color w:val="auto"/>
        </w:rPr>
        <w:t xml:space="preserve"> To listen to the conference call live by telephone, dial (844) 601-5111 (if dialing from within the U.S.) or (647) 253-8650 (if dialing from outside the U.S.). The conference ID is 7264769.</w:t>
      </w:r>
    </w:p>
    <w:p>
      <w:pPr>
        <w:spacing w:after="0" w:line="274" w:lineRule="exact"/>
        <w:rPr>
          <w:sz w:val="20"/>
          <w:szCs w:val="20"/>
          <w:color w:val="auto"/>
        </w:rPr>
      </w:pPr>
    </w:p>
    <w:p>
      <w:pPr>
        <w:jc w:val="both"/>
        <w:ind w:right="20"/>
        <w:spacing w:after="0" w:line="394" w:lineRule="auto"/>
        <w:rPr>
          <w:sz w:val="20"/>
          <w:szCs w:val="20"/>
          <w:color w:val="auto"/>
        </w:rPr>
      </w:pPr>
      <w:r>
        <w:rPr>
          <w:rFonts w:ascii="Arial" w:cs="Arial" w:eastAsia="Arial" w:hAnsi="Arial"/>
          <w:sz w:val="18"/>
          <w:szCs w:val="18"/>
          <w:color w:val="auto"/>
        </w:rPr>
        <w:t>Within 24 hours of the webcast, a replay will be available under the "News &amp; Events / Presentations" section of the Investor Relations portion of the LivaNova website, where it will be archived and accessible for approximately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FF5C39"/>
        </w:rPr>
        <w:t>About LivaNova</w:t>
      </w:r>
    </w:p>
    <w:p>
      <w:pPr>
        <w:spacing w:after="0" w:line="187" w:lineRule="exact"/>
        <w:rPr>
          <w:sz w:val="20"/>
          <w:szCs w:val="20"/>
          <w:color w:val="auto"/>
        </w:rPr>
      </w:pPr>
    </w:p>
    <w:p>
      <w:pPr>
        <w:jc w:val="both"/>
        <w:spacing w:after="0" w:line="354" w:lineRule="auto"/>
        <w:rPr>
          <w:sz w:val="20"/>
          <w:szCs w:val="20"/>
          <w:color w:val="auto"/>
        </w:rPr>
      </w:pPr>
      <w:r>
        <w:rPr>
          <w:rFonts w:ascii="Arial" w:cs="Arial" w:eastAsia="Arial" w:hAnsi="Arial"/>
          <w:sz w:val="18"/>
          <w:szCs w:val="18"/>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LivaNova has a presence in more than 100 countries worldwide. The Company currently employs approximately 4,000 employees. LivaNova operates as two businesses: Cardiovascular and Neuromodulation, with operating headquarters in Mirandola (Italy) and Houston (U.S.),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u w:val="single" w:color="auto"/>
          <w:color w:val="auto"/>
        </w:rPr>
        <w:t>www.livanova.com</w:t>
      </w:r>
      <w:r>
        <w:rPr>
          <w:rFonts w:ascii="Arial" w:cs="Arial" w:eastAsia="Arial" w:hAnsi="Arial"/>
          <w:sz w:val="18"/>
          <w:szCs w:val="18"/>
          <w:color w:val="auto"/>
        </w:rPr>
        <w: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FF5C39"/>
        </w:rPr>
        <w:t>Use of Non-GAAP Financial Measures</w:t>
      </w:r>
    </w:p>
    <w:p>
      <w:pPr>
        <w:spacing w:after="0" w:line="92"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0"/>
          </w:cols>
          <w:pgMar w:left="240" w:top="616" w:right="219" w:bottom="1440" w:gutter="0" w:footer="0" w:header="0"/>
        </w:sectPr>
      </w:pPr>
    </w:p>
    <w:bookmarkStart w:id="7" w:name="page8"/>
    <w:bookmarkEnd w:id="7"/>
    <w:p>
      <w:pPr>
        <w:jc w:val="both"/>
        <w:spacing w:after="0" w:line="357" w:lineRule="auto"/>
        <w:rPr>
          <w:sz w:val="20"/>
          <w:szCs w:val="20"/>
          <w:color w:val="auto"/>
        </w:rPr>
      </w:pPr>
      <w:r>
        <w:rPr>
          <w:rFonts w:ascii="Arial" w:cs="Arial" w:eastAsia="Arial" w:hAnsi="Arial"/>
          <w:sz w:val="18"/>
          <w:szCs w:val="18"/>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 between current and prior-year periods using average exchange rates in effect during the applicable prior-year period.</w:t>
      </w:r>
    </w:p>
    <w:p>
      <w:pPr>
        <w:spacing w:after="0" w:line="155" w:lineRule="exact"/>
        <w:rPr>
          <w:sz w:val="20"/>
          <w:szCs w:val="20"/>
          <w:color w:val="auto"/>
        </w:rPr>
      </w:pPr>
    </w:p>
    <w:p>
      <w:pPr>
        <w:jc w:val="both"/>
        <w:spacing w:after="0" w:line="349" w:lineRule="auto"/>
        <w:rPr>
          <w:sz w:val="20"/>
          <w:szCs w:val="20"/>
          <w:color w:val="auto"/>
        </w:rPr>
      </w:pPr>
      <w:r>
        <w:rPr>
          <w:rFonts w:ascii="Arial" w:cs="Arial" w:eastAsia="Arial" w:hAnsi="Arial"/>
          <w:sz w:val="18"/>
          <w:szCs w:val="18"/>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items above and the tax impact of tax law changes or other tax matters. Accordingly, reconciliations to the most directly comparable forward-looking GAAP financial measures are not available without unreasonable effort.</w:t>
      </w:r>
    </w:p>
    <w:p>
      <w:pPr>
        <w:spacing w:after="0" w:line="272" w:lineRule="exact"/>
        <w:rPr>
          <w:sz w:val="20"/>
          <w:szCs w:val="20"/>
          <w:color w:val="auto"/>
        </w:rPr>
      </w:pPr>
    </w:p>
    <w:p>
      <w:pPr>
        <w:jc w:val="both"/>
        <w:spacing w:after="0" w:line="401" w:lineRule="auto"/>
        <w:rPr>
          <w:sz w:val="20"/>
          <w:szCs w:val="20"/>
          <w:color w:val="auto"/>
        </w:rPr>
      </w:pPr>
      <w:r>
        <w:rPr>
          <w:rFonts w:ascii="Arial" w:cs="Arial" w:eastAsia="Arial" w:hAnsi="Arial"/>
          <w:sz w:val="16"/>
          <w:szCs w:val="16"/>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continued operations; adjusted income tax expense; adjusted net income from continuing operations; and adjusted diluted earnings per share,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795"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FF5C39"/>
        </w:rPr>
        <w:t>Safe Harbor Statement</w:t>
      </w:r>
    </w:p>
    <w:p>
      <w:pPr>
        <w:spacing w:after="0" w:line="104" w:lineRule="exact"/>
        <w:rPr>
          <w:sz w:val="20"/>
          <w:szCs w:val="20"/>
          <w:color w:val="auto"/>
        </w:rPr>
      </w:pPr>
    </w:p>
    <w:p>
      <w:pPr>
        <w:jc w:val="both"/>
        <w:spacing w:after="0" w:line="408" w:lineRule="auto"/>
        <w:rPr>
          <w:sz w:val="20"/>
          <w:szCs w:val="20"/>
          <w:color w:val="auto"/>
        </w:rPr>
      </w:pPr>
      <w:r>
        <w:rPr>
          <w:rFonts w:ascii="Arial" w:cs="Arial" w:eastAsia="Arial" w:hAnsi="Arial"/>
          <w:sz w:val="16"/>
          <w:szCs w:val="16"/>
          <w:color w:val="auto"/>
        </w:rPr>
        <w:t>Certain statements in this press release, other than purely historical information, are “forward-looking statements” within the meaning of the Private Securities Litigation Reform Act of 1995, Section 27A of the Securities Act of 1933 and Section 21E of the Securities Exchange Act of 1934, as amended</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2019, advancing our growth, driving product launches and funding our equity investments, executing on our synergy targets and retaining our focus, energy and discipline as a company, serving the needs of our customers and patients, and delivering strong value to our shareholders. Important factors that may cause actual results to differ include, but are not limited to: (i) the inability of LivaNova to meet expectations regarding the timing, completion and accounting of tax treatments; (ii) organizational and governance structure; (iii) reductions in customer spending, a slowdown in customer payments and changes in customer demand for products and services; (iv) unanticipated changes relating to competitive factors in the industries in which LivaNova operates; (v) the ability to hire and retain key personnel; (vi) the ability to attract new customers and retain existing customers in the manner anticipated; (vii) changes in legislation or governmental regulations affecting LivaNova; (viii) international, national or local economic, social or political conditions that could adversely affect LivaNova, its partners or its customers; (ix) conditions in the credit markets; (x) business and other financial risks inherent to the industries in which LivaNova operates; (xi) risks associated with assumptions made in connection with critical accounting estimates and legal proceedings; (xii) LivaNova’s international operations, which are subject to the risks of currency fluctuations and foreign exchange controls; (xiii) and the potential for international unrest, economic downturn or effects of currencies, tax assessments, tax adjustments, anticipated tax rates, raw material costs or availability, benefit or retirement plan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616" w:right="219" w:bottom="1440" w:gutter="0" w:footer="0" w:header="0"/>
        </w:sectPr>
      </w:pPr>
    </w:p>
    <w:bookmarkStart w:id="9" w:name="page10"/>
    <w:bookmarkEnd w:id="9"/>
    <w:p>
      <w:pPr>
        <w:jc w:val="both"/>
        <w:spacing w:after="0" w:line="371" w:lineRule="auto"/>
        <w:rPr>
          <w:sz w:val="20"/>
          <w:szCs w:val="20"/>
          <w:color w:val="auto"/>
        </w:rPr>
      </w:pPr>
      <w:r>
        <w:rPr>
          <w:rFonts w:ascii="Arial" w:cs="Arial" w:eastAsia="Arial" w:hAnsi="Arial"/>
          <w:sz w:val="18"/>
          <w:szCs w:val="18"/>
          <w:color w:val="auto"/>
        </w:rPr>
        <w:t>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154" w:lineRule="exact"/>
        <w:rPr>
          <w:sz w:val="20"/>
          <w:szCs w:val="20"/>
          <w:color w:val="auto"/>
        </w:rPr>
      </w:pPr>
    </w:p>
    <w:p>
      <w:pPr>
        <w:jc w:val="both"/>
        <w:spacing w:after="0" w:line="368" w:lineRule="auto"/>
        <w:rPr>
          <w:sz w:val="20"/>
          <w:szCs w:val="20"/>
          <w:color w:val="auto"/>
        </w:rPr>
      </w:pPr>
      <w:r>
        <w:rPr>
          <w:rFonts w:ascii="Arial" w:cs="Arial" w:eastAsia="Arial" w:hAnsi="Arial"/>
          <w:sz w:val="18"/>
          <w:szCs w:val="18"/>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Melissa Farina</w:t>
      </w:r>
    </w:p>
    <w:p>
      <w:pPr>
        <w:ind w:left="60"/>
        <w:spacing w:after="0" w:line="231" w:lineRule="auto"/>
        <w:rPr>
          <w:sz w:val="20"/>
          <w:szCs w:val="20"/>
          <w:color w:val="auto"/>
        </w:rPr>
      </w:pPr>
      <w:r>
        <w:rPr>
          <w:rFonts w:ascii="Arial" w:cs="Arial" w:eastAsia="Arial" w:hAnsi="Arial"/>
          <w:sz w:val="18"/>
          <w:szCs w:val="18"/>
          <w:color w:val="auto"/>
        </w:rPr>
        <w:t>Vice President, Investor Relations</w:t>
      </w:r>
    </w:p>
    <w:p>
      <w:pPr>
        <w:ind w:left="60"/>
        <w:spacing w:after="0" w:line="221" w:lineRule="auto"/>
        <w:rPr>
          <w:sz w:val="20"/>
          <w:szCs w:val="20"/>
          <w:color w:val="auto"/>
        </w:rPr>
      </w:pPr>
      <w:r>
        <w:rPr>
          <w:rFonts w:ascii="Arial" w:cs="Arial" w:eastAsia="Arial" w:hAnsi="Arial"/>
          <w:sz w:val="18"/>
          <w:szCs w:val="18"/>
          <w:color w:val="auto"/>
        </w:rPr>
        <w:t>Phone: +1 (281) 228 7262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e-mail: investorrelations@LivaNova.com</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0"/>
          </w:cols>
          <w:pgMar w:left="240" w:top="616"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2"/>
        </w:trPr>
        <w:tc>
          <w:tcPr>
            <w:tcW w:w="4700" w:type="dxa"/>
            <w:vAlign w:val="bottom"/>
          </w:tcPr>
          <w:p>
            <w:pPr>
              <w:spacing w:after="0"/>
              <w:rPr>
                <w:sz w:val="20"/>
                <w:szCs w:val="20"/>
                <w:color w:val="auto"/>
              </w:rPr>
            </w:pPr>
            <w:r>
              <w:rPr>
                <w:rFonts w:ascii="Arial" w:cs="Arial" w:eastAsia="Arial" w:hAnsi="Arial"/>
                <w:sz w:val="14"/>
                <w:szCs w:val="14"/>
                <w:b w:val="1"/>
                <w:bCs w:val="1"/>
                <w:color w:val="auto"/>
              </w:rPr>
              <w:t>LIVANOVA PLC</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4"/>
                <w:szCs w:val="14"/>
                <w:b w:val="1"/>
                <w:bCs w:val="1"/>
                <w:color w:val="auto"/>
              </w:rPr>
              <w:t>QUARTERLY SALES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3"/>
        </w:trPr>
        <w:tc>
          <w:tcPr>
            <w:tcW w:w="470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Three Months Ended March 31,</w:t>
            </w:r>
          </w:p>
        </w:tc>
        <w:tc>
          <w:tcPr>
            <w:tcW w:w="1920" w:type="dxa"/>
            <w:vAlign w:val="bottom"/>
            <w:tcBorders>
              <w:bottom w:val="single" w:sz="8" w:color="auto"/>
            </w:tcBorders>
          </w:tcPr>
          <w:p>
            <w:pPr>
              <w:spacing w:after="0"/>
              <w:rPr>
                <w:sz w:val="21"/>
                <w:szCs w:val="21"/>
                <w:color w:val="auto"/>
              </w:rPr>
            </w:pPr>
          </w:p>
        </w:tc>
      </w:tr>
      <w:tr>
        <w:trPr>
          <w:trHeight w:val="169"/>
        </w:trPr>
        <w:tc>
          <w:tcPr>
            <w:tcW w:w="4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ind w:left="220"/>
              <w:spacing w:after="0"/>
              <w:rPr>
                <w:sz w:val="20"/>
                <w:szCs w:val="20"/>
                <w:color w:val="auto"/>
              </w:rPr>
            </w:pPr>
            <w:r>
              <w:rPr>
                <w:rFonts w:ascii="Arial" w:cs="Arial" w:eastAsia="Arial" w:hAnsi="Arial"/>
                <w:sz w:val="14"/>
                <w:szCs w:val="14"/>
                <w:b w:val="1"/>
                <w:bCs w:val="1"/>
                <w:color w:val="auto"/>
              </w:rPr>
              <w:t>% Change at Actual</w:t>
            </w:r>
          </w:p>
        </w:tc>
        <w:tc>
          <w:tcPr>
            <w:tcW w:w="19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 at Constant-</w:t>
            </w:r>
          </w:p>
        </w:tc>
      </w:tr>
      <w:tr>
        <w:trPr>
          <w:trHeight w:val="210"/>
        </w:trPr>
        <w:tc>
          <w:tcPr>
            <w:tcW w:w="4700" w:type="dxa"/>
            <w:vAlign w:val="bottom"/>
          </w:tcPr>
          <w:p>
            <w:pPr>
              <w:spacing w:after="0"/>
              <w:rPr>
                <w:sz w:val="18"/>
                <w:szCs w:val="18"/>
                <w:color w:val="auto"/>
              </w:rPr>
            </w:pPr>
          </w:p>
        </w:tc>
        <w:tc>
          <w:tcPr>
            <w:tcW w:w="1340" w:type="dxa"/>
            <w:vAlign w:val="bottom"/>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3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Currency Rates</w:t>
            </w:r>
          </w:p>
        </w:tc>
        <w:tc>
          <w:tcPr>
            <w:tcW w:w="1920" w:type="dxa"/>
            <w:vAlign w:val="bottom"/>
          </w:tcPr>
          <w:p>
            <w:pPr>
              <w:jc w:val="right"/>
              <w:ind w:right="308"/>
              <w:spacing w:after="0" w:line="210" w:lineRule="exact"/>
              <w:rPr>
                <w:sz w:val="20"/>
                <w:szCs w:val="20"/>
                <w:color w:val="auto"/>
              </w:rPr>
            </w:pPr>
            <w:r>
              <w:rPr>
                <w:rFonts w:ascii="Arial" w:cs="Arial" w:eastAsia="Arial" w:hAnsi="Arial"/>
                <w:sz w:val="14"/>
                <w:szCs w:val="14"/>
                <w:b w:val="1"/>
                <w:bCs w:val="1"/>
                <w:color w:val="auto"/>
              </w:rPr>
              <w:t>Currency Rates</w:t>
            </w:r>
            <w:r>
              <w:rPr>
                <w:rFonts w:ascii="Arial" w:cs="Arial" w:eastAsia="Arial" w:hAnsi="Arial"/>
                <w:sz w:val="19"/>
                <w:szCs w:val="19"/>
                <w:color w:val="auto"/>
                <w:vertAlign w:val="superscript"/>
              </w:rPr>
              <w:t>(1)</w:t>
            </w:r>
          </w:p>
        </w:tc>
      </w:tr>
      <w:tr>
        <w:trPr>
          <w:trHeight w:val="223"/>
        </w:trPr>
        <w:tc>
          <w:tcPr>
            <w:tcW w:w="4700" w:type="dxa"/>
            <w:vAlign w:val="bottom"/>
          </w:tcPr>
          <w:p>
            <w:pPr>
              <w:spacing w:after="0"/>
              <w:rPr>
                <w:sz w:val="20"/>
                <w:szCs w:val="20"/>
                <w:color w:val="auto"/>
              </w:rPr>
            </w:pPr>
            <w:r>
              <w:rPr>
                <w:rFonts w:ascii="Arial" w:cs="Arial" w:eastAsia="Arial" w:hAnsi="Arial"/>
                <w:sz w:val="14"/>
                <w:szCs w:val="14"/>
                <w:b w:val="1"/>
                <w:bCs w:val="1"/>
                <w:color w:val="auto"/>
              </w:rPr>
              <w:t>Cardiopulmonary</w:t>
            </w: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1.8%</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36.9</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4.3%</w:t>
            </w:r>
          </w:p>
        </w:tc>
      </w:tr>
      <w:tr>
        <w:trPr>
          <w:trHeight w:val="245"/>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49.8</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1.9%</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125.1</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2.6%</w:t>
            </w:r>
          </w:p>
        </w:tc>
      </w:tr>
      <w:tr>
        <w:trPr>
          <w:trHeight w:val="231"/>
        </w:trPr>
        <w:tc>
          <w:tcPr>
            <w:tcW w:w="4700" w:type="dxa"/>
            <w:vAlign w:val="bottom"/>
          </w:tcPr>
          <w:p>
            <w:pPr>
              <w:spacing w:after="0"/>
              <w:rPr>
                <w:sz w:val="20"/>
                <w:szCs w:val="20"/>
                <w:color w:val="auto"/>
              </w:rPr>
            </w:pPr>
            <w:r>
              <w:rPr>
                <w:rFonts w:ascii="Arial" w:cs="Arial" w:eastAsia="Arial" w:hAnsi="Arial"/>
                <w:sz w:val="14"/>
                <w:szCs w:val="14"/>
                <w:b w:val="1"/>
                <w:bCs w:val="1"/>
                <w:color w:val="auto"/>
              </w:rPr>
              <w:t>Heart Valves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(33.4%)</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45"/>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31.0</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(17.3%)</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(11.2%)</w:t>
            </w:r>
          </w:p>
        </w:tc>
      </w:tr>
      <w:tr>
        <w:trPr>
          <w:trHeight w:val="231"/>
        </w:trPr>
        <w:tc>
          <w:tcPr>
            <w:tcW w:w="4700" w:type="dxa"/>
            <w:vAlign w:val="bottom"/>
          </w:tcPr>
          <w:p>
            <w:pPr>
              <w:spacing w:after="0"/>
              <w:rPr>
                <w:sz w:val="20"/>
                <w:szCs w:val="20"/>
                <w:color w:val="auto"/>
              </w:rPr>
            </w:pPr>
            <w:r>
              <w:rPr>
                <w:rFonts w:ascii="Arial" w:cs="Arial" w:eastAsia="Arial" w:hAnsi="Arial"/>
                <w:sz w:val="14"/>
                <w:szCs w:val="14"/>
                <w:b w:val="1"/>
                <w:bCs w:val="1"/>
                <w:color w:val="auto"/>
              </w:rPr>
              <w:t>Advanced Circulatory Support</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45"/>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b w:val="1"/>
                <w:bCs w:val="1"/>
                <w:color w:val="auto"/>
              </w:rPr>
              <w:t>N/A</w:t>
            </w:r>
          </w:p>
        </w:tc>
      </w:tr>
      <w:tr>
        <w:trPr>
          <w:trHeight w:val="231"/>
        </w:trPr>
        <w:tc>
          <w:tcPr>
            <w:tcW w:w="4700" w:type="dxa"/>
            <w:vAlign w:val="bottom"/>
          </w:tcPr>
          <w:p>
            <w:pPr>
              <w:spacing w:after="0"/>
              <w:rPr>
                <w:sz w:val="20"/>
                <w:szCs w:val="20"/>
                <w:color w:val="auto"/>
              </w:rPr>
            </w:pPr>
            <w:r>
              <w:rPr>
                <w:rFonts w:ascii="Arial" w:cs="Arial" w:eastAsia="Arial" w:hAnsi="Arial"/>
                <w:sz w:val="14"/>
                <w:szCs w:val="14"/>
                <w:b w:val="1"/>
                <w:bCs w:val="1"/>
                <w:color w:val="auto"/>
              </w:rPr>
              <w:t>Cardiovascular</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45.0</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14.5%</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49.0</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245"/>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0.8%</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156.2</w:t>
            </w: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(0.4%)</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5.1%</w:t>
            </w:r>
          </w:p>
        </w:tc>
      </w:tr>
      <w:tr>
        <w:trPr>
          <w:trHeight w:val="231"/>
        </w:trPr>
        <w:tc>
          <w:tcPr>
            <w:tcW w:w="4700" w:type="dxa"/>
            <w:vAlign w:val="bottom"/>
          </w:tcPr>
          <w:p>
            <w:pPr>
              <w:spacing w:after="0"/>
              <w:rPr>
                <w:sz w:val="20"/>
                <w:szCs w:val="20"/>
                <w:color w:val="auto"/>
              </w:rPr>
            </w:pPr>
            <w:r>
              <w:rPr>
                <w:rFonts w:ascii="Arial" w:cs="Arial" w:eastAsia="Arial" w:hAnsi="Arial"/>
                <w:sz w:val="14"/>
                <w:szCs w:val="14"/>
                <w:b w:val="1"/>
                <w:bCs w:val="1"/>
                <w:color w:val="auto"/>
              </w:rPr>
              <w:t>Neuromodulation</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78.0</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12.1%</w:t>
            </w:r>
          </w:p>
        </w:tc>
      </w:tr>
      <w:tr>
        <w:trPr>
          <w:trHeight w:val="245"/>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36.2%</w:t>
            </w:r>
          </w:p>
        </w:tc>
      </w:tr>
      <w:tr>
        <w:trPr>
          <w:trHeight w:val="219"/>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93.8</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0.9%</w:t>
            </w:r>
          </w:p>
        </w:tc>
        <w:tc>
          <w:tcPr>
            <w:tcW w:w="100" w:type="dxa"/>
            <w:vAlign w:val="bottom"/>
          </w:tcPr>
          <w:p>
            <w:pPr>
              <w:spacing w:after="0"/>
              <w:rPr>
                <w:sz w:val="19"/>
                <w:szCs w:val="19"/>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2.3%</w:t>
            </w:r>
          </w:p>
        </w:tc>
      </w:tr>
      <w:tr>
        <w:trPr>
          <w:trHeight w:val="231"/>
        </w:trPr>
        <w:tc>
          <w:tcPr>
            <w:tcW w:w="47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46"/>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1"/>
                <w:szCs w:val="21"/>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18"/>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1900" w:type="dxa"/>
            <w:vAlign w:val="bottom"/>
            <w:gridSpan w:val="2"/>
          </w:tcPr>
          <w:p>
            <w:pPr>
              <w:ind w:left="1360"/>
              <w:spacing w:after="0"/>
              <w:rPr>
                <w:sz w:val="20"/>
                <w:szCs w:val="20"/>
                <w:color w:val="auto"/>
              </w:rPr>
            </w:pPr>
            <w:r>
              <w:rPr>
                <w:rFonts w:ascii="Arial" w:cs="Arial" w:eastAsia="Arial" w:hAnsi="Arial"/>
                <w:sz w:val="14"/>
                <w:szCs w:val="14"/>
                <w:color w:val="auto"/>
              </w:rPr>
              <w:t>N/A</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N/A</w:t>
            </w:r>
          </w:p>
        </w:tc>
      </w:tr>
      <w:tr>
        <w:trPr>
          <w:trHeight w:val="231"/>
        </w:trPr>
        <w:tc>
          <w:tcPr>
            <w:tcW w:w="4700" w:type="dxa"/>
            <w:vAlign w:val="bottom"/>
          </w:tcPr>
          <w:p>
            <w:pPr>
              <w:spacing w:after="0"/>
              <w:rPr>
                <w:sz w:val="20"/>
                <w:szCs w:val="20"/>
                <w:color w:val="auto"/>
              </w:rPr>
            </w:pPr>
            <w:r>
              <w:rPr>
                <w:rFonts w:ascii="Arial" w:cs="Arial" w:eastAsia="Arial" w:hAnsi="Arial"/>
                <w:sz w:val="14"/>
                <w:szCs w:val="14"/>
                <w:b w:val="1"/>
                <w:bCs w:val="1"/>
                <w:color w:val="auto"/>
              </w:rPr>
              <w:t>Totals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3"/>
        </w:trPr>
        <w:tc>
          <w:tcPr>
            <w:tcW w:w="4700" w:type="dxa"/>
            <w:vAlign w:val="bottom"/>
          </w:tcPr>
          <w:p>
            <w:pPr>
              <w:spacing w:after="0"/>
              <w:rPr>
                <w:sz w:val="20"/>
                <w:szCs w:val="20"/>
                <w:color w:val="auto"/>
              </w:rPr>
            </w:pPr>
            <w:r>
              <w:rPr>
                <w:rFonts w:ascii="Arial" w:cs="Arial" w:eastAsia="Arial" w:hAnsi="Arial"/>
                <w:sz w:val="14"/>
                <w:szCs w:val="14"/>
                <w:color w:val="auto"/>
              </w:rPr>
              <w:t>US</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128.4</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123.0</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4.4%</w:t>
            </w:r>
          </w:p>
        </w:tc>
      </w:tr>
      <w:tr>
        <w:trPr>
          <w:trHeight w:val="239"/>
        </w:trPr>
        <w:tc>
          <w:tcPr>
            <w:tcW w:w="4700" w:type="dxa"/>
            <w:vAlign w:val="bottom"/>
          </w:tcPr>
          <w:p>
            <w:pPr>
              <w:spacing w:after="0"/>
              <w:rPr>
                <w:sz w:val="20"/>
                <w:szCs w:val="20"/>
                <w:color w:val="auto"/>
              </w:rPr>
            </w:pPr>
            <w:r>
              <w:rPr>
                <w:rFonts w:ascii="Arial" w:cs="Arial" w:eastAsia="Arial" w:hAnsi="Arial"/>
                <w:sz w:val="14"/>
                <w:szCs w:val="14"/>
                <w:color w:val="auto"/>
              </w:rPr>
              <w:t>Europe</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59.3</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3.7%</w:t>
            </w:r>
          </w:p>
        </w:tc>
      </w:tr>
      <w:tr>
        <w:trPr>
          <w:trHeight w:val="246"/>
        </w:trPr>
        <w:tc>
          <w:tcPr>
            <w:tcW w:w="4700" w:type="dxa"/>
            <w:vAlign w:val="bottom"/>
          </w:tcPr>
          <w:p>
            <w:pPr>
              <w:spacing w:after="0"/>
              <w:rPr>
                <w:sz w:val="20"/>
                <w:szCs w:val="20"/>
                <w:color w:val="auto"/>
              </w:rPr>
            </w:pPr>
            <w:r>
              <w:rPr>
                <w:rFonts w:ascii="Arial" w:cs="Arial" w:eastAsia="Arial" w:hAnsi="Arial"/>
                <w:sz w:val="14"/>
                <w:szCs w:val="14"/>
                <w:color w:val="auto"/>
              </w:rPr>
              <w:t>Rest of world</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68.1</w:t>
            </w:r>
          </w:p>
        </w:tc>
        <w:tc>
          <w:tcPr>
            <w:tcW w:w="190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4.2%</w:t>
            </w:r>
          </w:p>
        </w:tc>
      </w:tr>
      <w:tr>
        <w:trPr>
          <w:trHeight w:val="238"/>
        </w:trPr>
        <w:tc>
          <w:tcPr>
            <w:tcW w:w="4700" w:type="dxa"/>
            <w:vAlign w:val="bottom"/>
          </w:tcPr>
          <w:p>
            <w:pPr>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$250.8</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$250.4</w:t>
            </w:r>
          </w:p>
        </w:tc>
        <w:tc>
          <w:tcPr>
            <w:tcW w:w="19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0.2%</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b w:val="1"/>
                <w:bCs w:val="1"/>
                <w:color w:val="auto"/>
              </w:rPr>
              <w:t>4.2%</w:t>
            </w:r>
          </w:p>
        </w:tc>
      </w:tr>
      <w:tr>
        <w:trPr>
          <w:trHeight w:val="20"/>
        </w:trPr>
        <w:tc>
          <w:tcPr>
            <w:tcW w:w="4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75" w:lineRule="exact"/>
        <w:rPr>
          <w:sz w:val="20"/>
          <w:szCs w:val="20"/>
          <w:color w:val="auto"/>
        </w:rPr>
      </w:pPr>
    </w:p>
    <w:p>
      <w:pPr>
        <w:ind w:left="320" w:right="40" w:hanging="320"/>
        <w:spacing w:after="0" w:line="265" w:lineRule="auto"/>
        <w:tabs>
          <w:tab w:leader="none" w:pos="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Constant-currency growth, a non-GAAP financial measure, measures the change in sales between current and prior-year periods using average exchange rates in effect during the applicable prior-year period.</w:t>
      </w:r>
    </w:p>
    <w:p>
      <w:pPr>
        <w:spacing w:after="0" w:line="4" w:lineRule="exact"/>
        <w:rPr>
          <w:sz w:val="20"/>
          <w:szCs w:val="20"/>
          <w:color w:val="auto"/>
        </w:rPr>
      </w:pPr>
    </w:p>
    <w:p>
      <w:pPr>
        <w:ind w:left="320" w:hanging="320"/>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sales results presented are unaudited. Numbers may not add up precisely due to rounding.</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20"/>
          </w:cols>
          <w:pgMar w:left="260" w:top="707" w:right="21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STATEMENTS OF INCOME - UNAUDITED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1"/>
        </w:trPr>
        <w:tc>
          <w:tcPr>
            <w:tcW w:w="5680" w:type="dxa"/>
            <w:vAlign w:val="bottom"/>
          </w:tcPr>
          <w:p>
            <w:pPr>
              <w:spacing w:after="0"/>
              <w:rPr>
                <w:sz w:val="20"/>
                <w:szCs w:val="20"/>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 Change</w:t>
            </w:r>
          </w:p>
        </w:tc>
      </w:tr>
      <w:tr>
        <w:trPr>
          <w:trHeight w:val="221"/>
        </w:trPr>
        <w:tc>
          <w:tcPr>
            <w:tcW w:w="68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$250.8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$250.4</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9"/>
        </w:trPr>
        <w:tc>
          <w:tcPr>
            <w:tcW w:w="6840" w:type="dxa"/>
            <w:vAlign w:val="bottom"/>
            <w:gridSpan w:val="2"/>
          </w:tcPr>
          <w:p>
            <w:pPr>
              <w:spacing w:after="0"/>
              <w:rPr>
                <w:sz w:val="20"/>
                <w:szCs w:val="20"/>
                <w:color w:val="auto"/>
              </w:rPr>
            </w:pPr>
            <w:r>
              <w:rPr>
                <w:rFonts w:ascii="Arial" w:cs="Arial" w:eastAsia="Arial" w:hAnsi="Arial"/>
                <w:sz w:val="14"/>
                <w:szCs w:val="14"/>
                <w:color w:val="auto"/>
              </w:rPr>
              <w:t>Costs and expenses: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Cost of sales - exclusive of amortization</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Product remediation</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125.7</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Merger and integration expenses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Restructuring expenses</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6"/>
        </w:trPr>
        <w:tc>
          <w:tcPr>
            <w:tcW w:w="5680" w:type="dxa"/>
            <w:vAlign w:val="bottom"/>
          </w:tcPr>
          <w:p>
            <w:pPr>
              <w:ind w:left="220"/>
              <w:spacing w:after="0"/>
              <w:rPr>
                <w:sz w:val="20"/>
                <w:szCs w:val="20"/>
                <w:color w:val="auto"/>
              </w:rPr>
            </w:pPr>
            <w:r>
              <w:rPr>
                <w:rFonts w:ascii="Arial" w:cs="Arial" w:eastAsia="Arial" w:hAnsi="Arial"/>
                <w:sz w:val="14"/>
                <w:szCs w:val="14"/>
                <w:color w:val="auto"/>
              </w:rPr>
              <w:t>Amortization of intangibles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Operating (loss) income from continuing operations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w:t>
            </w:r>
          </w:p>
        </w:tc>
      </w:tr>
      <w:tr>
        <w:trPr>
          <w:trHeight w:val="212"/>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Interest expense, net</w:t>
            </w:r>
          </w:p>
        </w:tc>
        <w:tc>
          <w:tcPr>
            <w:tcW w:w="6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Gain on acquisition</w:t>
            </w:r>
          </w:p>
        </w:tc>
        <w:tc>
          <w:tcPr>
            <w:tcW w:w="1900" w:type="dxa"/>
            <w:vAlign w:val="bottom"/>
            <w:gridSpan w:val="3"/>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6"/>
        </w:trPr>
        <w:tc>
          <w:tcPr>
            <w:tcW w:w="5680" w:type="dxa"/>
            <w:vAlign w:val="bottom"/>
          </w:tcPr>
          <w:p>
            <w:pPr>
              <w:ind w:left="220"/>
              <w:spacing w:after="0"/>
              <w:rPr>
                <w:sz w:val="20"/>
                <w:szCs w:val="20"/>
                <w:color w:val="auto"/>
              </w:rPr>
            </w:pPr>
            <w:r>
              <w:rPr>
                <w:rFonts w:ascii="Arial" w:cs="Arial" w:eastAsia="Arial" w:hAnsi="Arial"/>
                <w:sz w:val="14"/>
                <w:szCs w:val="14"/>
                <w:color w:val="auto"/>
              </w:rPr>
              <w:t>Foreign exchange and other gains (losses)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(Loss) income from continuing operations before tax</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(197.3%)</w:t>
            </w:r>
          </w:p>
        </w:tc>
      </w:tr>
      <w:tr>
        <w:trPr>
          <w:trHeight w:val="212"/>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Income tax (benefit) expense</w:t>
            </w:r>
          </w:p>
        </w:tc>
        <w:tc>
          <w:tcPr>
            <w:tcW w:w="6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46"/>
        </w:trPr>
        <w:tc>
          <w:tcPr>
            <w:tcW w:w="5680" w:type="dxa"/>
            <w:vAlign w:val="bottom"/>
          </w:tcPr>
          <w:p>
            <w:pPr>
              <w:ind w:left="220"/>
              <w:spacing w:after="0"/>
              <w:rPr>
                <w:sz w:val="20"/>
                <w:szCs w:val="20"/>
                <w:color w:val="auto"/>
              </w:rPr>
            </w:pPr>
            <w:r>
              <w:rPr>
                <w:rFonts w:ascii="Arial" w:cs="Arial" w:eastAsia="Arial" w:hAnsi="Arial"/>
                <w:sz w:val="14"/>
                <w:szCs w:val="14"/>
                <w:color w:val="auto"/>
              </w:rPr>
              <w:t>Losses from equity method investments</w:t>
            </w: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Net (loss) income from continuing operations</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(183.1%)</w:t>
            </w:r>
          </w:p>
        </w:tc>
      </w:tr>
      <w:tr>
        <w:trPr>
          <w:trHeight w:val="219"/>
        </w:trPr>
        <w:tc>
          <w:tcPr>
            <w:tcW w:w="5680" w:type="dxa"/>
            <w:vAlign w:val="bottom"/>
          </w:tcPr>
          <w:p>
            <w:pPr>
              <w:spacing w:after="0"/>
              <w:rPr>
                <w:sz w:val="20"/>
                <w:szCs w:val="20"/>
                <w:color w:val="auto"/>
              </w:rPr>
            </w:pPr>
            <w:r>
              <w:rPr>
                <w:rFonts w:ascii="Arial" w:cs="Arial" w:eastAsia="Arial" w:hAnsi="Arial"/>
                <w:sz w:val="14"/>
                <w:szCs w:val="14"/>
                <w:color w:val="auto"/>
              </w:rPr>
              <w:t>Net loss from discontinued operations, net of tax</w:t>
            </w:r>
          </w:p>
        </w:tc>
        <w:tc>
          <w:tcPr>
            <w:tcW w:w="1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7"/>
        </w:trPr>
        <w:tc>
          <w:tcPr>
            <w:tcW w:w="5680" w:type="dxa"/>
            <w:vAlign w:val="bottom"/>
          </w:tcPr>
          <w:p>
            <w:pPr>
              <w:spacing w:after="0"/>
              <w:rPr>
                <w:sz w:val="20"/>
                <w:szCs w:val="20"/>
                <w:color w:val="auto"/>
              </w:rPr>
            </w:pPr>
            <w:r>
              <w:rPr>
                <w:rFonts w:ascii="Arial" w:cs="Arial" w:eastAsia="Arial" w:hAnsi="Arial"/>
                <w:sz w:val="14"/>
                <w:szCs w:val="14"/>
                <w:color w:val="auto"/>
              </w:rPr>
              <w:t>Net (loss) income</w:t>
            </w: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4"/>
                <w:szCs w:val="2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(211.3%)</w:t>
            </w:r>
          </w:p>
        </w:tc>
      </w:tr>
      <w:tr>
        <w:trPr>
          <w:trHeight w:val="453"/>
        </w:trPr>
        <w:tc>
          <w:tcPr>
            <w:tcW w:w="6840" w:type="dxa"/>
            <w:vAlign w:val="bottom"/>
            <w:gridSpan w:val="2"/>
          </w:tcPr>
          <w:p>
            <w:pPr>
              <w:spacing w:after="0"/>
              <w:rPr>
                <w:sz w:val="20"/>
                <w:szCs w:val="20"/>
                <w:color w:val="auto"/>
              </w:rPr>
            </w:pPr>
            <w:r>
              <w:rPr>
                <w:rFonts w:ascii="Arial" w:cs="Arial" w:eastAsia="Arial" w:hAnsi="Arial"/>
                <w:sz w:val="14"/>
                <w:szCs w:val="14"/>
                <w:color w:val="auto"/>
              </w:rPr>
              <w:t>Basic (loss) income per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6"/>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1900" w:type="dxa"/>
            <w:vAlign w:val="bottom"/>
            <w:gridSpan w:val="3"/>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1"/>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9"/>
        </w:trPr>
        <w:tc>
          <w:tcPr>
            <w:tcW w:w="6840" w:type="dxa"/>
            <w:vAlign w:val="bottom"/>
            <w:gridSpan w:val="2"/>
          </w:tcPr>
          <w:p>
            <w:pPr>
              <w:spacing w:after="0"/>
              <w:rPr>
                <w:sz w:val="20"/>
                <w:szCs w:val="20"/>
                <w:color w:val="auto"/>
              </w:rPr>
            </w:pPr>
            <w:r>
              <w:rPr>
                <w:rFonts w:ascii="Arial" w:cs="Arial" w:eastAsia="Arial" w:hAnsi="Arial"/>
                <w:sz w:val="14"/>
                <w:szCs w:val="14"/>
                <w:color w:val="auto"/>
              </w:rPr>
              <w:t>Diluted (loss) income per share: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Continuing operations</w:t>
            </w:r>
          </w:p>
        </w:tc>
        <w:tc>
          <w:tcPr>
            <w:tcW w:w="640" w:type="dxa"/>
            <w:vAlign w:val="bottom"/>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46"/>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Discontinued operations</w:t>
            </w:r>
          </w:p>
        </w:tc>
        <w:tc>
          <w:tcPr>
            <w:tcW w:w="1900" w:type="dxa"/>
            <w:vAlign w:val="bottom"/>
            <w:gridSpan w:val="3"/>
          </w:tcPr>
          <w:p>
            <w:pPr>
              <w:jc w:val="right"/>
              <w:ind w:right="12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31"/>
        </w:trPr>
        <w:tc>
          <w:tcPr>
            <w:tcW w:w="568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59"/>
        </w:trPr>
        <w:tc>
          <w:tcPr>
            <w:tcW w:w="6840" w:type="dxa"/>
            <w:vAlign w:val="bottom"/>
            <w:gridSpan w:val="2"/>
          </w:tcPr>
          <w:p>
            <w:pPr>
              <w:spacing w:after="0"/>
              <w:rPr>
                <w:sz w:val="20"/>
                <w:szCs w:val="20"/>
                <w:color w:val="auto"/>
              </w:rPr>
            </w:pPr>
            <w:r>
              <w:rPr>
                <w:rFonts w:ascii="Arial" w:cs="Arial" w:eastAsia="Arial" w:hAnsi="Arial"/>
                <w:sz w:val="14"/>
                <w:szCs w:val="14"/>
                <w:color w:val="auto"/>
              </w:rPr>
              <w:t>Weighted average common shares outstanding</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Basic</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39"/>
        </w:trPr>
        <w:tc>
          <w:tcPr>
            <w:tcW w:w="6840" w:type="dxa"/>
            <w:vAlign w:val="bottom"/>
            <w:gridSpan w:val="2"/>
          </w:tcPr>
          <w:p>
            <w:pPr>
              <w:ind w:left="220"/>
              <w:spacing w:after="0"/>
              <w:rPr>
                <w:sz w:val="20"/>
                <w:szCs w:val="20"/>
                <w:color w:val="auto"/>
              </w:rPr>
            </w:pPr>
            <w:r>
              <w:rPr>
                <w:rFonts w:ascii="Arial" w:cs="Arial" w:eastAsia="Arial" w:hAnsi="Arial"/>
                <w:sz w:val="14"/>
                <w:szCs w:val="14"/>
                <w:color w:val="auto"/>
              </w:rPr>
              <w:t>Diluted</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r>
    </w:tbl>
    <w:p>
      <w:pPr>
        <w:spacing w:after="0" w:line="289" w:lineRule="exact"/>
        <w:rPr>
          <w:sz w:val="20"/>
          <w:szCs w:val="20"/>
          <w:color w:val="auto"/>
        </w:rPr>
      </w:pPr>
    </w:p>
    <w:p>
      <w:pPr>
        <w:ind w:left="220" w:hanging="220"/>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1420"/>
          </w:cols>
          <w:pgMar w:left="260" w:top="731"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Adjusted Financial Measures (U.S. dollars in millions, except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35"/>
        </w:trPr>
        <w:tc>
          <w:tcPr>
            <w:tcW w:w="5680" w:type="dxa"/>
            <w:vAlign w:val="bottom"/>
          </w:tcPr>
          <w:p>
            <w:pPr>
              <w:spacing w:after="0"/>
              <w:rPr>
                <w:sz w:val="20"/>
                <w:szCs w:val="20"/>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19"/>
                <w:szCs w:val="19"/>
                <w:b w:val="1"/>
                <w:bCs w:val="1"/>
                <w:color w:val="auto"/>
                <w:vertAlign w:val="superscript"/>
              </w:rPr>
              <w:t>(1)</w:t>
            </w:r>
          </w:p>
        </w:tc>
      </w:tr>
      <w:tr>
        <w:trPr>
          <w:trHeight w:val="250"/>
        </w:trPr>
        <w:tc>
          <w:tcPr>
            <w:tcW w:w="6880" w:type="dxa"/>
            <w:vAlign w:val="bottom"/>
            <w:gridSpan w:val="2"/>
          </w:tcPr>
          <w:p>
            <w:pPr>
              <w:spacing w:after="0"/>
              <w:rPr>
                <w:sz w:val="20"/>
                <w:szCs w:val="20"/>
                <w:color w:val="auto"/>
              </w:rPr>
            </w:pPr>
            <w:r>
              <w:rPr>
                <w:rFonts w:ascii="Arial" w:cs="Arial" w:eastAsia="Arial" w:hAnsi="Arial"/>
                <w:sz w:val="14"/>
                <w:szCs w:val="14"/>
                <w:color w:val="auto"/>
              </w:rPr>
              <w:t xml:space="preserve">Adjusted SG&amp;A </w:t>
            </w:r>
            <w:r>
              <w:rPr>
                <w:rFonts w:ascii="Arial" w:cs="Arial" w:eastAsia="Arial" w:hAnsi="Arial"/>
                <w:sz w:val="19"/>
                <w:szCs w:val="19"/>
                <w:color w:val="auto"/>
                <w:vertAlign w:val="superscript"/>
              </w:rPr>
              <w:t>(1)</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21"/>
                <w:szCs w:val="21"/>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8.0%</w:t>
            </w:r>
          </w:p>
        </w:tc>
      </w:tr>
      <w:tr>
        <w:trPr>
          <w:trHeight w:val="239"/>
        </w:trPr>
        <w:tc>
          <w:tcPr>
            <w:tcW w:w="6880" w:type="dxa"/>
            <w:vAlign w:val="bottom"/>
            <w:gridSpan w:val="2"/>
          </w:tcPr>
          <w:p>
            <w:pPr>
              <w:spacing w:after="0"/>
              <w:rPr>
                <w:sz w:val="20"/>
                <w:szCs w:val="20"/>
                <w:color w:val="auto"/>
              </w:rPr>
            </w:pPr>
            <w:r>
              <w:rPr>
                <w:rFonts w:ascii="Arial" w:cs="Arial" w:eastAsia="Arial" w:hAnsi="Arial"/>
                <w:sz w:val="14"/>
                <w:szCs w:val="14"/>
                <w:color w:val="auto"/>
              </w:rPr>
              <w:t xml:space="preserve">Adjusted R&amp;D </w:t>
            </w:r>
            <w:r>
              <w:rPr>
                <w:rFonts w:ascii="Arial" w:cs="Arial" w:eastAsia="Arial" w:hAnsi="Arial"/>
                <w:sz w:val="19"/>
                <w:szCs w:val="19"/>
                <w:color w:val="auto"/>
                <w:vertAlign w:val="superscript"/>
              </w:rPr>
              <w:t>(1)</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0"/>
                <w:szCs w:val="20"/>
                <w:color w:val="auto"/>
              </w:rPr>
            </w:pPr>
          </w:p>
        </w:tc>
        <w:tc>
          <w:tcPr>
            <w:tcW w:w="1920" w:type="dxa"/>
            <w:vAlign w:val="bottom"/>
          </w:tcPr>
          <w:p>
            <w:pPr>
              <w:jc w:val="right"/>
              <w:ind w:right="8"/>
              <w:spacing w:after="0"/>
              <w:rPr>
                <w:sz w:val="20"/>
                <w:szCs w:val="20"/>
                <w:color w:val="auto"/>
              </w:rPr>
            </w:pPr>
            <w:r>
              <w:rPr>
                <w:rFonts w:ascii="Arial" w:cs="Arial" w:eastAsia="Arial" w:hAnsi="Arial"/>
                <w:sz w:val="14"/>
                <w:szCs w:val="14"/>
                <w:color w:val="auto"/>
              </w:rPr>
              <w:t>26.5%</w:t>
            </w:r>
          </w:p>
        </w:tc>
      </w:tr>
      <w:tr>
        <w:trPr>
          <w:trHeight w:val="239"/>
        </w:trPr>
        <w:tc>
          <w:tcPr>
            <w:tcW w:w="6880" w:type="dxa"/>
            <w:vAlign w:val="bottom"/>
            <w:gridSpan w:val="2"/>
          </w:tcPr>
          <w:p>
            <w:pPr>
              <w:spacing w:after="0"/>
              <w:rPr>
                <w:sz w:val="20"/>
                <w:szCs w:val="20"/>
                <w:color w:val="auto"/>
              </w:rPr>
            </w:pPr>
            <w:r>
              <w:rPr>
                <w:rFonts w:ascii="Arial" w:cs="Arial" w:eastAsia="Arial" w:hAnsi="Arial"/>
                <w:sz w:val="14"/>
                <w:szCs w:val="14"/>
                <w:color w:val="auto"/>
              </w:rPr>
              <w:t xml:space="preserve">Adjusted operating income from continuing operations </w:t>
            </w:r>
            <w:r>
              <w:rPr>
                <w:rFonts w:ascii="Arial" w:cs="Arial" w:eastAsia="Arial" w:hAnsi="Arial"/>
                <w:sz w:val="19"/>
                <w:szCs w:val="19"/>
                <w:color w:val="auto"/>
                <w:vertAlign w:val="superscript"/>
              </w:rPr>
              <w:t>(1)</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(21.7%)</w:t>
            </w:r>
          </w:p>
        </w:tc>
      </w:tr>
      <w:tr>
        <w:trPr>
          <w:trHeight w:val="239"/>
        </w:trPr>
        <w:tc>
          <w:tcPr>
            <w:tcW w:w="6880" w:type="dxa"/>
            <w:vAlign w:val="bottom"/>
            <w:gridSpan w:val="2"/>
          </w:tcPr>
          <w:p>
            <w:pPr>
              <w:spacing w:after="0"/>
              <w:rPr>
                <w:sz w:val="20"/>
                <w:szCs w:val="20"/>
                <w:color w:val="auto"/>
              </w:rPr>
            </w:pPr>
            <w:r>
              <w:rPr>
                <w:rFonts w:ascii="Arial" w:cs="Arial" w:eastAsia="Arial" w:hAnsi="Arial"/>
                <w:sz w:val="14"/>
                <w:szCs w:val="14"/>
                <w:color w:val="auto"/>
              </w:rPr>
              <w:t xml:space="preserve">Adjusted income from continuing operations, net of tax </w:t>
            </w:r>
            <w:r>
              <w:rPr>
                <w:rFonts w:ascii="Arial" w:cs="Arial" w:eastAsia="Arial" w:hAnsi="Arial"/>
                <w:sz w:val="19"/>
                <w:szCs w:val="19"/>
                <w:color w:val="auto"/>
                <w:vertAlign w:val="superscript"/>
              </w:rPr>
              <w:t>(1)</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60"/>
        </w:trPr>
        <w:tc>
          <w:tcPr>
            <w:tcW w:w="6880" w:type="dxa"/>
            <w:vAlign w:val="bottom"/>
            <w:gridSpan w:val="2"/>
          </w:tcPr>
          <w:p>
            <w:pPr>
              <w:spacing w:after="0"/>
              <w:rPr>
                <w:sz w:val="20"/>
                <w:szCs w:val="20"/>
                <w:color w:val="auto"/>
              </w:rPr>
            </w:pPr>
            <w:r>
              <w:rPr>
                <w:rFonts w:ascii="Arial" w:cs="Arial" w:eastAsia="Arial" w:hAnsi="Arial"/>
                <w:sz w:val="14"/>
                <w:szCs w:val="14"/>
                <w:color w:val="auto"/>
              </w:rPr>
              <w:t xml:space="preserve">Adjusted diluted earnings per share from continuing operations </w:t>
            </w:r>
            <w:r>
              <w:rPr>
                <w:rFonts w:ascii="Arial" w:cs="Arial" w:eastAsia="Arial" w:hAnsi="Arial"/>
                <w:sz w:val="19"/>
                <w:szCs w:val="19"/>
                <w:color w:val="auto"/>
                <w:vertAlign w:val="superscript"/>
              </w:rPr>
              <w:t>(1)</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$0.54</w:t>
            </w: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(20.6%)</w:t>
            </w:r>
          </w:p>
        </w:tc>
      </w:tr>
    </w:tbl>
    <w:p>
      <w:pPr>
        <w:spacing w:after="0" w:line="211" w:lineRule="exact"/>
        <w:rPr>
          <w:sz w:val="20"/>
          <w:szCs w:val="20"/>
          <w:color w:val="auto"/>
        </w:rPr>
      </w:pPr>
    </w:p>
    <w:p>
      <w:pPr>
        <w:ind w:left="220" w:right="40" w:hanging="209"/>
        <w:spacing w:after="0" w:line="265" w:lineRule="auto"/>
        <w:tabs>
          <w:tab w:leader="none" w:pos="2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Statistics (as a % of net sales, except for income tax rate)</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3840" w:type="dxa"/>
            <w:vAlign w:val="bottom"/>
            <w:tcBorders>
              <w:bottom w:val="single" w:sz="8" w:color="auto"/>
            </w:tcBorders>
            <w:gridSpan w:val="4"/>
          </w:tcPr>
          <w:p>
            <w:pPr>
              <w:ind w:left="980"/>
              <w:spacing w:after="0"/>
              <w:rPr>
                <w:sz w:val="20"/>
                <w:szCs w:val="20"/>
                <w:color w:val="auto"/>
              </w:rPr>
            </w:pPr>
            <w:r>
              <w:rPr>
                <w:rFonts w:ascii="Arial" w:cs="Arial" w:eastAsia="Arial" w:hAnsi="Arial"/>
                <w:sz w:val="14"/>
                <w:szCs w:val="14"/>
                <w:b w:val="1"/>
                <w:bCs w:val="1"/>
                <w:color w:val="auto"/>
              </w:rPr>
              <w:t>GAAP Three Months Ended March 31,</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8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b w:val="1"/>
                <w:bCs w:val="1"/>
                <w:color w:val="auto"/>
              </w:rPr>
              <w:t xml:space="preserve">Adjusted </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 xml:space="preserve"> Three Months Ended March 31,</w:t>
            </w:r>
          </w:p>
        </w:tc>
      </w:tr>
      <w:tr>
        <w:trPr>
          <w:trHeight w:val="227"/>
        </w:trPr>
        <w:tc>
          <w:tcPr>
            <w:tcW w:w="2320" w:type="dxa"/>
            <w:vAlign w:val="bottom"/>
          </w:tcPr>
          <w:p>
            <w:pPr>
              <w:spacing w:after="0"/>
              <w:rPr>
                <w:sz w:val="19"/>
                <w:szCs w:val="19"/>
                <w:color w:val="auto"/>
              </w:rPr>
            </w:pPr>
          </w:p>
        </w:tc>
        <w:tc>
          <w:tcPr>
            <w:tcW w:w="15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220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rPr>
              <w:t>2018</w:t>
            </w:r>
          </w:p>
        </w:tc>
      </w:tr>
      <w:tr>
        <w:trPr>
          <w:trHeight w:val="209"/>
        </w:trPr>
        <w:tc>
          <w:tcPr>
            <w:tcW w:w="38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66.9%</w:t>
            </w: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SG&amp;A</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38.7%</w:t>
            </w: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R&amp;D</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11.6%</w:t>
            </w: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Operating (loss) income from</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94"/>
        </w:trPr>
        <w:tc>
          <w:tcPr>
            <w:tcW w:w="3840" w:type="dxa"/>
            <w:vAlign w:val="bottom"/>
            <w:gridSpan w:val="2"/>
          </w:tcPr>
          <w:p>
            <w:pPr>
              <w:spacing w:after="0"/>
              <w:rPr>
                <w:sz w:val="20"/>
                <w:szCs w:val="20"/>
                <w:color w:val="auto"/>
              </w:rPr>
            </w:pPr>
            <w:r>
              <w:rPr>
                <w:rFonts w:ascii="Arial" w:cs="Arial" w:eastAsia="Arial" w:hAnsi="Arial"/>
                <w:sz w:val="14"/>
                <w:szCs w:val="14"/>
                <w:color w:val="auto"/>
              </w:rPr>
              <w:t>continuing operations</w:t>
            </w:r>
          </w:p>
        </w:tc>
        <w:tc>
          <w:tcPr>
            <w:tcW w:w="72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189"/>
        </w:trPr>
        <w:tc>
          <w:tcPr>
            <w:tcW w:w="3840" w:type="dxa"/>
            <w:vAlign w:val="bottom"/>
            <w:gridSpan w:val="2"/>
          </w:tcPr>
          <w:p>
            <w:pPr>
              <w:spacing w:after="0"/>
              <w:rPr>
                <w:sz w:val="20"/>
                <w:szCs w:val="20"/>
                <w:color w:val="auto"/>
              </w:rPr>
            </w:pPr>
            <w:r>
              <w:rPr>
                <w:rFonts w:ascii="Arial" w:cs="Arial" w:eastAsia="Arial" w:hAnsi="Arial"/>
                <w:sz w:val="14"/>
                <w:szCs w:val="14"/>
                <w:color w:val="auto"/>
              </w:rPr>
              <w:t>Net (loss) income from continuing</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194"/>
        </w:trPr>
        <w:tc>
          <w:tcPr>
            <w:tcW w:w="3840" w:type="dxa"/>
            <w:vAlign w:val="bottom"/>
            <w:gridSpan w:val="2"/>
          </w:tcPr>
          <w:p>
            <w:pPr>
              <w:spacing w:after="0"/>
              <w:rPr>
                <w:sz w:val="20"/>
                <w:szCs w:val="20"/>
                <w:color w:val="auto"/>
              </w:rPr>
            </w:pPr>
            <w:r>
              <w:rPr>
                <w:rFonts w:ascii="Arial" w:cs="Arial" w:eastAsia="Arial" w:hAnsi="Arial"/>
                <w:sz w:val="14"/>
                <w:szCs w:val="14"/>
                <w:color w:val="auto"/>
              </w:rPr>
              <w:t>operations, net of tax</w:t>
            </w:r>
          </w:p>
        </w:tc>
        <w:tc>
          <w:tcPr>
            <w:tcW w:w="72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39"/>
        </w:trPr>
        <w:tc>
          <w:tcPr>
            <w:tcW w:w="3840" w:type="dxa"/>
            <w:vAlign w:val="bottom"/>
            <w:gridSpan w:val="2"/>
          </w:tcPr>
          <w:p>
            <w:pPr>
              <w:spacing w:after="0"/>
              <w:rPr>
                <w:sz w:val="20"/>
                <w:szCs w:val="20"/>
                <w:color w:val="auto"/>
              </w:rPr>
            </w:pPr>
            <w:r>
              <w:rPr>
                <w:rFonts w:ascii="Arial" w:cs="Arial" w:eastAsia="Arial" w:hAnsi="Arial"/>
                <w:sz w:val="14"/>
                <w:szCs w:val="14"/>
                <w:color w:val="auto"/>
              </w:rPr>
              <w:t>Income tax rate</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0"/>
                <w:szCs w:val="20"/>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15.7%</w:t>
            </w:r>
          </w:p>
        </w:tc>
      </w:tr>
    </w:tbl>
    <w:p>
      <w:pPr>
        <w:spacing w:after="0" w:line="289" w:lineRule="exact"/>
        <w:rPr>
          <w:sz w:val="20"/>
          <w:szCs w:val="20"/>
          <w:color w:val="auto"/>
        </w:rPr>
      </w:pPr>
    </w:p>
    <w:p>
      <w:pPr>
        <w:ind w:left="440" w:right="40" w:hanging="321"/>
        <w:spacing w:after="0" w:line="265" w:lineRule="auto"/>
        <w:tabs>
          <w:tab w:leader="none" w:pos="4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Adjusted financial measures are Non-GAAP measures and exclude specified items as described and reconciled in the "Reconciliation of GAAP to non-GAAP Financial Measures" contained in the press release.</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20"/>
          </w:cols>
          <w:pgMar w:left="260" w:top="702" w:right="21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853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5355" cy="762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1"/>
                <w:szCs w:val="11"/>
                <w:b w:val="1"/>
                <w:bCs w:val="1"/>
                <w:color w:val="auto"/>
              </w:rPr>
              <w:t>Specified Items</w:t>
            </w:r>
          </w:p>
        </w:tc>
        <w:tc>
          <w:tcPr>
            <w:tcW w:w="9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Merger and</w:t>
            </w:r>
          </w:p>
        </w:tc>
        <w:tc>
          <w:tcPr>
            <w:tcW w:w="900" w:type="dxa"/>
            <w:vAlign w:val="bottom"/>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Depreciation</w:t>
            </w: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Product</w:t>
            </w:r>
          </w:p>
        </w:tc>
        <w:tc>
          <w:tcPr>
            <w:tcW w:w="840" w:type="dxa"/>
            <w:vAlign w:val="bottom"/>
          </w:tcPr>
          <w:p>
            <w:pPr>
              <w:spacing w:after="0"/>
              <w:rPr>
                <w:sz w:val="10"/>
                <w:szCs w:val="10"/>
                <w:color w:val="auto"/>
              </w:rPr>
            </w:pP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Non-recurring</w:t>
            </w:r>
          </w:p>
        </w:tc>
        <w:tc>
          <w:tcPr>
            <w:tcW w:w="9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Stock-based</w:t>
            </w:r>
          </w:p>
        </w:tc>
        <w:tc>
          <w:tcPr>
            <w:tcW w:w="84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Certain</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GAAP</w:t>
            </w:r>
          </w:p>
        </w:tc>
        <w:tc>
          <w:tcPr>
            <w:tcW w:w="88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Restructuring</w:t>
            </w: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90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Acquisition</w:t>
            </w: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Contingent</w:t>
            </w:r>
          </w:p>
        </w:tc>
        <w:tc>
          <w:tcPr>
            <w:tcW w:w="920" w:type="dxa"/>
            <w:vAlign w:val="bottom"/>
            <w:vMerge w:val="continue"/>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Certain Tax</w:t>
            </w:r>
          </w:p>
        </w:tc>
        <w:tc>
          <w:tcPr>
            <w:tcW w:w="840" w:type="dxa"/>
            <w:vAlign w:val="bottom"/>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20"/>
        </w:trPr>
        <w:tc>
          <w:tcPr>
            <w:tcW w:w="1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780" w:type="dxa"/>
            <w:vAlign w:val="bottom"/>
            <w:vMerge w:val="continue"/>
          </w:tcPr>
          <w:p>
            <w:pPr>
              <w:spacing w:after="0"/>
              <w:rPr>
                <w:sz w:val="10"/>
                <w:szCs w:val="10"/>
                <w:color w:val="auto"/>
              </w:rPr>
            </w:pPr>
          </w:p>
        </w:tc>
        <w:tc>
          <w:tcPr>
            <w:tcW w:w="8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Integration</w:t>
            </w:r>
          </w:p>
        </w:tc>
        <w:tc>
          <w:tcPr>
            <w:tcW w:w="900" w:type="dxa"/>
            <w:vAlign w:val="bottom"/>
            <w:vMerge w:val="continue"/>
          </w:tcPr>
          <w:p>
            <w:pPr>
              <w:spacing w:after="0"/>
              <w:rPr>
                <w:sz w:val="10"/>
                <w:szCs w:val="10"/>
                <w:color w:val="auto"/>
              </w:rPr>
            </w:pPr>
          </w:p>
        </w:tc>
        <w:tc>
          <w:tcPr>
            <w:tcW w:w="8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Remediation</w:t>
            </w:r>
          </w:p>
        </w:tc>
        <w:tc>
          <w:tcPr>
            <w:tcW w:w="840" w:type="dxa"/>
            <w:vAlign w:val="bottom"/>
            <w:vMerge w:val="continue"/>
          </w:tcPr>
          <w:p>
            <w:pPr>
              <w:spacing w:after="0"/>
              <w:rPr>
                <w:sz w:val="10"/>
                <w:szCs w:val="10"/>
                <w:color w:val="auto"/>
              </w:rPr>
            </w:pPr>
          </w:p>
        </w:tc>
        <w:tc>
          <w:tcPr>
            <w:tcW w:w="108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Consideration and</w:t>
            </w:r>
          </w:p>
        </w:tc>
        <w:tc>
          <w:tcPr>
            <w:tcW w:w="9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Compensation</w:t>
            </w:r>
          </w:p>
        </w:tc>
        <w:tc>
          <w:tcPr>
            <w:tcW w:w="840" w:type="dxa"/>
            <w:vAlign w:val="bottom"/>
            <w:vMerge w:val="continue"/>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20" w:type="dxa"/>
            <w:vAlign w:val="bottom"/>
            <w:gridSpan w:val="2"/>
            <w:vMerge w:val="continue"/>
          </w:tcPr>
          <w:p>
            <w:pPr>
              <w:spacing w:after="0"/>
              <w:rPr>
                <w:sz w:val="9"/>
                <w:szCs w:val="9"/>
                <w:color w:val="auto"/>
              </w:rPr>
            </w:pPr>
          </w:p>
        </w:tc>
        <w:tc>
          <w:tcPr>
            <w:tcW w:w="7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8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900" w:type="dxa"/>
            <w:vAlign w:val="bottom"/>
          </w:tcPr>
          <w:p>
            <w:pPr>
              <w:jc w:val="center"/>
              <w:ind w:right="38"/>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10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Other Reserves</w:t>
            </w:r>
          </w:p>
        </w:tc>
        <w:tc>
          <w:tcPr>
            <w:tcW w:w="9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8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8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7"/>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March 31, 2019</w:t>
            </w:r>
          </w:p>
        </w:tc>
        <w:tc>
          <w:tcPr>
            <w:tcW w:w="10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(F)</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(I)</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147"/>
        </w:trPr>
        <w:tc>
          <w:tcPr>
            <w:tcW w:w="18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Cost of sales - exclusive of</w:t>
            </w: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amortization</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$84.3</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($0.7)</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39"/>
              <w:spacing w:after="0"/>
              <w:rPr>
                <w:sz w:val="20"/>
                <w:szCs w:val="20"/>
                <w:color w:val="auto"/>
              </w:rPr>
            </w:pPr>
            <w:r>
              <w:rPr>
                <w:rFonts w:ascii="Arial" w:cs="Arial" w:eastAsia="Arial" w:hAnsi="Arial"/>
                <w:sz w:val="13"/>
                <w:szCs w:val="13"/>
                <w:color w:val="auto"/>
              </w:rPr>
              <w:t>($6.2)</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($0.3)</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$77.1</w:t>
            </w:r>
          </w:p>
        </w:tc>
        <w:tc>
          <w:tcPr>
            <w:tcW w:w="0" w:type="dxa"/>
            <w:vAlign w:val="bottom"/>
          </w:tcPr>
          <w:p>
            <w:pPr>
              <w:spacing w:after="0"/>
              <w:rPr>
                <w:sz w:val="1"/>
                <w:szCs w:val="1"/>
                <w:color w:val="auto"/>
              </w:rPr>
            </w:pPr>
          </w:p>
        </w:tc>
      </w:tr>
      <w:tr>
        <w:trPr>
          <w:trHeight w:val="23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Product remediation</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2.9</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(2.9)</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Gross profit percent</w:t>
            </w:r>
          </w:p>
        </w:tc>
        <w:tc>
          <w:tcPr>
            <w:tcW w:w="780" w:type="dxa"/>
            <w:vAlign w:val="bottom"/>
          </w:tcPr>
          <w:p>
            <w:pPr>
              <w:jc w:val="right"/>
              <w:spacing w:after="0"/>
              <w:rPr>
                <w:sz w:val="20"/>
                <w:szCs w:val="20"/>
                <w:color w:val="auto"/>
              </w:rPr>
            </w:pPr>
            <w:r>
              <w:rPr>
                <w:rFonts w:ascii="Arial" w:cs="Arial" w:eastAsia="Arial" w:hAnsi="Arial"/>
                <w:sz w:val="13"/>
                <w:szCs w:val="13"/>
                <w:color w:val="auto"/>
              </w:rPr>
              <w:t>65.2%</w:t>
            </w:r>
          </w:p>
        </w:tc>
        <w:tc>
          <w:tcPr>
            <w:tcW w:w="880" w:type="dxa"/>
            <w:vAlign w:val="bottom"/>
          </w:tcPr>
          <w:p>
            <w:pPr>
              <w:jc w:val="right"/>
              <w:ind w:right="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9"/>
              <w:spacing w:after="0"/>
              <w:rPr>
                <w:sz w:val="20"/>
                <w:szCs w:val="20"/>
                <w:color w:val="auto"/>
              </w:rPr>
            </w:pPr>
            <w:r>
              <w:rPr>
                <w:rFonts w:ascii="Arial" w:cs="Arial" w:eastAsia="Arial" w:hAnsi="Arial"/>
                <w:sz w:val="13"/>
                <w:szCs w:val="13"/>
                <w:color w:val="auto"/>
              </w:rPr>
              <w:t>0.3%</w:t>
            </w:r>
          </w:p>
        </w:tc>
        <w:tc>
          <w:tcPr>
            <w:tcW w:w="900" w:type="dxa"/>
            <w:vAlign w:val="bottom"/>
          </w:tcPr>
          <w:p>
            <w:pPr>
              <w:jc w:val="right"/>
              <w:ind w:right="19"/>
              <w:spacing w:after="0"/>
              <w:rPr>
                <w:sz w:val="20"/>
                <w:szCs w:val="20"/>
                <w:color w:val="auto"/>
              </w:rPr>
            </w:pPr>
            <w:r>
              <w:rPr>
                <w:rFonts w:ascii="Arial" w:cs="Arial" w:eastAsia="Arial" w:hAnsi="Arial"/>
                <w:sz w:val="13"/>
                <w:szCs w:val="13"/>
                <w:color w:val="auto"/>
              </w:rPr>
              <w:t>1.2%</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79"/>
              <w:spacing w:after="0"/>
              <w:rPr>
                <w:sz w:val="20"/>
                <w:szCs w:val="20"/>
                <w:color w:val="auto"/>
              </w:rPr>
            </w:pPr>
            <w:r>
              <w:rPr>
                <w:rFonts w:ascii="Arial" w:cs="Arial" w:eastAsia="Arial" w:hAnsi="Arial"/>
                <w:sz w:val="13"/>
                <w:szCs w:val="13"/>
                <w:color w:val="auto"/>
              </w:rPr>
              <w:t>2.5%</w:t>
            </w:r>
          </w:p>
        </w:tc>
        <w:tc>
          <w:tcPr>
            <w:tcW w:w="920" w:type="dxa"/>
            <w:vAlign w:val="bottom"/>
          </w:tcPr>
          <w:p>
            <w:pPr>
              <w:jc w:val="right"/>
              <w:spacing w:after="0"/>
              <w:rPr>
                <w:sz w:val="20"/>
                <w:szCs w:val="20"/>
                <w:color w:val="auto"/>
              </w:rPr>
            </w:pPr>
            <w:r>
              <w:rPr>
                <w:rFonts w:ascii="Arial" w:cs="Arial" w:eastAsia="Arial" w:hAnsi="Arial"/>
                <w:sz w:val="13"/>
                <w:szCs w:val="13"/>
                <w:color w:val="auto"/>
              </w:rPr>
              <w:t>0.1%</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63"/>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Selling, general and</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administrative</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$125.7</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($0.4)</w:t>
            </w:r>
          </w:p>
        </w:tc>
        <w:tc>
          <w:tcPr>
            <w:tcW w:w="1080" w:type="dxa"/>
            <w:vAlign w:val="bottom"/>
          </w:tcPr>
          <w:p>
            <w:pPr>
              <w:jc w:val="right"/>
              <w:ind w:right="239"/>
              <w:spacing w:after="0"/>
              <w:rPr>
                <w:sz w:val="20"/>
                <w:szCs w:val="20"/>
                <w:color w:val="auto"/>
              </w:rPr>
            </w:pPr>
            <w:r>
              <w:rPr>
                <w:rFonts w:ascii="Arial" w:cs="Arial" w:eastAsia="Arial" w:hAnsi="Arial"/>
                <w:sz w:val="13"/>
                <w:szCs w:val="13"/>
                <w:color w:val="auto"/>
              </w:rPr>
              <w:t>($15.4)</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($5.3)</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$104.5</w:t>
            </w:r>
          </w:p>
        </w:tc>
        <w:tc>
          <w:tcPr>
            <w:tcW w:w="0" w:type="dxa"/>
            <w:vAlign w:val="bottom"/>
          </w:tcPr>
          <w:p>
            <w:pPr>
              <w:spacing w:after="0"/>
              <w:rPr>
                <w:sz w:val="1"/>
                <w:szCs w:val="1"/>
                <w:color w:val="auto"/>
              </w:rPr>
            </w:pPr>
          </w:p>
        </w:tc>
      </w:tr>
      <w:tr>
        <w:trPr>
          <w:trHeight w:val="23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43.6</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(0.1)</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(1.7)</w:t>
            </w:r>
          </w:p>
        </w:tc>
        <w:tc>
          <w:tcPr>
            <w:tcW w:w="1080" w:type="dxa"/>
            <w:vAlign w:val="bottom"/>
          </w:tcPr>
          <w:p>
            <w:pPr>
              <w:jc w:val="right"/>
              <w:ind w:right="239"/>
              <w:spacing w:after="0"/>
              <w:rPr>
                <w:sz w:val="20"/>
                <w:szCs w:val="20"/>
                <w:color w:val="auto"/>
              </w:rPr>
            </w:pPr>
            <w:r>
              <w:rPr>
                <w:rFonts w:ascii="Arial" w:cs="Arial" w:eastAsia="Arial" w:hAnsi="Arial"/>
                <w:sz w:val="13"/>
                <w:szCs w:val="13"/>
                <w:color w:val="auto"/>
              </w:rPr>
              <w:t>(3.7)</w:t>
            </w:r>
          </w:p>
        </w:tc>
        <w:tc>
          <w:tcPr>
            <w:tcW w:w="920" w:type="dxa"/>
            <w:vAlign w:val="bottom"/>
          </w:tcPr>
          <w:p>
            <w:pPr>
              <w:jc w:val="right"/>
              <w:ind w:right="79"/>
              <w:spacing w:after="0"/>
              <w:rPr>
                <w:sz w:val="20"/>
                <w:szCs w:val="20"/>
                <w:color w:val="auto"/>
              </w:rPr>
            </w:pPr>
            <w:r>
              <w:rPr>
                <w:rFonts w:ascii="Arial" w:cs="Arial" w:eastAsia="Arial" w:hAnsi="Arial"/>
                <w:sz w:val="13"/>
                <w:szCs w:val="13"/>
                <w:color w:val="auto"/>
              </w:rPr>
              <w:t>(1.3)</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36.8</w:t>
            </w:r>
          </w:p>
        </w:tc>
        <w:tc>
          <w:tcPr>
            <w:tcW w:w="0" w:type="dxa"/>
            <w:vAlign w:val="bottom"/>
          </w:tcPr>
          <w:p>
            <w:pPr>
              <w:spacing w:after="0"/>
              <w:rPr>
                <w:sz w:val="1"/>
                <w:szCs w:val="1"/>
                <w:color w:val="auto"/>
              </w:rPr>
            </w:pPr>
          </w:p>
        </w:tc>
      </w:tr>
      <w:tr>
        <w:trPr>
          <w:trHeight w:val="23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780" w:type="dxa"/>
            <w:vAlign w:val="bottom"/>
          </w:tcPr>
          <w:p>
            <w:pPr>
              <w:jc w:val="right"/>
              <w:ind w:right="98"/>
              <w:spacing w:after="0"/>
              <w:rPr>
                <w:sz w:val="20"/>
                <w:szCs w:val="20"/>
                <w:color w:val="auto"/>
              </w:rPr>
            </w:pPr>
            <w:r>
              <w:rPr>
                <w:rFonts w:ascii="Arial" w:cs="Arial" w:eastAsia="Arial" w:hAnsi="Arial"/>
                <w:sz w:val="13"/>
                <w:szCs w:val="13"/>
                <w:color w:val="auto"/>
              </w:rPr>
              <w:t>15.1</w:t>
            </w: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(3.3)</w:t>
            </w: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(2.5)</w:t>
            </w:r>
          </w:p>
        </w:tc>
        <w:tc>
          <w:tcPr>
            <w:tcW w:w="860" w:type="dxa"/>
            <w:vAlign w:val="bottom"/>
          </w:tcPr>
          <w:p>
            <w:pPr>
              <w:jc w:val="right"/>
              <w:ind w:right="119"/>
              <w:spacing w:after="0"/>
              <w:rPr>
                <w:sz w:val="20"/>
                <w:szCs w:val="20"/>
                <w:color w:val="auto"/>
              </w:rPr>
            </w:pPr>
            <w:r>
              <w:rPr>
                <w:rFonts w:ascii="Arial" w:cs="Arial" w:eastAsia="Arial" w:hAnsi="Arial"/>
                <w:sz w:val="13"/>
                <w:szCs w:val="13"/>
                <w:color w:val="auto"/>
              </w:rPr>
              <w:t>(9.3)</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79"/>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Operating (loss) income from</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(20.8)</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3.3</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2.5</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10.2</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2.9</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2.1</w:t>
            </w:r>
          </w:p>
        </w:tc>
        <w:tc>
          <w:tcPr>
            <w:tcW w:w="1080" w:type="dxa"/>
            <w:vAlign w:val="bottom"/>
          </w:tcPr>
          <w:p>
            <w:pPr>
              <w:jc w:val="right"/>
              <w:ind w:right="279"/>
              <w:spacing w:after="0"/>
              <w:rPr>
                <w:sz w:val="20"/>
                <w:szCs w:val="20"/>
                <w:color w:val="auto"/>
              </w:rPr>
            </w:pPr>
            <w:r>
              <w:rPr>
                <w:rFonts w:ascii="Arial" w:cs="Arial" w:eastAsia="Arial" w:hAnsi="Arial"/>
                <w:sz w:val="13"/>
                <w:szCs w:val="13"/>
                <w:color w:val="auto"/>
              </w:rPr>
              <w:t>25.3</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6.9</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23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Income tax (benefit) expense</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(6.6)</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0.6</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0.6</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2.6</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0.9</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0.5</w:t>
            </w:r>
          </w:p>
        </w:tc>
        <w:tc>
          <w:tcPr>
            <w:tcW w:w="1080" w:type="dxa"/>
            <w:vAlign w:val="bottom"/>
          </w:tcPr>
          <w:p>
            <w:pPr>
              <w:jc w:val="right"/>
              <w:ind w:right="279"/>
              <w:spacing w:after="0"/>
              <w:rPr>
                <w:sz w:val="20"/>
                <w:szCs w:val="20"/>
                <w:color w:val="auto"/>
              </w:rPr>
            </w:pPr>
            <w:r>
              <w:rPr>
                <w:rFonts w:ascii="Arial" w:cs="Arial" w:eastAsia="Arial" w:hAnsi="Arial"/>
                <w:sz w:val="13"/>
                <w:szCs w:val="13"/>
                <w:color w:val="auto"/>
              </w:rPr>
              <w:t>7.2</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1.6</w:t>
            </w:r>
          </w:p>
        </w:tc>
        <w:tc>
          <w:tcPr>
            <w:tcW w:w="840" w:type="dxa"/>
            <w:vAlign w:val="bottom"/>
          </w:tcPr>
          <w:p>
            <w:pPr>
              <w:jc w:val="right"/>
              <w:ind w:right="58"/>
              <w:spacing w:after="0"/>
              <w:rPr>
                <w:sz w:val="20"/>
                <w:szCs w:val="20"/>
                <w:color w:val="auto"/>
              </w:rPr>
            </w:pPr>
            <w:r>
              <w:rPr>
                <w:rFonts w:ascii="Arial" w:cs="Arial" w:eastAsia="Arial" w:hAnsi="Arial"/>
                <w:sz w:val="13"/>
                <w:szCs w:val="13"/>
                <w:color w:val="auto"/>
              </w:rPr>
              <w:t>(2.4)</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(0.1)</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63"/>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Net (loss) income from</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continuing operations</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(14.8)</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2.6</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2.0</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7.6</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2.0</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1.6</w:t>
            </w:r>
          </w:p>
        </w:tc>
        <w:tc>
          <w:tcPr>
            <w:tcW w:w="1080" w:type="dxa"/>
            <w:vAlign w:val="bottom"/>
          </w:tcPr>
          <w:p>
            <w:pPr>
              <w:jc w:val="right"/>
              <w:ind w:right="279"/>
              <w:spacing w:after="0"/>
              <w:rPr>
                <w:sz w:val="20"/>
                <w:szCs w:val="20"/>
                <w:color w:val="auto"/>
              </w:rPr>
            </w:pPr>
            <w:r>
              <w:rPr>
                <w:rFonts w:ascii="Arial" w:cs="Arial" w:eastAsia="Arial" w:hAnsi="Arial"/>
                <w:sz w:val="13"/>
                <w:szCs w:val="13"/>
                <w:color w:val="auto"/>
              </w:rPr>
              <w:t>18.1</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5.3</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2.4</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(0.2)</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63"/>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Diluted EPS - Continuing</w:t>
            </w: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($0.31)</w:t>
            </w:r>
          </w:p>
        </w:tc>
        <w:tc>
          <w:tcPr>
            <w:tcW w:w="880" w:type="dxa"/>
            <w:vAlign w:val="bottom"/>
          </w:tcPr>
          <w:p>
            <w:pPr>
              <w:jc w:val="right"/>
              <w:ind w:right="119"/>
              <w:spacing w:after="0"/>
              <w:rPr>
                <w:sz w:val="20"/>
                <w:szCs w:val="20"/>
                <w:color w:val="auto"/>
              </w:rPr>
            </w:pPr>
            <w:r>
              <w:rPr>
                <w:rFonts w:ascii="Arial" w:cs="Arial" w:eastAsia="Arial" w:hAnsi="Arial"/>
                <w:sz w:val="13"/>
                <w:szCs w:val="13"/>
                <w:color w:val="auto"/>
              </w:rPr>
              <w:t>$0.05</w:t>
            </w:r>
          </w:p>
        </w:tc>
        <w:tc>
          <w:tcPr>
            <w:tcW w:w="900" w:type="dxa"/>
            <w:vAlign w:val="bottom"/>
          </w:tcPr>
          <w:p>
            <w:pPr>
              <w:jc w:val="right"/>
              <w:ind w:right="118"/>
              <w:spacing w:after="0"/>
              <w:rPr>
                <w:sz w:val="20"/>
                <w:szCs w:val="20"/>
                <w:color w:val="auto"/>
              </w:rPr>
            </w:pPr>
            <w:r>
              <w:rPr>
                <w:rFonts w:ascii="Arial" w:cs="Arial" w:eastAsia="Arial" w:hAnsi="Arial"/>
                <w:sz w:val="13"/>
                <w:szCs w:val="13"/>
                <w:color w:val="auto"/>
              </w:rPr>
              <w:t>$0.04</w:t>
            </w:r>
          </w:p>
        </w:tc>
        <w:tc>
          <w:tcPr>
            <w:tcW w:w="860" w:type="dxa"/>
            <w:vAlign w:val="bottom"/>
          </w:tcPr>
          <w:p>
            <w:pPr>
              <w:jc w:val="right"/>
              <w:ind w:right="159"/>
              <w:spacing w:after="0"/>
              <w:rPr>
                <w:sz w:val="20"/>
                <w:szCs w:val="20"/>
                <w:color w:val="auto"/>
              </w:rPr>
            </w:pPr>
            <w:r>
              <w:rPr>
                <w:rFonts w:ascii="Arial" w:cs="Arial" w:eastAsia="Arial" w:hAnsi="Arial"/>
                <w:sz w:val="13"/>
                <w:szCs w:val="13"/>
                <w:color w:val="auto"/>
              </w:rPr>
              <w:t>$0.16</w:t>
            </w:r>
          </w:p>
        </w:tc>
        <w:tc>
          <w:tcPr>
            <w:tcW w:w="900" w:type="dxa"/>
            <w:vAlign w:val="bottom"/>
          </w:tcPr>
          <w:p>
            <w:pPr>
              <w:jc w:val="right"/>
              <w:ind w:right="139"/>
              <w:spacing w:after="0"/>
              <w:rPr>
                <w:sz w:val="20"/>
                <w:szCs w:val="20"/>
                <w:color w:val="auto"/>
              </w:rPr>
            </w:pPr>
            <w:r>
              <w:rPr>
                <w:rFonts w:ascii="Arial" w:cs="Arial" w:eastAsia="Arial" w:hAnsi="Arial"/>
                <w:sz w:val="13"/>
                <w:szCs w:val="13"/>
                <w:color w:val="auto"/>
              </w:rPr>
              <w:t>$0.04</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$0.03</w:t>
            </w:r>
          </w:p>
        </w:tc>
        <w:tc>
          <w:tcPr>
            <w:tcW w:w="1080" w:type="dxa"/>
            <w:vAlign w:val="bottom"/>
          </w:tcPr>
          <w:p>
            <w:pPr>
              <w:jc w:val="right"/>
              <w:ind w:right="279"/>
              <w:spacing w:after="0"/>
              <w:rPr>
                <w:sz w:val="20"/>
                <w:szCs w:val="20"/>
                <w:color w:val="auto"/>
              </w:rPr>
            </w:pPr>
            <w:r>
              <w:rPr>
                <w:rFonts w:ascii="Arial" w:cs="Arial" w:eastAsia="Arial" w:hAnsi="Arial"/>
                <w:sz w:val="13"/>
                <w:szCs w:val="13"/>
                <w:color w:val="auto"/>
              </w:rPr>
              <w:t>$0.37</w:t>
            </w:r>
          </w:p>
        </w:tc>
        <w:tc>
          <w:tcPr>
            <w:tcW w:w="920" w:type="dxa"/>
            <w:vAlign w:val="bottom"/>
          </w:tcPr>
          <w:p>
            <w:pPr>
              <w:jc w:val="right"/>
              <w:ind w:right="119"/>
              <w:spacing w:after="0"/>
              <w:rPr>
                <w:sz w:val="20"/>
                <w:szCs w:val="20"/>
                <w:color w:val="auto"/>
              </w:rPr>
            </w:pPr>
            <w:r>
              <w:rPr>
                <w:rFonts w:ascii="Arial" w:cs="Arial" w:eastAsia="Arial" w:hAnsi="Arial"/>
                <w:sz w:val="13"/>
                <w:szCs w:val="13"/>
                <w:color w:val="auto"/>
              </w:rPr>
              <w:t>$0.11</w:t>
            </w:r>
          </w:p>
        </w:tc>
        <w:tc>
          <w:tcPr>
            <w:tcW w:w="840" w:type="dxa"/>
            <w:vAlign w:val="bottom"/>
          </w:tcPr>
          <w:p>
            <w:pPr>
              <w:jc w:val="right"/>
              <w:ind w:right="98"/>
              <w:spacing w:after="0"/>
              <w:rPr>
                <w:sz w:val="20"/>
                <w:szCs w:val="20"/>
                <w:color w:val="auto"/>
              </w:rPr>
            </w:pPr>
            <w:r>
              <w:rPr>
                <w:rFonts w:ascii="Arial" w:cs="Arial" w:eastAsia="Arial" w:hAnsi="Arial"/>
                <w:sz w:val="13"/>
                <w:szCs w:val="13"/>
                <w:color w:val="auto"/>
              </w:rPr>
              <w:t>$0.05</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8"/>
              <w:spacing w:after="0"/>
              <w:rPr>
                <w:sz w:val="20"/>
                <w:szCs w:val="20"/>
                <w:color w:val="auto"/>
              </w:rPr>
            </w:pPr>
            <w:r>
              <w:rPr>
                <w:rFonts w:ascii="Arial" w:cs="Arial" w:eastAsia="Arial" w:hAnsi="Arial"/>
                <w:sz w:val="13"/>
                <w:szCs w:val="13"/>
                <w:color w:val="auto"/>
              </w:rPr>
              <w:t>$0.54</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March 31, 2019 include:</w:t>
      </w:r>
    </w:p>
    <w:p>
      <w:pPr>
        <w:spacing w:after="0" w:line="44" w:lineRule="exact"/>
        <w:rPr>
          <w:sz w:val="20"/>
          <w:szCs w:val="20"/>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 and recent acquisitions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Primarily relates to discrete tax items and the tax impact of intercompany transactions</w:t>
      </w:r>
    </w:p>
    <w:p>
      <w:pPr>
        <w:spacing w:after="0" w:line="41" w:lineRule="exact"/>
        <w:rPr>
          <w:rFonts w:ascii="Arial" w:cs="Arial" w:eastAsia="Arial" w:hAnsi="Arial"/>
          <w:sz w:val="13"/>
          <w:szCs w:val="13"/>
          <w:color w:val="auto"/>
        </w:rPr>
      </w:pPr>
    </w:p>
    <w:p>
      <w:pPr>
        <w:ind w:left="340" w:hanging="320"/>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Primarily relates to intellectual property migration and other non-recurring impacts to interest expense</w:t>
      </w:r>
    </w:p>
    <w:p>
      <w:pPr>
        <w:spacing w:after="0" w:line="42" w:lineRule="exact"/>
        <w:rPr>
          <w:sz w:val="20"/>
          <w:szCs w:val="20"/>
          <w:color w:val="auto"/>
        </w:rPr>
      </w:pPr>
    </w:p>
    <w:p>
      <w:pPr>
        <w:ind w:left="340" w:hanging="320"/>
        <w:spacing w:after="0"/>
        <w:tabs>
          <w:tab w:leader="none" w:pos="340" w:val="left"/>
        </w:tabs>
        <w:numPr>
          <w:ilvl w:val="0"/>
          <w:numId w:val="8"/>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460"/>
          </w:cols>
          <w:pgMar w:left="240" w:top="707" w:right="19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2853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5355" cy="762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1"/>
                <w:szCs w:val="11"/>
                <w:b w:val="1"/>
                <w:bCs w:val="1"/>
                <w:color w:val="auto"/>
              </w:rPr>
              <w:t>Specified Items</w:t>
            </w:r>
          </w:p>
        </w:tc>
        <w:tc>
          <w:tcPr>
            <w:tcW w:w="9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Merger and</w:t>
            </w:r>
          </w:p>
        </w:tc>
        <w:tc>
          <w:tcPr>
            <w:tcW w:w="860" w:type="dxa"/>
            <w:vAlign w:val="bottom"/>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Depreciation</w:t>
            </w:r>
          </w:p>
        </w:tc>
        <w:tc>
          <w:tcPr>
            <w:tcW w:w="8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Product</w:t>
            </w:r>
          </w:p>
        </w:tc>
        <w:tc>
          <w:tcPr>
            <w:tcW w:w="760" w:type="dxa"/>
            <w:vAlign w:val="bottom"/>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Non-recurring</w:t>
            </w: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Stock-based</w:t>
            </w:r>
          </w:p>
        </w:tc>
        <w:tc>
          <w:tcPr>
            <w:tcW w:w="8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Certain</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GAAP</w:t>
            </w:r>
          </w:p>
        </w:tc>
        <w:tc>
          <w:tcPr>
            <w:tcW w:w="760" w:type="dxa"/>
            <w:vAlign w:val="bottom"/>
            <w:vMerge w:val="continue"/>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Restructuring</w:t>
            </w: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and</w:t>
            </w:r>
          </w:p>
        </w:tc>
        <w:tc>
          <w:tcPr>
            <w:tcW w:w="820" w:type="dxa"/>
            <w:vAlign w:val="bottom"/>
            <w:vMerge w:val="continue"/>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Acquisition</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Legal and</w:t>
            </w:r>
          </w:p>
        </w:tc>
        <w:tc>
          <w:tcPr>
            <w:tcW w:w="900" w:type="dxa"/>
            <w:vAlign w:val="bottom"/>
            <w:vMerge w:val="continue"/>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Certain Tax</w:t>
            </w:r>
          </w:p>
        </w:tc>
        <w:tc>
          <w:tcPr>
            <w:tcW w:w="80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Adjusted</w:t>
            </w:r>
          </w:p>
        </w:tc>
        <w:tc>
          <w:tcPr>
            <w:tcW w:w="0" w:type="dxa"/>
            <w:vAlign w:val="bottom"/>
          </w:tcPr>
          <w:p>
            <w:pPr>
              <w:spacing w:after="0"/>
              <w:rPr>
                <w:sz w:val="1"/>
                <w:szCs w:val="1"/>
                <w:color w:val="auto"/>
              </w:rPr>
            </w:pPr>
          </w:p>
        </w:tc>
      </w:tr>
      <w:tr>
        <w:trPr>
          <w:trHeight w:val="120"/>
        </w:trPr>
        <w:tc>
          <w:tcPr>
            <w:tcW w:w="2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Three Months Ended</w:t>
            </w:r>
          </w:p>
        </w:tc>
        <w:tc>
          <w:tcPr>
            <w:tcW w:w="740" w:type="dxa"/>
            <w:vAlign w:val="bottom"/>
            <w:vMerge w:val="continue"/>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Integration</w:t>
            </w:r>
          </w:p>
        </w:tc>
        <w:tc>
          <w:tcPr>
            <w:tcW w:w="860" w:type="dxa"/>
            <w:vAlign w:val="bottom"/>
            <w:vMerge w:val="continue"/>
          </w:tcPr>
          <w:p>
            <w:pPr>
              <w:spacing w:after="0"/>
              <w:rPr>
                <w:sz w:val="10"/>
                <w:szCs w:val="10"/>
                <w:color w:val="auto"/>
              </w:rPr>
            </w:pPr>
          </w:p>
        </w:tc>
        <w:tc>
          <w:tcPr>
            <w:tcW w:w="8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Amortization</w:t>
            </w:r>
          </w:p>
        </w:tc>
        <w:tc>
          <w:tcPr>
            <w:tcW w:w="8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Remediation</w:t>
            </w:r>
          </w:p>
        </w:tc>
        <w:tc>
          <w:tcPr>
            <w:tcW w:w="760" w:type="dxa"/>
            <w:vAlign w:val="bottom"/>
            <w:vMerge w:val="continue"/>
          </w:tcPr>
          <w:p>
            <w:pPr>
              <w:spacing w:after="0"/>
              <w:rPr>
                <w:sz w:val="10"/>
                <w:szCs w:val="10"/>
                <w:color w:val="auto"/>
              </w:rPr>
            </w:pP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9"/>
              </w:rPr>
              <w:t>Contingent</w:t>
            </w:r>
          </w:p>
        </w:tc>
        <w:tc>
          <w:tcPr>
            <w:tcW w:w="9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Compensation</w:t>
            </w:r>
          </w:p>
        </w:tc>
        <w:tc>
          <w:tcPr>
            <w:tcW w:w="800" w:type="dxa"/>
            <w:vAlign w:val="bottom"/>
            <w:vMerge w:val="continue"/>
          </w:tcPr>
          <w:p>
            <w:pPr>
              <w:spacing w:after="0"/>
              <w:rPr>
                <w:sz w:val="10"/>
                <w:szCs w:val="10"/>
                <w:color w:val="auto"/>
              </w:rPr>
            </w:pPr>
          </w:p>
        </w:tc>
        <w:tc>
          <w:tcPr>
            <w:tcW w:w="8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Interest</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540" w:type="dxa"/>
            <w:vAlign w:val="bottom"/>
            <w:gridSpan w:val="2"/>
            <w:vMerge w:val="continue"/>
          </w:tcPr>
          <w:p>
            <w:pPr>
              <w:spacing w:after="0"/>
              <w:rPr>
                <w:sz w:val="9"/>
                <w:szCs w:val="9"/>
                <w:color w:val="auto"/>
              </w:rPr>
            </w:pP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840" w:type="dxa"/>
            <w:vAlign w:val="bottom"/>
          </w:tcPr>
          <w:p>
            <w:pPr>
              <w:jc w:val="center"/>
              <w:ind w:right="19"/>
              <w:spacing w:after="0" w:line="115" w:lineRule="exact"/>
              <w:rPr>
                <w:sz w:val="20"/>
                <w:szCs w:val="20"/>
                <w:color w:val="auto"/>
              </w:rPr>
            </w:pPr>
            <w:r>
              <w:rPr>
                <w:rFonts w:ascii="Arial" w:cs="Arial" w:eastAsia="Arial" w:hAnsi="Arial"/>
                <w:sz w:val="11"/>
                <w:szCs w:val="11"/>
                <w:b w:val="1"/>
                <w:bCs w:val="1"/>
                <w:color w:val="auto"/>
              </w:rPr>
              <w:t>Expenses</w:t>
            </w:r>
          </w:p>
        </w:tc>
        <w:tc>
          <w:tcPr>
            <w:tcW w:w="8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Expenses</w:t>
            </w: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8"/>
              </w:rPr>
              <w:t>Costs</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9"/>
              </w:rPr>
              <w:t>Consideration</w:t>
            </w:r>
          </w:p>
        </w:tc>
        <w:tc>
          <w:tcPr>
            <w:tcW w:w="9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Costs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8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Adjustments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rPr>
              <w:t>Financial</w:t>
            </w:r>
          </w:p>
        </w:tc>
        <w:tc>
          <w:tcPr>
            <w:tcW w:w="0" w:type="dxa"/>
            <w:vAlign w:val="bottom"/>
          </w:tcPr>
          <w:p>
            <w:pPr>
              <w:spacing w:after="0"/>
              <w:rPr>
                <w:sz w:val="1"/>
                <w:szCs w:val="1"/>
                <w:color w:val="auto"/>
              </w:rPr>
            </w:pPr>
          </w:p>
        </w:tc>
      </w:tr>
      <w:tr>
        <w:trPr>
          <w:trHeight w:val="16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March 31, 2018</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Measures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(B)</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(C)</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(F)</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(G)</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(H)</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Measures</w:t>
            </w:r>
          </w:p>
        </w:tc>
        <w:tc>
          <w:tcPr>
            <w:tcW w:w="0" w:type="dxa"/>
            <w:vAlign w:val="bottom"/>
          </w:tcPr>
          <w:p>
            <w:pPr>
              <w:spacing w:after="0"/>
              <w:rPr>
                <w:sz w:val="1"/>
                <w:szCs w:val="1"/>
                <w:color w:val="auto"/>
              </w:rPr>
            </w:pPr>
          </w:p>
        </w:tc>
      </w:tr>
      <w:tr>
        <w:trPr>
          <w:trHeight w:val="22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Cost of sales - exclusive of amortization</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$84.6</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($0.8)</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($0.6)</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($0.3)</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$83.0</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Product remediation</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3.7</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8"/>
              <w:spacing w:after="0"/>
              <w:rPr>
                <w:sz w:val="20"/>
                <w:szCs w:val="20"/>
                <w:color w:val="auto"/>
              </w:rPr>
            </w:pPr>
            <w:r>
              <w:rPr>
                <w:rFonts w:ascii="Arial" w:cs="Arial" w:eastAsia="Arial" w:hAnsi="Arial"/>
                <w:sz w:val="13"/>
                <w:szCs w:val="13"/>
                <w:color w:val="auto"/>
              </w:rPr>
              <w:t>(3.7)</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Gross profit percent</w:t>
            </w:r>
          </w:p>
        </w:tc>
        <w:tc>
          <w:tcPr>
            <w:tcW w:w="740" w:type="dxa"/>
            <w:vAlign w:val="bottom"/>
          </w:tcPr>
          <w:p>
            <w:pPr>
              <w:jc w:val="right"/>
              <w:spacing w:after="0"/>
              <w:rPr>
                <w:sz w:val="20"/>
                <w:szCs w:val="20"/>
                <w:color w:val="auto"/>
              </w:rPr>
            </w:pPr>
            <w:r>
              <w:rPr>
                <w:rFonts w:ascii="Arial" w:cs="Arial" w:eastAsia="Arial" w:hAnsi="Arial"/>
                <w:sz w:val="13"/>
                <w:szCs w:val="13"/>
                <w:color w:val="auto"/>
              </w:rPr>
              <w:t>64.7%</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0.3%</w:t>
            </w: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0.2%</w:t>
            </w:r>
          </w:p>
        </w:tc>
        <w:tc>
          <w:tcPr>
            <w:tcW w:w="900" w:type="dxa"/>
            <w:vAlign w:val="bottom"/>
          </w:tcPr>
          <w:p>
            <w:pPr>
              <w:jc w:val="right"/>
              <w:spacing w:after="0"/>
              <w:rPr>
                <w:sz w:val="20"/>
                <w:szCs w:val="20"/>
                <w:color w:val="auto"/>
              </w:rPr>
            </w:pPr>
            <w:r>
              <w:rPr>
                <w:rFonts w:ascii="Arial" w:cs="Arial" w:eastAsia="Arial" w:hAnsi="Arial"/>
                <w:sz w:val="13"/>
                <w:szCs w:val="13"/>
                <w:color w:val="auto"/>
              </w:rPr>
              <w:t>0.1%</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66.9%</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Selling, general and administrative</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$104.2</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($0.2)</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($0.4)</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($3.4)</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($3.3)</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Research and development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31.8</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(0.1)</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(1.3)</w:t>
            </w:r>
          </w:p>
        </w:tc>
        <w:tc>
          <w:tcPr>
            <w:tcW w:w="900" w:type="dxa"/>
            <w:vAlign w:val="bottom"/>
          </w:tcPr>
          <w:p>
            <w:pPr>
              <w:jc w:val="right"/>
              <w:ind w:right="59"/>
              <w:spacing w:after="0"/>
              <w:rPr>
                <w:sz w:val="20"/>
                <w:szCs w:val="20"/>
                <w:color w:val="auto"/>
              </w:rPr>
            </w:pPr>
            <w:r>
              <w:rPr>
                <w:rFonts w:ascii="Arial" w:cs="Arial" w:eastAsia="Arial" w:hAnsi="Arial"/>
                <w:sz w:val="13"/>
                <w:szCs w:val="13"/>
                <w:color w:val="auto"/>
              </w:rPr>
              <w:t>(0.2)</w:t>
            </w: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(1.2)</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Other operating expenses</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13.6</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(3.0)</w:t>
            </w: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(1.9)</w:t>
            </w:r>
          </w:p>
        </w:tc>
        <w:tc>
          <w:tcPr>
            <w:tcW w:w="840" w:type="dxa"/>
            <w:vAlign w:val="bottom"/>
          </w:tcPr>
          <w:p>
            <w:pPr>
              <w:jc w:val="right"/>
              <w:ind w:right="59"/>
              <w:spacing w:after="0"/>
              <w:rPr>
                <w:sz w:val="20"/>
                <w:szCs w:val="20"/>
                <w:color w:val="auto"/>
              </w:rPr>
            </w:pPr>
            <w:r>
              <w:rPr>
                <w:rFonts w:ascii="Arial" w:cs="Arial" w:eastAsia="Arial" w:hAnsi="Arial"/>
                <w:sz w:val="13"/>
                <w:szCs w:val="13"/>
                <w:color w:val="auto"/>
              </w:rPr>
              <w:t>(8.8)</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Operating income from continuing</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operations</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12.5</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3.0</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1.9</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9.8</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3.7</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1.7</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4.2</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4.7</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Gain on acquisition</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11.5</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(11.5)</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Income tax expense (benefit)</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3.9</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0.6</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0.5</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2.4</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0.9</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0.4</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1.1</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1.1</w:t>
            </w: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(4.7)</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0.2</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Net income from continuing operations</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17.8</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2.4</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1.4</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7.4</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2.8</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(10.2)</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3.1</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3.6</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4.7</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0.5</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239"/>
        </w:trPr>
        <w:tc>
          <w:tcPr>
            <w:tcW w:w="2540" w:type="dxa"/>
            <w:vAlign w:val="bottom"/>
            <w:gridSpan w:val="2"/>
          </w:tcPr>
          <w:p>
            <w:pPr>
              <w:ind w:left="20"/>
              <w:spacing w:after="0"/>
              <w:rPr>
                <w:sz w:val="20"/>
                <w:szCs w:val="20"/>
                <w:color w:val="auto"/>
              </w:rPr>
            </w:pPr>
            <w:r>
              <w:rPr>
                <w:rFonts w:ascii="Arial" w:cs="Arial" w:eastAsia="Arial" w:hAnsi="Arial"/>
                <w:sz w:val="13"/>
                <w:szCs w:val="13"/>
                <w:color w:val="auto"/>
              </w:rPr>
              <w:t>Diluted EPS - Continuing Operations</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$0.36</w:t>
            </w:r>
          </w:p>
        </w:tc>
        <w:tc>
          <w:tcPr>
            <w:tcW w:w="760" w:type="dxa"/>
            <w:vAlign w:val="bottom"/>
          </w:tcPr>
          <w:p>
            <w:pPr>
              <w:jc w:val="right"/>
              <w:ind w:right="98"/>
              <w:spacing w:after="0"/>
              <w:rPr>
                <w:sz w:val="20"/>
                <w:szCs w:val="20"/>
                <w:color w:val="auto"/>
              </w:rPr>
            </w:pPr>
            <w:r>
              <w:rPr>
                <w:rFonts w:ascii="Arial" w:cs="Arial" w:eastAsia="Arial" w:hAnsi="Arial"/>
                <w:sz w:val="13"/>
                <w:szCs w:val="13"/>
                <w:color w:val="auto"/>
              </w:rPr>
              <w:t>$0.05</w:t>
            </w:r>
          </w:p>
        </w:tc>
        <w:tc>
          <w:tcPr>
            <w:tcW w:w="860" w:type="dxa"/>
            <w:vAlign w:val="bottom"/>
          </w:tcPr>
          <w:p>
            <w:pPr>
              <w:jc w:val="right"/>
              <w:ind w:right="98"/>
              <w:spacing w:after="0"/>
              <w:rPr>
                <w:sz w:val="20"/>
                <w:szCs w:val="20"/>
                <w:color w:val="auto"/>
              </w:rPr>
            </w:pPr>
            <w:r>
              <w:rPr>
                <w:rFonts w:ascii="Arial" w:cs="Arial" w:eastAsia="Arial" w:hAnsi="Arial"/>
                <w:sz w:val="13"/>
                <w:szCs w:val="13"/>
                <w:color w:val="auto"/>
              </w:rPr>
              <w:t>$0.03</w:t>
            </w:r>
          </w:p>
        </w:tc>
        <w:tc>
          <w:tcPr>
            <w:tcW w:w="840" w:type="dxa"/>
            <w:vAlign w:val="bottom"/>
          </w:tcPr>
          <w:p>
            <w:pPr>
              <w:jc w:val="right"/>
              <w:ind w:right="99"/>
              <w:spacing w:after="0"/>
              <w:rPr>
                <w:sz w:val="20"/>
                <w:szCs w:val="20"/>
                <w:color w:val="auto"/>
              </w:rPr>
            </w:pPr>
            <w:r>
              <w:rPr>
                <w:rFonts w:ascii="Arial" w:cs="Arial" w:eastAsia="Arial" w:hAnsi="Arial"/>
                <w:sz w:val="13"/>
                <w:szCs w:val="13"/>
                <w:color w:val="auto"/>
              </w:rPr>
              <w:t>$0.15</w:t>
            </w: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$0.06</w:t>
            </w: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($0.21)</w:t>
            </w:r>
          </w:p>
        </w:tc>
        <w:tc>
          <w:tcPr>
            <w:tcW w:w="900" w:type="dxa"/>
            <w:vAlign w:val="bottom"/>
          </w:tcPr>
          <w:p>
            <w:pPr>
              <w:jc w:val="right"/>
              <w:ind w:right="99"/>
              <w:spacing w:after="0"/>
              <w:rPr>
                <w:sz w:val="20"/>
                <w:szCs w:val="20"/>
                <w:color w:val="auto"/>
              </w:rPr>
            </w:pPr>
            <w:r>
              <w:rPr>
                <w:rFonts w:ascii="Arial" w:cs="Arial" w:eastAsia="Arial" w:hAnsi="Arial"/>
                <w:sz w:val="13"/>
                <w:szCs w:val="13"/>
                <w:color w:val="auto"/>
              </w:rPr>
              <w:t>$0.06</w:t>
            </w:r>
          </w:p>
        </w:tc>
        <w:tc>
          <w:tcPr>
            <w:tcW w:w="900" w:type="dxa"/>
            <w:vAlign w:val="bottom"/>
          </w:tcPr>
          <w:p>
            <w:pPr>
              <w:jc w:val="right"/>
              <w:ind w:right="98"/>
              <w:spacing w:after="0"/>
              <w:rPr>
                <w:sz w:val="20"/>
                <w:szCs w:val="20"/>
                <w:color w:val="auto"/>
              </w:rPr>
            </w:pPr>
            <w:r>
              <w:rPr>
                <w:rFonts w:ascii="Arial" w:cs="Arial" w:eastAsia="Arial" w:hAnsi="Arial"/>
                <w:sz w:val="13"/>
                <w:szCs w:val="13"/>
                <w:color w:val="auto"/>
              </w:rPr>
              <w:t>$0.07</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$0.10</w:t>
            </w:r>
          </w:p>
        </w:tc>
        <w:tc>
          <w:tcPr>
            <w:tcW w:w="800" w:type="dxa"/>
            <w:vAlign w:val="bottom"/>
          </w:tcPr>
          <w:p>
            <w:pPr>
              <w:jc w:val="right"/>
              <w:ind w:right="78"/>
              <w:spacing w:after="0"/>
              <w:rPr>
                <w:sz w:val="20"/>
                <w:szCs w:val="20"/>
                <w:color w:val="auto"/>
              </w:rPr>
            </w:pPr>
            <w:r>
              <w:rPr>
                <w:rFonts w:ascii="Arial" w:cs="Arial" w:eastAsia="Arial" w:hAnsi="Arial"/>
                <w:sz w:val="13"/>
                <w:szCs w:val="13"/>
                <w:color w:val="auto"/>
              </w:rPr>
              <w:t>$0.01</w:t>
            </w:r>
          </w:p>
        </w:tc>
        <w:tc>
          <w:tcPr>
            <w:tcW w:w="740" w:type="dxa"/>
            <w:vAlign w:val="bottom"/>
          </w:tcPr>
          <w:p>
            <w:pPr>
              <w:jc w:val="right"/>
              <w:ind w:right="78"/>
              <w:spacing w:after="0"/>
              <w:rPr>
                <w:sz w:val="20"/>
                <w:szCs w:val="20"/>
                <w:color w:val="auto"/>
              </w:rPr>
            </w:pPr>
            <w:r>
              <w:rPr>
                <w:rFonts w:ascii="Arial" w:cs="Arial" w:eastAsia="Arial" w:hAnsi="Arial"/>
                <w:sz w:val="13"/>
                <w:szCs w:val="13"/>
                <w:color w:val="auto"/>
              </w:rPr>
              <w:t>$0.68</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GAAP results for the three months ended March 31, 2018 include:</w:t>
      </w:r>
    </w:p>
    <w:p>
      <w:pPr>
        <w:spacing w:after="0" w:line="44" w:lineRule="exact"/>
        <w:rPr>
          <w:sz w:val="20"/>
          <w:szCs w:val="20"/>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Merger and integration expenses related to our legacy companies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Restructuring expenses related to organizational changes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depreciation and amortization associated with purchase price accounting</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Costs related to the 3T Heater-Cooler remediation plan</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Costs related to acquisitions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Contingent consideration related to acquisitions and legal expenses primarily related to 3T Heater-Cooler defense and other matters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Non-cash expenses associated with stock-based compensation costs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Primarily related to discrete tax items and the tax impact of intercompany transactions</w:t>
      </w:r>
    </w:p>
    <w:p>
      <w:pPr>
        <w:spacing w:after="0" w:line="41" w:lineRule="exact"/>
        <w:rPr>
          <w:rFonts w:ascii="Arial" w:cs="Arial" w:eastAsia="Arial" w:hAnsi="Arial"/>
          <w:sz w:val="13"/>
          <w:szCs w:val="13"/>
          <w:color w:val="auto"/>
        </w:rPr>
      </w:pPr>
    </w:p>
    <w:p>
      <w:pPr>
        <w:ind w:left="360" w:hanging="340"/>
        <w:spacing w:after="0"/>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Primarily related to intellectual property migration and other non-recurring impacts to interest expense</w:t>
      </w:r>
    </w:p>
    <w:p>
      <w:pPr>
        <w:spacing w:after="0" w:line="42" w:lineRule="exact"/>
        <w:rPr>
          <w:sz w:val="20"/>
          <w:szCs w:val="20"/>
          <w:color w:val="auto"/>
        </w:rPr>
      </w:pPr>
    </w:p>
    <w:p>
      <w:pPr>
        <w:ind w:left="360" w:hanging="340"/>
        <w:spacing w:after="0"/>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60"/>
          </w:cols>
          <w:pgMar w:left="240" w:top="707" w:right="19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LIVANOVA PLC AND SUBSIDIARIES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CONDENSED CONSOLIDATED BALANCE SHEETS - UNAUDITED</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dollars in millions)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960" w:type="dxa"/>
            <w:vAlign w:val="bottom"/>
          </w:tcPr>
          <w:p>
            <w:pPr>
              <w:spacing w:after="0"/>
              <w:rPr>
                <w:sz w:val="17"/>
                <w:szCs w:val="17"/>
                <w:color w:val="auto"/>
              </w:rPr>
            </w:pPr>
          </w:p>
        </w:tc>
        <w:tc>
          <w:tcPr>
            <w:tcW w:w="2300" w:type="dxa"/>
            <w:vAlign w:val="bottom"/>
            <w:gridSpan w:val="2"/>
          </w:tcPr>
          <w:p>
            <w:pPr>
              <w:ind w:left="600"/>
              <w:spacing w:after="0"/>
              <w:rPr>
                <w:sz w:val="20"/>
                <w:szCs w:val="20"/>
                <w:color w:val="auto"/>
              </w:rPr>
            </w:pPr>
            <w:r>
              <w:rPr>
                <w:rFonts w:ascii="Arial" w:cs="Arial" w:eastAsia="Arial" w:hAnsi="Arial"/>
                <w:sz w:val="14"/>
                <w:szCs w:val="14"/>
                <w:b w:val="1"/>
                <w:bCs w:val="1"/>
                <w:color w:val="auto"/>
              </w:rPr>
              <w:t>March 31, 2019</w:t>
            </w:r>
          </w:p>
        </w:tc>
        <w:tc>
          <w:tcPr>
            <w:tcW w:w="2160" w:type="dxa"/>
            <w:vAlign w:val="bottom"/>
          </w:tcPr>
          <w:p>
            <w:pPr>
              <w:jc w:val="right"/>
              <w:ind w:right="36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31"/>
        </w:trPr>
        <w:tc>
          <w:tcPr>
            <w:tcW w:w="6960" w:type="dxa"/>
            <w:vAlign w:val="bottom"/>
          </w:tcPr>
          <w:p>
            <w:pPr>
              <w:ind w:left="340"/>
              <w:spacing w:after="0"/>
              <w:rPr>
                <w:sz w:val="20"/>
                <w:szCs w:val="20"/>
                <w:color w:val="auto"/>
              </w:rPr>
            </w:pPr>
            <w:r>
              <w:rPr>
                <w:rFonts w:ascii="Arial" w:cs="Arial" w:eastAsia="Arial" w:hAnsi="Arial"/>
                <w:sz w:val="14"/>
                <w:szCs w:val="14"/>
                <w:b w:val="1"/>
                <w:bCs w:val="1"/>
                <w:color w:val="auto"/>
              </w:rPr>
              <w:t>ASSETS</w:t>
            </w:r>
          </w:p>
        </w:tc>
        <w:tc>
          <w:tcPr>
            <w:tcW w:w="2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96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Cash and cash equivalents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Accounts receivable, net</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247.1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Prepaid and refundable taxes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46"/>
        </w:trPr>
        <w:tc>
          <w:tcPr>
            <w:tcW w:w="6960" w:type="dxa"/>
            <w:vAlign w:val="bottom"/>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540.6</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533.3</w:t>
            </w:r>
          </w:p>
        </w:tc>
        <w:tc>
          <w:tcPr>
            <w:tcW w:w="0" w:type="dxa"/>
            <w:vAlign w:val="bottom"/>
          </w:tcPr>
          <w:p>
            <w:pPr>
              <w:spacing w:after="0"/>
              <w:rPr>
                <w:sz w:val="1"/>
                <w:szCs w:val="1"/>
                <w:color w:val="auto"/>
              </w:rPr>
            </w:pPr>
          </w:p>
        </w:tc>
      </w:tr>
      <w:tr>
        <w:trPr>
          <w:trHeight w:val="209"/>
        </w:trPr>
        <w:tc>
          <w:tcPr>
            <w:tcW w:w="6960" w:type="dxa"/>
            <w:vAlign w:val="bottom"/>
          </w:tcPr>
          <w:p>
            <w:pPr>
              <w:ind w:left="340"/>
              <w:spacing w:after="0"/>
              <w:rPr>
                <w:sz w:val="20"/>
                <w:szCs w:val="20"/>
                <w:color w:val="auto"/>
              </w:rPr>
            </w:pPr>
            <w:r>
              <w:rPr>
                <w:rFonts w:ascii="Arial" w:cs="Arial" w:eastAsia="Arial" w:hAnsi="Arial"/>
                <w:sz w:val="14"/>
                <w:szCs w:val="14"/>
                <w:color w:val="auto"/>
              </w:rPr>
              <w:t>Property, plant and equipment, net</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185.9</w:t>
            </w:r>
          </w:p>
        </w:tc>
        <w:tc>
          <w:tcPr>
            <w:tcW w:w="100" w:type="dxa"/>
            <w:vAlign w:val="bottom"/>
          </w:tcPr>
          <w:p>
            <w:pPr>
              <w:spacing w:after="0"/>
              <w:rPr>
                <w:sz w:val="18"/>
                <w:szCs w:val="18"/>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191.4</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Goodwill</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952.1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956.8</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Intangible assets, net</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758.5</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770.4</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Operating lease assets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Investments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Deferred tax assets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46"/>
        </w:trPr>
        <w:tc>
          <w:tcPr>
            <w:tcW w:w="696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36"/>
        </w:trPr>
        <w:tc>
          <w:tcPr>
            <w:tcW w:w="6960" w:type="dxa"/>
            <w:vAlign w:val="bottom"/>
          </w:tcPr>
          <w:p>
            <w:pPr>
              <w:spacing w:after="0"/>
              <w:rPr>
                <w:sz w:val="20"/>
                <w:szCs w:val="20"/>
                <w:color w:val="auto"/>
              </w:rPr>
            </w:pPr>
            <w:r>
              <w:rPr>
                <w:rFonts w:ascii="Arial" w:cs="Arial" w:eastAsia="Arial" w:hAnsi="Arial"/>
                <w:sz w:val="14"/>
                <w:szCs w:val="14"/>
                <w:color w:val="auto"/>
              </w:rPr>
              <w:t>Total Assets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$2,599.5</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$2,549.7</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LIABILITIES AND STOCKHOLDERS' EQUITY</w:t>
            </w: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96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960" w:type="dxa"/>
            <w:vAlign w:val="bottom"/>
          </w:tcPr>
          <w:p>
            <w:pPr>
              <w:spacing w:after="0"/>
              <w:rPr>
                <w:sz w:val="20"/>
                <w:szCs w:val="20"/>
                <w:color w:val="auto"/>
              </w:rPr>
            </w:pPr>
            <w:r>
              <w:rPr>
                <w:rFonts w:ascii="Arial" w:cs="Arial" w:eastAsia="Arial" w:hAnsi="Arial"/>
                <w:sz w:val="14"/>
                <w:szCs w:val="14"/>
                <w:i w:val="1"/>
                <w:iCs w:val="1"/>
                <w:color w:val="auto"/>
              </w:rPr>
              <w:t>Current Liabilities:</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Current debt obligations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Accrued liabilities and other</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150.5</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124.3</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Current litigation provision liability</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252.1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46"/>
        </w:trPr>
        <w:tc>
          <w:tcPr>
            <w:tcW w:w="6960" w:type="dxa"/>
            <w:vAlign w:val="bottom"/>
          </w:tcPr>
          <w:p>
            <w:pPr>
              <w:ind w:left="340"/>
              <w:spacing w:after="0"/>
              <w:rPr>
                <w:sz w:val="20"/>
                <w:szCs w:val="20"/>
                <w:color w:val="auto"/>
              </w:rPr>
            </w:pPr>
            <w:r>
              <w:rPr>
                <w:rFonts w:ascii="Arial" w:cs="Arial" w:eastAsia="Arial" w:hAnsi="Arial"/>
                <w:sz w:val="14"/>
                <w:szCs w:val="14"/>
                <w:color w:val="auto"/>
              </w:rPr>
              <w:t>Accrued employee compensation and related benefits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82.6</w:t>
            </w:r>
          </w:p>
        </w:tc>
        <w:tc>
          <w:tcPr>
            <w:tcW w:w="0" w:type="dxa"/>
            <w:vAlign w:val="bottom"/>
          </w:tcPr>
          <w:p>
            <w:pPr>
              <w:spacing w:after="0"/>
              <w:rPr>
                <w:sz w:val="1"/>
                <w:szCs w:val="1"/>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622.3</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496.7</w:t>
            </w:r>
          </w:p>
        </w:tc>
        <w:tc>
          <w:tcPr>
            <w:tcW w:w="0" w:type="dxa"/>
            <w:vAlign w:val="bottom"/>
          </w:tcPr>
          <w:p>
            <w:pPr>
              <w:spacing w:after="0"/>
              <w:rPr>
                <w:sz w:val="1"/>
                <w:szCs w:val="1"/>
                <w:color w:val="auto"/>
              </w:rPr>
            </w:pPr>
          </w:p>
        </w:tc>
      </w:tr>
      <w:tr>
        <w:trPr>
          <w:trHeight w:val="209"/>
        </w:trPr>
        <w:tc>
          <w:tcPr>
            <w:tcW w:w="6960" w:type="dxa"/>
            <w:vAlign w:val="bottom"/>
          </w:tcPr>
          <w:p>
            <w:pPr>
              <w:ind w:left="340"/>
              <w:spacing w:after="0"/>
              <w:rPr>
                <w:sz w:val="20"/>
                <w:szCs w:val="20"/>
                <w:color w:val="auto"/>
              </w:rPr>
            </w:pPr>
            <w:r>
              <w:rPr>
                <w:rFonts w:ascii="Arial" w:cs="Arial" w:eastAsia="Arial" w:hAnsi="Arial"/>
                <w:sz w:val="14"/>
                <w:szCs w:val="14"/>
                <w:color w:val="auto"/>
              </w:rPr>
              <w:t>Long-term debt obligations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8"/>
                <w:szCs w:val="18"/>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Contingent consideration</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Litigation provision liability</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Deferred tax liabilities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Long-term operating lease liabilities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6960" w:type="dxa"/>
            <w:vAlign w:val="bottom"/>
          </w:tcPr>
          <w:p>
            <w:pPr>
              <w:ind w:left="340"/>
              <w:spacing w:after="0"/>
              <w:rPr>
                <w:sz w:val="20"/>
                <w:szCs w:val="20"/>
                <w:color w:val="auto"/>
              </w:rPr>
            </w:pPr>
            <w:r>
              <w:rPr>
                <w:rFonts w:ascii="Arial" w:cs="Arial" w:eastAsia="Arial" w:hAnsi="Arial"/>
                <w:sz w:val="14"/>
                <w:szCs w:val="14"/>
                <w:color w:val="auto"/>
              </w:rPr>
              <w:t>Long-term employee compensation and related benefits</w:t>
            </w:r>
          </w:p>
        </w:tc>
        <w:tc>
          <w:tcPr>
            <w:tcW w:w="2200" w:type="dxa"/>
            <w:vAlign w:val="bottom"/>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0"/>
                <w:szCs w:val="20"/>
                <w:color w:val="auto"/>
              </w:rPr>
            </w:pP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46"/>
        </w:trPr>
        <w:tc>
          <w:tcPr>
            <w:tcW w:w="6960" w:type="dxa"/>
            <w:vAlign w:val="bottom"/>
          </w:tcPr>
          <w:p>
            <w:pPr>
              <w:ind w:left="340"/>
              <w:spacing w:after="0"/>
              <w:rPr>
                <w:sz w:val="20"/>
                <w:szCs w:val="20"/>
                <w:color w:val="auto"/>
              </w:rPr>
            </w:pPr>
            <w:r>
              <w:rPr>
                <w:rFonts w:ascii="Arial" w:cs="Arial" w:eastAsia="Arial" w:hAnsi="Arial"/>
                <w:sz w:val="14"/>
                <w:szCs w:val="14"/>
                <w:color w:val="auto"/>
              </w:rPr>
              <w:t>Other long-term liabilities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1"/>
                <w:szCs w:val="21"/>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4"/>
                <w:szCs w:val="14"/>
                <w:color w:val="auto"/>
              </w:rPr>
              <w:t>Total Liabilities</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1,112.7</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219"/>
        </w:trPr>
        <w:tc>
          <w:tcPr>
            <w:tcW w:w="69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1,486.8</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1,503.7</w:t>
            </w:r>
          </w:p>
        </w:tc>
        <w:tc>
          <w:tcPr>
            <w:tcW w:w="0" w:type="dxa"/>
            <w:vAlign w:val="bottom"/>
          </w:tcPr>
          <w:p>
            <w:pPr>
              <w:spacing w:after="0"/>
              <w:rPr>
                <w:sz w:val="1"/>
                <w:szCs w:val="1"/>
                <w:color w:val="auto"/>
              </w:rPr>
            </w:pPr>
          </w:p>
        </w:tc>
      </w:tr>
      <w:tr>
        <w:trPr>
          <w:trHeight w:val="237"/>
        </w:trPr>
        <w:tc>
          <w:tcPr>
            <w:tcW w:w="696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2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$2,599.5</w:t>
            </w:r>
          </w:p>
        </w:tc>
        <w:tc>
          <w:tcPr>
            <w:tcW w:w="100" w:type="dxa"/>
            <w:vAlign w:val="bottom"/>
          </w:tcPr>
          <w:p>
            <w:pPr>
              <w:spacing w:after="0"/>
              <w:rPr>
                <w:sz w:val="20"/>
                <w:szCs w:val="20"/>
                <w:color w:val="auto"/>
              </w:rPr>
            </w:pPr>
          </w:p>
        </w:tc>
        <w:tc>
          <w:tcPr>
            <w:tcW w:w="2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$2,549.7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40" w:hanging="340"/>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420"/>
          </w:cols>
          <w:pgMar w:left="260" w:top="707"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2"/>
        </w:trPr>
        <w:tc>
          <w:tcPr>
            <w:tcW w:w="800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4"/>
                <w:szCs w:val="14"/>
                <w:b w:val="1"/>
                <w:bCs w:val="1"/>
                <w:color w:val="auto"/>
              </w:rPr>
              <w:t>CONDENSED CONSOLIDATED STATEMENTS OF CASH FLOWS - UNAUDITED</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9"/>
        </w:trPr>
        <w:tc>
          <w:tcPr>
            <w:tcW w:w="800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3"/>
        </w:trPr>
        <w:tc>
          <w:tcPr>
            <w:tcW w:w="8000" w:type="dxa"/>
            <w:vAlign w:val="bottom"/>
          </w:tcPr>
          <w:p>
            <w:pPr>
              <w:spacing w:after="0"/>
              <w:rPr>
                <w:sz w:val="21"/>
                <w:szCs w:val="21"/>
                <w:color w:val="auto"/>
              </w:rPr>
            </w:pPr>
          </w:p>
        </w:tc>
        <w:tc>
          <w:tcPr>
            <w:tcW w:w="3420" w:type="dxa"/>
            <w:vAlign w:val="bottom"/>
            <w:tcBorders>
              <w:bottom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r>
      <w:tr>
        <w:trPr>
          <w:trHeight w:val="227"/>
        </w:trPr>
        <w:tc>
          <w:tcPr>
            <w:tcW w:w="800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r>
      <w:tr>
        <w:trPr>
          <w:trHeight w:val="231"/>
        </w:trPr>
        <w:tc>
          <w:tcPr>
            <w:tcW w:w="8000" w:type="dxa"/>
            <w:vAlign w:val="bottom"/>
          </w:tcPr>
          <w:p>
            <w:pPr>
              <w:spacing w:after="0"/>
              <w:rPr>
                <w:sz w:val="20"/>
                <w:szCs w:val="20"/>
                <w:color w:val="auto"/>
              </w:rPr>
            </w:pPr>
            <w:r>
              <w:rPr>
                <w:rFonts w:ascii="Arial" w:cs="Arial" w:eastAsia="Arial" w:hAnsi="Arial"/>
                <w:sz w:val="14"/>
                <w:szCs w:val="14"/>
                <w:b w:val="1"/>
                <w:bCs w:val="1"/>
                <w:color w:val="auto"/>
              </w:rPr>
              <w:t>Net (loss) income</w:t>
            </w:r>
          </w:p>
        </w:tc>
        <w:tc>
          <w:tcPr>
            <w:tcW w:w="1600" w:type="dxa"/>
            <w:vAlign w:val="bottom"/>
          </w:tcPr>
          <w:p>
            <w:pPr>
              <w:jc w:val="right"/>
              <w:spacing w:after="0"/>
              <w:rPr>
                <w:sz w:val="20"/>
                <w:szCs w:val="20"/>
                <w:color w:val="auto"/>
              </w:rPr>
            </w:pPr>
            <w:r>
              <w:rPr>
                <w:rFonts w:ascii="Arial" w:cs="Arial" w:eastAsia="Arial" w:hAnsi="Arial"/>
                <w:sz w:val="14"/>
                <w:szCs w:val="14"/>
                <w:color w:val="auto"/>
              </w:rPr>
              <w:t>($14.8)</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$13.3</w:t>
            </w:r>
          </w:p>
        </w:tc>
      </w:tr>
      <w:tr>
        <w:trPr>
          <w:trHeight w:val="233"/>
        </w:trPr>
        <w:tc>
          <w:tcPr>
            <w:tcW w:w="8000" w:type="dxa"/>
            <w:vAlign w:val="bottom"/>
          </w:tcPr>
          <w:p>
            <w:pPr>
              <w:spacing w:after="0"/>
              <w:rPr>
                <w:sz w:val="20"/>
                <w:szCs w:val="20"/>
                <w:color w:val="auto"/>
              </w:rPr>
            </w:pPr>
            <w:r>
              <w:rPr>
                <w:rFonts w:ascii="Arial" w:cs="Arial" w:eastAsia="Arial" w:hAnsi="Arial"/>
                <w:sz w:val="14"/>
                <w:szCs w:val="14"/>
                <w:color w:val="auto"/>
              </w:rPr>
              <w:t>Non-cash items included in net (loss) income:</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Depreciation</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8.3</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Amortization</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8.8</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6.7</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Deferred tax expense (benefit)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Losses from equity method investments</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1.6</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Gain on acquisition</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Amortization of income taxes payable on inter-company transfers of property</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2.0</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Remeasurement of contingent consideration to fair value</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0.7</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Other</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45"/>
        </w:trPr>
        <w:tc>
          <w:tcPr>
            <w:tcW w:w="800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3"/>
        </w:trPr>
        <w:tc>
          <w:tcPr>
            <w:tcW w:w="8000" w:type="dxa"/>
            <w:vAlign w:val="bottom"/>
          </w:tcPr>
          <w:p>
            <w:pPr>
              <w:ind w:left="460"/>
              <w:spacing w:after="0"/>
              <w:rPr>
                <w:sz w:val="20"/>
                <w:szCs w:val="20"/>
                <w:color w:val="auto"/>
              </w:rPr>
            </w:pPr>
            <w:r>
              <w:rPr>
                <w:rFonts w:ascii="Arial" w:cs="Arial" w:eastAsia="Arial" w:hAnsi="Arial"/>
                <w:sz w:val="14"/>
                <w:szCs w:val="14"/>
                <w:color w:val="auto"/>
              </w:rPr>
              <w:t>Accounts receivable, net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9.1</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Inventories</w:t>
            </w:r>
          </w:p>
        </w:tc>
        <w:tc>
          <w:tcPr>
            <w:tcW w:w="1600" w:type="dxa"/>
            <w:vAlign w:val="bottom"/>
          </w:tcPr>
          <w:p>
            <w:pPr>
              <w:jc w:val="right"/>
              <w:spacing w:after="0"/>
              <w:rPr>
                <w:sz w:val="20"/>
                <w:szCs w:val="20"/>
                <w:color w:val="auto"/>
              </w:rPr>
            </w:pPr>
            <w:r>
              <w:rPr>
                <w:rFonts w:ascii="Arial" w:cs="Arial" w:eastAsia="Arial" w:hAnsi="Arial"/>
                <w:sz w:val="14"/>
                <w:szCs w:val="14"/>
                <w:color w:val="auto"/>
              </w:rPr>
              <w:t>(8.3)</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Other current and non-current assets</w:t>
            </w:r>
          </w:p>
        </w:tc>
        <w:tc>
          <w:tcPr>
            <w:tcW w:w="1600" w:type="dxa"/>
            <w:vAlign w:val="bottom"/>
          </w:tcPr>
          <w:p>
            <w:pPr>
              <w:jc w:val="right"/>
              <w:spacing w:after="0"/>
              <w:rPr>
                <w:sz w:val="20"/>
                <w:szCs w:val="20"/>
                <w:color w:val="auto"/>
              </w:rPr>
            </w:pPr>
            <w:r>
              <w:rPr>
                <w:rFonts w:ascii="Arial" w:cs="Arial" w:eastAsia="Arial" w:hAnsi="Arial"/>
                <w:sz w:val="14"/>
                <w:szCs w:val="14"/>
                <w:color w:val="auto"/>
              </w:rPr>
              <w:t>(23.4)</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Accounts payable and accrued current and non-current liabilities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5.7</w:t>
            </w:r>
          </w:p>
        </w:tc>
      </w:tr>
      <w:tr>
        <w:trPr>
          <w:trHeight w:val="246"/>
        </w:trPr>
        <w:tc>
          <w:tcPr>
            <w:tcW w:w="8000" w:type="dxa"/>
            <w:vAlign w:val="bottom"/>
          </w:tcPr>
          <w:p>
            <w:pPr>
              <w:ind w:left="460"/>
              <w:spacing w:after="0"/>
              <w:rPr>
                <w:sz w:val="20"/>
                <w:szCs w:val="20"/>
                <w:color w:val="auto"/>
              </w:rPr>
            </w:pPr>
            <w:r>
              <w:rPr>
                <w:rFonts w:ascii="Arial" w:cs="Arial" w:eastAsia="Arial" w:hAnsi="Arial"/>
                <w:sz w:val="14"/>
                <w:szCs w:val="14"/>
                <w:color w:val="auto"/>
              </w:rPr>
              <w:t>Restructuring reserve</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r>
      <w:tr>
        <w:trPr>
          <w:trHeight w:val="218"/>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cash provided by operating activities</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w:t>
            </w: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20.4</w:t>
            </w:r>
          </w:p>
        </w:tc>
      </w:tr>
      <w:tr>
        <w:trPr>
          <w:trHeight w:val="231"/>
        </w:trPr>
        <w:tc>
          <w:tcPr>
            <w:tcW w:w="80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3"/>
        </w:trPr>
        <w:tc>
          <w:tcPr>
            <w:tcW w:w="8000" w:type="dxa"/>
            <w:vAlign w:val="bottom"/>
          </w:tcPr>
          <w:p>
            <w:pPr>
              <w:ind w:left="460"/>
              <w:spacing w:after="0"/>
              <w:rPr>
                <w:sz w:val="20"/>
                <w:szCs w:val="20"/>
                <w:color w:val="auto"/>
              </w:rPr>
            </w:pPr>
            <w:r>
              <w:rPr>
                <w:rFonts w:ascii="Arial" w:cs="Arial" w:eastAsia="Arial" w:hAnsi="Arial"/>
                <w:sz w:val="14"/>
                <w:szCs w:val="14"/>
                <w:color w:val="auto"/>
              </w:rPr>
              <w:t>Acquisition, net of cash acquired</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(77.6)</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Purchases of property, plant and equipment and other</w:t>
            </w:r>
          </w:p>
        </w:tc>
        <w:tc>
          <w:tcPr>
            <w:tcW w:w="1600" w:type="dxa"/>
            <w:vAlign w:val="bottom"/>
          </w:tcPr>
          <w:p>
            <w:pPr>
              <w:jc w:val="right"/>
              <w:spacing w:after="0"/>
              <w:rPr>
                <w:sz w:val="20"/>
                <w:szCs w:val="20"/>
                <w:color w:val="auto"/>
              </w:rPr>
            </w:pPr>
            <w:r>
              <w:rPr>
                <w:rFonts w:ascii="Arial" w:cs="Arial" w:eastAsia="Arial" w:hAnsi="Arial"/>
                <w:sz w:val="14"/>
                <w:szCs w:val="14"/>
                <w:color w:val="auto"/>
              </w:rPr>
              <w:t>(5.7)</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46"/>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asset sales</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1"/>
                <w:szCs w:val="21"/>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r>
      <w:tr>
        <w:trPr>
          <w:trHeight w:val="218"/>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cash used in investing activities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(83.4)</w:t>
            </w:r>
          </w:p>
        </w:tc>
      </w:tr>
      <w:tr>
        <w:trPr>
          <w:trHeight w:val="231"/>
        </w:trPr>
        <w:tc>
          <w:tcPr>
            <w:tcW w:w="800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3"/>
        </w:trPr>
        <w:tc>
          <w:tcPr>
            <w:tcW w:w="8000" w:type="dxa"/>
            <w:vAlign w:val="bottom"/>
          </w:tcPr>
          <w:p>
            <w:pPr>
              <w:ind w:left="460"/>
              <w:spacing w:after="0"/>
              <w:rPr>
                <w:sz w:val="20"/>
                <w:szCs w:val="20"/>
                <w:color w:val="auto"/>
              </w:rPr>
            </w:pPr>
            <w:r>
              <w:rPr>
                <w:rFonts w:ascii="Arial" w:cs="Arial" w:eastAsia="Arial" w:hAnsi="Arial"/>
                <w:sz w:val="14"/>
                <w:szCs w:val="14"/>
                <w:color w:val="auto"/>
              </w:rPr>
              <w:t>Change in short-term borrowing, net</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15.5</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short-term borrowing (maturities greater than 90 days)</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20.0</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long-term debt obligations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Proceeds from exercise of stock options</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1.6</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Debt issuance costs</w:t>
            </w:r>
          </w:p>
        </w:tc>
        <w:tc>
          <w:tcPr>
            <w:tcW w:w="1600" w:type="dxa"/>
            <w:vAlign w:val="bottom"/>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20"/>
                <w:szCs w:val="20"/>
                <w:color w:val="auto"/>
              </w:rPr>
            </w:pPr>
          </w:p>
        </w:tc>
        <w:tc>
          <w:tcPr>
            <w:tcW w:w="15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39"/>
        </w:trPr>
        <w:tc>
          <w:tcPr>
            <w:tcW w:w="8000" w:type="dxa"/>
            <w:vAlign w:val="bottom"/>
          </w:tcPr>
          <w:p>
            <w:pPr>
              <w:ind w:left="460"/>
              <w:spacing w:after="0"/>
              <w:rPr>
                <w:sz w:val="20"/>
                <w:szCs w:val="20"/>
                <w:color w:val="auto"/>
              </w:rPr>
            </w:pPr>
            <w:r>
              <w:rPr>
                <w:rFonts w:ascii="Arial" w:cs="Arial" w:eastAsia="Arial" w:hAnsi="Arial"/>
                <w:sz w:val="14"/>
                <w:szCs w:val="14"/>
                <w:color w:val="auto"/>
              </w:rPr>
              <w:t>Shares repurchased from employees for minimum tax withholding</w:t>
            </w:r>
          </w:p>
        </w:tc>
        <w:tc>
          <w:tcPr>
            <w:tcW w:w="1600" w:type="dxa"/>
            <w:vAlign w:val="bottom"/>
          </w:tcPr>
          <w:p>
            <w:pPr>
              <w:jc w:val="right"/>
              <w:spacing w:after="0"/>
              <w:rPr>
                <w:sz w:val="20"/>
                <w:szCs w:val="20"/>
                <w:color w:val="auto"/>
              </w:rPr>
            </w:pPr>
            <w:r>
              <w:rPr>
                <w:rFonts w:ascii="Arial" w:cs="Arial" w:eastAsia="Arial" w:hAnsi="Arial"/>
                <w:sz w:val="14"/>
                <w:szCs w:val="14"/>
                <w:color w:val="auto"/>
              </w:rPr>
              <w:t>(4.6)</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46"/>
        </w:trPr>
        <w:tc>
          <w:tcPr>
            <w:tcW w:w="8000" w:type="dxa"/>
            <w:vAlign w:val="bottom"/>
          </w:tcPr>
          <w:p>
            <w:pPr>
              <w:ind w:left="460"/>
              <w:spacing w:after="0"/>
              <w:rPr>
                <w:sz w:val="20"/>
                <w:szCs w:val="20"/>
                <w:color w:val="auto"/>
              </w:rPr>
            </w:pPr>
            <w:r>
              <w:rPr>
                <w:rFonts w:ascii="Arial" w:cs="Arial" w:eastAsia="Arial" w:hAnsi="Arial"/>
                <w:sz w:val="14"/>
                <w:szCs w:val="14"/>
                <w:color w:val="auto"/>
              </w:rPr>
              <w:t>Other</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240" w:type="dxa"/>
            <w:vAlign w:val="bottom"/>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cash provided by financing activities</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32.0</w:t>
            </w:r>
          </w:p>
        </w:tc>
      </w:tr>
      <w:tr>
        <w:trPr>
          <w:trHeight w:val="216"/>
        </w:trPr>
        <w:tc>
          <w:tcPr>
            <w:tcW w:w="800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r>
      <w:tr>
        <w:trPr>
          <w:trHeight w:val="218"/>
        </w:trPr>
        <w:tc>
          <w:tcPr>
            <w:tcW w:w="8000" w:type="dxa"/>
            <w:vAlign w:val="bottom"/>
          </w:tcPr>
          <w:p>
            <w:pPr>
              <w:ind w:left="58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600" w:type="dxa"/>
            <w:vAlign w:val="bottom"/>
          </w:tcPr>
          <w:p>
            <w:pPr>
              <w:jc w:val="right"/>
              <w:ind w:right="48"/>
              <w:spacing w:after="0"/>
              <w:rPr>
                <w:sz w:val="20"/>
                <w:szCs w:val="20"/>
                <w:color w:val="auto"/>
              </w:rPr>
            </w:pPr>
            <w:r>
              <w:rPr>
                <w:rFonts w:ascii="Arial" w:cs="Arial" w:eastAsia="Arial" w:hAnsi="Arial"/>
                <w:sz w:val="14"/>
                <w:szCs w:val="14"/>
                <w:b w:val="1"/>
                <w:bCs w:val="1"/>
                <w:color w:val="auto"/>
              </w:rPr>
              <w:t>3.6</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(28.7)</w:t>
            </w:r>
          </w:p>
        </w:tc>
      </w:tr>
      <w:tr>
        <w:trPr>
          <w:trHeight w:val="240"/>
        </w:trPr>
        <w:tc>
          <w:tcPr>
            <w:tcW w:w="800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w:t>
            </w:r>
          </w:p>
        </w:tc>
      </w:tr>
      <w:tr>
        <w:trPr>
          <w:trHeight w:val="238"/>
        </w:trPr>
        <w:tc>
          <w:tcPr>
            <w:tcW w:w="8000" w:type="dxa"/>
            <w:vAlign w:val="bottom"/>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$50.8</w:t>
            </w:r>
          </w:p>
        </w:tc>
        <w:tc>
          <w:tcPr>
            <w:tcW w:w="240" w:type="dxa"/>
            <w:vAlign w:val="bottom"/>
          </w:tcPr>
          <w:p>
            <w:pPr>
              <w:spacing w:after="0"/>
              <w:rPr>
                <w:sz w:val="20"/>
                <w:szCs w:val="20"/>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$65.0</w:t>
            </w:r>
          </w:p>
        </w:tc>
      </w:tr>
      <w:tr>
        <w:trPr>
          <w:trHeight w:val="20"/>
        </w:trPr>
        <w:tc>
          <w:tcPr>
            <w:tcW w:w="8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460" w:hanging="460"/>
        <w:spacing w:after="0"/>
        <w:tabs>
          <w:tab w:leader="none" w:pos="4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Numbers may not add up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20"/>
          </w:cols>
          <w:pgMar w:left="260" w:top="731" w:right="219" w:bottom="1440" w:gutter="0" w:footer="0" w:header="0"/>
        </w:sectPr>
      </w:pPr>
    </w:p>
    <w:bookmarkStart w:id="17" w:name="page18"/>
    <w:bookmarkEnd w:id="17"/>
    <w:p>
      <w:pPr>
        <w:ind w:right="200"/>
        <w:spacing w:after="0" w:line="291" w:lineRule="auto"/>
        <w:rPr>
          <w:sz w:val="20"/>
          <w:szCs w:val="20"/>
          <w:color w:val="auto"/>
        </w:rPr>
      </w:pPr>
      <w:r>
        <w:rPr>
          <w:rFonts w:ascii="Arial" w:cs="Arial" w:eastAsia="Arial" w:hAnsi="Arial"/>
          <w:sz w:val="14"/>
          <w:szCs w:val="14"/>
          <w:color w:val="auto"/>
        </w:rPr>
        <w:t>The following table presents the reconciliation of GAAP diluted weighted average shares outstanding, used in the computation of GAAP diluted net loss per share from continuing operations, to Adjusted diluted weighted average shares outstanding, used in the computation of Adjusted diluted earnings per share from continuing operations (in millions of shares):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98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For the Three Months</w:t>
            </w:r>
          </w:p>
        </w:tc>
      </w:tr>
      <w:tr>
        <w:trPr>
          <w:trHeight w:val="167"/>
        </w:trPr>
        <w:tc>
          <w:tcPr>
            <w:tcW w:w="98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206"/>
        </w:trPr>
        <w:tc>
          <w:tcPr>
            <w:tcW w:w="982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2019</w:t>
            </w:r>
          </w:p>
        </w:tc>
      </w:tr>
      <w:tr>
        <w:trPr>
          <w:trHeight w:val="209"/>
        </w:trPr>
        <w:tc>
          <w:tcPr>
            <w:tcW w:w="9820" w:type="dxa"/>
            <w:vAlign w:val="bottom"/>
          </w:tcPr>
          <w:p>
            <w:pPr>
              <w:spacing w:after="0"/>
              <w:rPr>
                <w:sz w:val="20"/>
                <w:szCs w:val="20"/>
                <w:color w:val="auto"/>
              </w:rPr>
            </w:pPr>
            <w:r>
              <w:rPr>
                <w:rFonts w:ascii="Arial" w:cs="Arial" w:eastAsia="Arial" w:hAnsi="Arial"/>
                <w:sz w:val="14"/>
                <w:szCs w:val="14"/>
                <w:color w:val="auto"/>
              </w:rPr>
              <w:t>GAAP diluted weighted average shares outstanding</w:t>
            </w: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48.2</w:t>
            </w:r>
          </w:p>
        </w:tc>
      </w:tr>
      <w:tr>
        <w:trPr>
          <w:trHeight w:val="246"/>
        </w:trPr>
        <w:tc>
          <w:tcPr>
            <w:tcW w:w="9820" w:type="dxa"/>
            <w:vAlign w:val="bottom"/>
          </w:tcPr>
          <w:p>
            <w:pPr>
              <w:spacing w:after="0"/>
              <w:rPr>
                <w:sz w:val="20"/>
                <w:szCs w:val="20"/>
                <w:color w:val="auto"/>
              </w:rPr>
            </w:pPr>
            <w:r>
              <w:rPr>
                <w:rFonts w:ascii="Arial" w:cs="Arial" w:eastAsia="Arial" w:hAnsi="Arial"/>
                <w:sz w:val="14"/>
                <w:szCs w:val="14"/>
                <w:color w:val="auto"/>
              </w:rPr>
              <w:t>Add effects of stock-based compensation instruments</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r>
      <w:tr>
        <w:trPr>
          <w:trHeight w:val="214"/>
        </w:trPr>
        <w:tc>
          <w:tcPr>
            <w:tcW w:w="9820" w:type="dxa"/>
            <w:vAlign w:val="bottom"/>
          </w:tcPr>
          <w:p>
            <w:pPr>
              <w:spacing w:after="0" w:line="214" w:lineRule="exact"/>
              <w:rPr>
                <w:sz w:val="20"/>
                <w:szCs w:val="20"/>
                <w:color w:val="auto"/>
              </w:rPr>
            </w:pPr>
            <w:r>
              <w:rPr>
                <w:rFonts w:ascii="Arial" w:cs="Arial" w:eastAsia="Arial" w:hAnsi="Arial"/>
                <w:sz w:val="14"/>
                <w:szCs w:val="14"/>
                <w:color w:val="auto"/>
              </w:rPr>
              <w:t xml:space="preserve">Adjusted diluted weighted average shares outstanding </w:t>
            </w:r>
            <w:r>
              <w:rPr>
                <w:rFonts w:ascii="Arial" w:cs="Arial" w:eastAsia="Arial" w:hAnsi="Arial"/>
                <w:sz w:val="19"/>
                <w:szCs w:val="19"/>
                <w:color w:val="auto"/>
                <w:vertAlign w:val="superscript"/>
              </w:rPr>
              <w:t>(1)</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480" w:hanging="460"/>
        <w:spacing w:after="0"/>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Adjusted diluted weighted average shares outstanding is a Non-GAAP measure and includes the effects of stock-based compensation instruments, as reconciled in the above table.</w:t>
      </w:r>
    </w:p>
    <w:p>
      <w:pPr>
        <w:spacing w:after="0" w:line="4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2"/>
          <w:szCs w:val="12"/>
          <w:color w:val="auto"/>
        </w:rPr>
        <w:t>Numbers may not add up precisely due to rounding.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sectPr>
      <w:pgSz w:w="11900" w:h="16838" w:orient="portrait"/>
      <w:cols w:equalWidth="0" w:num="1">
        <w:col w:w="11440"/>
      </w:cols>
      <w:pgMar w:left="240" w:top="56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upperLetter"/>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upperLetter"/>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2019-12-28T13:25:31Z</dcterms:created>
  <dcterms:modified xsi:type="dcterms:W3CDTF">2019-12-28T13:25:31Z</dcterms:modified>
</cp:coreProperties>
</file>