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2)*</w:t>
      </w:r>
    </w:p>
    <w:p>
      <w:pPr>
        <w:spacing w:after="0" w:line="33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LivaNova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G5509L101</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2017</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919" w:right="1440" w:bottom="1440" w:gutter="0" w:footer="0" w:header="0"/>
        </w:sectPr>
      </w:pP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4,041,910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4,041,910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4,041,910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553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Templeton Investment Counsel, LLC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2,434,556</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2,827,156</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33,900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2,861,056</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90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6" w:lineRule="exact"/>
        <w:rPr>
          <w:sz w:val="20"/>
          <w:szCs w:val="20"/>
          <w:color w:val="auto"/>
        </w:rPr>
      </w:pPr>
    </w:p>
    <w:p>
      <w:pPr>
        <w:ind w:left="800" w:right="7559" w:hanging="592"/>
        <w:spacing w:after="0" w:line="412" w:lineRule="auto"/>
        <w:tabs>
          <w:tab w:leader="none" w:pos="84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LivaNova PLC</w:t>
      </w: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20 Eastbourne Terrace</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Templeton Investment Counsel, LLC</w:t>
      </w:r>
    </w:p>
    <w:p>
      <w:pPr>
        <w:spacing w:after="0" w:line="338"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300 S.E. 2nd Street</w:t>
      </w:r>
    </w:p>
    <w:p>
      <w:pPr>
        <w:spacing w:after="0" w:line="53" w:lineRule="exact"/>
        <w:rPr>
          <w:sz w:val="20"/>
          <w:szCs w:val="20"/>
          <w:color w:val="auto"/>
        </w:rPr>
      </w:pPr>
    </w:p>
    <w:p>
      <w:pPr>
        <w:ind w:left="1400"/>
        <w:spacing w:after="0"/>
        <w:tabs>
          <w:tab w:leader="none" w:pos="3660" w:val="left"/>
        </w:tabs>
        <w:rPr>
          <w:sz w:val="20"/>
          <w:szCs w:val="20"/>
          <w:color w:val="auto"/>
        </w:rPr>
      </w:pPr>
      <w:r>
        <w:rPr>
          <w:rFonts w:ascii="Courier New" w:cs="Courier New" w:eastAsia="Courier New" w:hAnsi="Courier New"/>
          <w:sz w:val="18"/>
          <w:szCs w:val="18"/>
          <w:color w:val="auto"/>
        </w:rPr>
        <w:t>Fort Lauderdale, FL</w:t>
        <w:tab/>
        <w:t>33301</w:t>
      </w:r>
    </w:p>
    <w:p>
      <w:pPr>
        <w:spacing w:after="0" w:line="161"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6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44" w:lineRule="exact"/>
        <w:rPr>
          <w:sz w:val="20"/>
          <w:szCs w:val="20"/>
          <w:color w:val="auto"/>
        </w:rPr>
      </w:pPr>
    </w:p>
    <w:p>
      <w:pPr>
        <w:ind w:left="800" w:right="7759" w:hanging="592"/>
        <w:spacing w:after="0" w:line="379"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215900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57" w:lineRule="exact"/>
        <w:rPr>
          <w:sz w:val="20"/>
          <w:szCs w:val="20"/>
          <w:color w:val="auto"/>
        </w:rPr>
      </w:pPr>
    </w:p>
    <w:p>
      <w:pPr>
        <w:ind w:left="900" w:right="80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U.S.C.78c).</w:t>
      </w:r>
    </w:p>
    <w:p>
      <w:pPr>
        <w:spacing w:after="0" w:line="135" w:lineRule="exact"/>
        <w:rPr>
          <w:rFonts w:ascii="Courier New" w:cs="Courier New" w:eastAsia="Courier New" w:hAnsi="Courier New"/>
          <w:sz w:val="18"/>
          <w:szCs w:val="18"/>
          <w:color w:val="auto"/>
        </w:rPr>
      </w:pPr>
    </w:p>
    <w:p>
      <w:pPr>
        <w:ind w:left="1600" w:right="740"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82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64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700"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580"/>
        <w:spacing w:after="0" w:line="215"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14" w:lineRule="exact"/>
        <w:rPr>
          <w:sz w:val="20"/>
          <w:szCs w:val="20"/>
          <w:color w:val="auto"/>
        </w:rPr>
      </w:pPr>
    </w:p>
    <w:p>
      <w:pPr>
        <w:ind w:left="200" w:firstLine="40"/>
        <w:spacing w:after="0" w:line="207"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and Franklin Advisory Services, LLC (“FAS”), each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and FAS are collectively, “FRI affiliates”). Furthermore, internal policies and procedures of FMA, FAS and FRI establish informational barriers that prevent the flow between FMA and FAS, on the one hand, and the FRI affiliates, on the other hand, of information that relates to the voting and investment powers over the securities owned by their respective management clients. Consequently, FMA and FAS report the securities over which they hold investment and voting power separately from the FRI affiliates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75565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80"/>
          </w:cols>
          <w:pgMar w:left="540" w:top="933" w:right="127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11440"/>
          </w:cols>
          <w:pgMar w:left="240" w:top="906" w:right="219" w:bottom="1440" w:gutter="0" w:footer="0" w:header="0"/>
        </w:sectPr>
      </w:pPr>
    </w:p>
    <w:p>
      <w:pPr>
        <w:spacing w:after="0" w:line="271" w:lineRule="exact"/>
        <w:rPr>
          <w:sz w:val="20"/>
          <w:szCs w:val="20"/>
          <w:color w:val="auto"/>
        </w:rPr>
      </w:pPr>
    </w:p>
    <w:p>
      <w:pPr>
        <w:ind w:left="500" w:right="1640"/>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500" w:right="1640"/>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40" w:lineRule="exact"/>
        <w:rPr>
          <w:sz w:val="20"/>
          <w:szCs w:val="20"/>
          <w:color w:val="auto"/>
        </w:rPr>
      </w:pPr>
    </w:p>
    <w:p>
      <w:pPr>
        <w:ind w:left="1700" w:right="6880" w:hanging="592"/>
        <w:spacing w:after="0" w:line="538" w:lineRule="auto"/>
        <w:tabs>
          <w:tab w:leader="none" w:pos="17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4,041,910</w:t>
      </w:r>
    </w:p>
    <w:p>
      <w:pPr>
        <w:spacing w:after="0" w:line="2" w:lineRule="exact"/>
        <w:rPr>
          <w:rFonts w:ascii="Courier New" w:cs="Courier New" w:eastAsia="Courier New" w:hAnsi="Courier New"/>
          <w:sz w:val="18"/>
          <w:szCs w:val="18"/>
          <w:color w:val="auto"/>
        </w:rPr>
      </w:pPr>
    </w:p>
    <w:p>
      <w:pPr>
        <w:ind w:left="1760" w:hanging="652"/>
        <w:spacing w:after="0"/>
        <w:tabs>
          <w:tab w:leader="none" w:pos="17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40" w:type="dxa"/>
            <w:vAlign w:val="bottom"/>
            <w:gridSpan w:val="2"/>
          </w:tcPr>
          <w:p>
            <w:pPr>
              <w:jc w:val="right"/>
              <w:ind w:right="5710"/>
              <w:spacing w:after="0"/>
              <w:rPr>
                <w:sz w:val="20"/>
                <w:szCs w:val="20"/>
                <w:color w:val="auto"/>
              </w:rPr>
            </w:pPr>
            <w:r>
              <w:rPr>
                <w:rFonts w:ascii="Courier New" w:cs="Courier New" w:eastAsia="Courier New" w:hAnsi="Courier New"/>
                <w:sz w:val="18"/>
                <w:szCs w:val="18"/>
                <w:color w:val="auto"/>
              </w:rPr>
              <w:t>8.4%</w:t>
            </w:r>
          </w:p>
        </w:tc>
        <w:tc>
          <w:tcPr>
            <w:tcW w:w="3500" w:type="dxa"/>
            <w:vAlign w:val="bottom"/>
          </w:tcPr>
          <w:p>
            <w:pPr>
              <w:spacing w:after="0"/>
              <w:rPr>
                <w:sz w:val="17"/>
                <w:szCs w:val="17"/>
                <w:color w:val="auto"/>
              </w:rPr>
            </w:pPr>
          </w:p>
        </w:tc>
      </w:tr>
      <w:tr>
        <w:trPr>
          <w:trHeight w:val="459"/>
        </w:trPr>
        <w:tc>
          <w:tcPr>
            <w:tcW w:w="7940" w:type="dxa"/>
            <w:vAlign w:val="bottom"/>
            <w:gridSpan w:val="2"/>
          </w:tcPr>
          <w:p>
            <w:pPr>
              <w:jc w:val="right"/>
              <w:ind w:right="1350"/>
              <w:spacing w:after="0"/>
              <w:rPr>
                <w:sz w:val="20"/>
                <w:szCs w:val="20"/>
                <w:color w:val="auto"/>
              </w:rPr>
            </w:pPr>
            <w:r>
              <w:rPr>
                <w:rFonts w:ascii="Courier New" w:cs="Courier New" w:eastAsia="Courier New" w:hAnsi="Courier New"/>
                <w:sz w:val="18"/>
                <w:szCs w:val="18"/>
                <w:color w:val="auto"/>
              </w:rPr>
              <w:t>(c)   Number of shares as to which the person has:</w:t>
            </w:r>
          </w:p>
        </w:tc>
        <w:tc>
          <w:tcPr>
            <w:tcW w:w="3500" w:type="dxa"/>
            <w:vAlign w:val="bottom"/>
          </w:tcPr>
          <w:p>
            <w:pPr>
              <w:spacing w:after="0"/>
              <w:rPr>
                <w:sz w:val="24"/>
                <w:szCs w:val="24"/>
                <w:color w:val="auto"/>
              </w:rPr>
            </w:pPr>
          </w:p>
        </w:tc>
      </w:tr>
      <w:tr>
        <w:trPr>
          <w:trHeight w:val="459"/>
        </w:trPr>
        <w:tc>
          <w:tcPr>
            <w:tcW w:w="1920" w:type="dxa"/>
            <w:vAlign w:val="bottom"/>
          </w:tcPr>
          <w:p>
            <w:pPr>
              <w:ind w:left="1500"/>
              <w:spacing w:after="0"/>
              <w:rPr>
                <w:sz w:val="20"/>
                <w:szCs w:val="20"/>
                <w:color w:val="auto"/>
              </w:rPr>
            </w:pPr>
            <w:r>
              <w:rPr>
                <w:rFonts w:ascii="Courier New" w:cs="Courier New" w:eastAsia="Courier New" w:hAnsi="Courier New"/>
                <w:sz w:val="18"/>
                <w:szCs w:val="18"/>
                <w:color w:val="auto"/>
              </w:rPr>
              <w:t>(i)</w:t>
            </w:r>
          </w:p>
        </w:tc>
        <w:tc>
          <w:tcPr>
            <w:tcW w:w="602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3500" w:type="dxa"/>
            <w:vAlign w:val="bottom"/>
          </w:tcPr>
          <w:p>
            <w:pPr>
              <w:spacing w:after="0"/>
              <w:rPr>
                <w:sz w:val="24"/>
                <w:szCs w:val="24"/>
                <w:color w:val="auto"/>
              </w:rPr>
            </w:pP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Franklin Resources, Inc.:</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Charles B. Johnson:</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Rupert H. Johnson, Jr.:</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Franklin Templeton Investments (Asia) Ltd.:</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30,357</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Templeton Investment Counsel, LLC:</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2,434,556</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Franklin Templeton Investments Corp.:</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491,137</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Templeton Global Advisors Limited:</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275,030</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Templeton Asset Management Ltd.:</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1,440</w:t>
            </w: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19,200</w:t>
            </w:r>
          </w:p>
        </w:tc>
      </w:tr>
      <w:tr>
        <w:trPr>
          <w:trHeight w:val="41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350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341,830</w:t>
            </w:r>
          </w:p>
        </w:tc>
      </w:tr>
      <w:tr>
        <w:trPr>
          <w:trHeight w:val="419"/>
        </w:trPr>
        <w:tc>
          <w:tcPr>
            <w:tcW w:w="1920" w:type="dxa"/>
            <w:vAlign w:val="bottom"/>
          </w:tcPr>
          <w:p>
            <w:pPr>
              <w:ind w:left="1400"/>
              <w:spacing w:after="0"/>
              <w:rPr>
                <w:sz w:val="20"/>
                <w:szCs w:val="20"/>
                <w:color w:val="auto"/>
              </w:rPr>
            </w:pPr>
            <w:r>
              <w:rPr>
                <w:rFonts w:ascii="Courier New" w:cs="Courier New" w:eastAsia="Courier New" w:hAnsi="Courier New"/>
                <w:sz w:val="18"/>
                <w:szCs w:val="18"/>
                <w:color w:val="auto"/>
              </w:rPr>
              <w:t>(ii)</w:t>
            </w:r>
          </w:p>
        </w:tc>
        <w:tc>
          <w:tcPr>
            <w:tcW w:w="6020" w:type="dxa"/>
            <w:vAlign w:val="bottom"/>
          </w:tcPr>
          <w:p>
            <w:pPr>
              <w:ind w:left="14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3500" w:type="dxa"/>
            <w:vAlign w:val="bottom"/>
          </w:tcPr>
          <w:p>
            <w:pPr>
              <w:spacing w:after="0"/>
              <w:rPr>
                <w:sz w:val="24"/>
                <w:szCs w:val="24"/>
                <w:color w:val="auto"/>
              </w:rPr>
            </w:pPr>
          </w:p>
        </w:tc>
      </w:tr>
      <w:tr>
        <w:trPr>
          <w:trHeight w:val="459"/>
        </w:trPr>
        <w:tc>
          <w:tcPr>
            <w:tcW w:w="192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Courier New" w:cs="Courier New" w:eastAsia="Courier New" w:hAnsi="Courier New"/>
                <w:sz w:val="18"/>
                <w:szCs w:val="18"/>
                <w:color w:val="auto"/>
              </w:rPr>
              <w:t>0</w:t>
            </w:r>
          </w:p>
        </w:tc>
        <w:tc>
          <w:tcPr>
            <w:tcW w:w="3500" w:type="dxa"/>
            <w:vAlign w:val="bottom"/>
          </w:tcPr>
          <w:p>
            <w:pPr>
              <w:spacing w:after="0"/>
              <w:rPr>
                <w:sz w:val="24"/>
                <w:szCs w:val="24"/>
                <w:color w:val="auto"/>
              </w:rPr>
            </w:pPr>
          </w:p>
        </w:tc>
      </w:tr>
      <w:tr>
        <w:trPr>
          <w:trHeight w:val="444"/>
        </w:trPr>
        <w:tc>
          <w:tcPr>
            <w:tcW w:w="192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6" w:right="219" w:bottom="1440" w:gutter="0" w:footer="0" w:header="0"/>
          <w:type w:val="continuous"/>
        </w:sectPr>
      </w:pPr>
    </w:p>
    <w:bookmarkStart w:id="9" w:name="page10"/>
    <w:bookmarkEnd w:id="9"/>
    <w:p>
      <w:pPr>
        <w:ind w:left="292"/>
        <w:spacing w:after="0"/>
        <w:tabs>
          <w:tab w:leader="none" w:pos="5252" w:val="left"/>
          <w:tab w:leader="none" w:pos="8592"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pacing w:after="0" w:line="242" w:lineRule="exact"/>
        <w:rPr>
          <w:sz w:val="20"/>
          <w:szCs w:val="20"/>
          <w:color w:val="auto"/>
        </w:rPr>
      </w:pPr>
    </w:p>
    <w:p>
      <w:pPr>
        <w:ind w:left="2052" w:hanging="752"/>
        <w:spacing w:after="0"/>
        <w:tabs>
          <w:tab w:leader="none" w:pos="20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992" w:type="dxa"/>
        <w:tblCellMar>
          <w:top w:w="0" w:type="dxa"/>
          <w:left w:w="0" w:type="dxa"/>
          <w:bottom w:w="0" w:type="dxa"/>
          <w:right w:w="0" w:type="dxa"/>
        </w:tblCellMar>
      </w:tblPr>
      <w:tr>
        <w:trPr>
          <w:trHeight w:val="204"/>
        </w:trPr>
        <w:tc>
          <w:tcPr>
            <w:tcW w:w="59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2,827,156</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491,137</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363,690</w:t>
            </w:r>
          </w:p>
        </w:tc>
      </w:tr>
      <w:tr>
        <w:trPr>
          <w:trHeight w:val="419"/>
        </w:trPr>
        <w:tc>
          <w:tcPr>
            <w:tcW w:w="5940" w:type="dxa"/>
            <w:vAlign w:val="bottom"/>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275,030</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(Asia) Ltd.: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30,357</w:t>
            </w:r>
          </w:p>
        </w:tc>
      </w:tr>
      <w:tr>
        <w:trPr>
          <w:trHeight w:val="459"/>
        </w:trPr>
        <w:tc>
          <w:tcPr>
            <w:tcW w:w="59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19,200</w:t>
            </w:r>
          </w:p>
        </w:tc>
      </w:tr>
      <w:tr>
        <w:trPr>
          <w:trHeight w:val="419"/>
        </w:trPr>
        <w:tc>
          <w:tcPr>
            <w:tcW w:w="5940" w:type="dxa"/>
            <w:vAlign w:val="bottom"/>
          </w:tcPr>
          <w:p>
            <w:pPr>
              <w:spacing w:after="0"/>
              <w:rPr>
                <w:sz w:val="20"/>
                <w:szCs w:val="20"/>
                <w:color w:val="auto"/>
              </w:rPr>
            </w:pPr>
            <w:r>
              <w:rPr>
                <w:rFonts w:ascii="Courier New" w:cs="Courier New" w:eastAsia="Courier New" w:hAnsi="Courier New"/>
                <w:sz w:val="18"/>
                <w:szCs w:val="18"/>
                <w:color w:val="auto"/>
              </w:rPr>
              <w:t>Templeton Asset Management Ltd.:</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1,440</w:t>
            </w:r>
          </w:p>
        </w:tc>
      </w:tr>
    </w:tbl>
    <w:p>
      <w:pPr>
        <w:spacing w:after="0" w:line="242" w:lineRule="exact"/>
        <w:rPr>
          <w:sz w:val="20"/>
          <w:szCs w:val="20"/>
          <w:color w:val="auto"/>
        </w:rPr>
      </w:pPr>
    </w:p>
    <w:p>
      <w:pPr>
        <w:ind w:left="2112" w:hanging="762"/>
        <w:spacing w:after="0"/>
        <w:tabs>
          <w:tab w:leader="none" w:pos="21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Shared power to dispose or to direct the disposition of </w:t>
      </w:r>
      <w:hyperlink w:anchor="page10">
        <w:r>
          <w:rPr>
            <w:rFonts w:ascii="Courier New" w:cs="Courier New" w:eastAsia="Courier New" w:hAnsi="Courier New"/>
            <w:sz w:val="30"/>
            <w:szCs w:val="30"/>
            <w:u w:val="single" w:color="auto"/>
            <w:color w:val="0000EE"/>
            <w:vertAlign w:val="superscript"/>
          </w:rPr>
          <w:t>[1]</w:t>
        </w:r>
      </w:hyperlink>
    </w:p>
    <w:p>
      <w:pPr>
        <w:spacing w:after="0" w:line="160" w:lineRule="exact"/>
        <w:rPr>
          <w:sz w:val="20"/>
          <w:szCs w:val="20"/>
          <w:color w:val="auto"/>
        </w:rPr>
      </w:pPr>
    </w:p>
    <w:tbl>
      <w:tblPr>
        <w:tblLayout w:type="fixed"/>
        <w:tblInd w:w="1992" w:type="dxa"/>
        <w:tblCellMar>
          <w:top w:w="0" w:type="dxa"/>
          <w:left w:w="0" w:type="dxa"/>
          <w:bottom w:w="0" w:type="dxa"/>
          <w:right w:w="0" w:type="dxa"/>
        </w:tblCellMar>
      </w:tblPr>
      <w:tr>
        <w:trPr>
          <w:trHeight w:val="204"/>
        </w:trPr>
        <w:tc>
          <w:tcPr>
            <w:tcW w:w="530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33,900</w:t>
            </w:r>
          </w:p>
        </w:tc>
      </w:tr>
    </w:tbl>
    <w:p>
      <w:pPr>
        <w:spacing w:after="0" w:line="269" w:lineRule="exact"/>
        <w:rPr>
          <w:sz w:val="20"/>
          <w:szCs w:val="20"/>
          <w:color w:val="auto"/>
        </w:rPr>
      </w:pPr>
    </w:p>
    <w:p>
      <w:pPr>
        <w:ind w:left="492"/>
        <w:spacing w:after="0"/>
        <w:tabs>
          <w:tab w:leader="none" w:pos="1452"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49" w:lineRule="exact"/>
        <w:rPr>
          <w:sz w:val="20"/>
          <w:szCs w:val="20"/>
          <w:color w:val="auto"/>
        </w:rPr>
      </w:pPr>
    </w:p>
    <w:p>
      <w:pPr>
        <w:ind w:left="1392"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492"/>
        <w:spacing w:after="0"/>
        <w:tabs>
          <w:tab w:leader="none" w:pos="1452"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392"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392" w:right="1179" w:hanging="899"/>
        <w:spacing w:after="0" w:line="283" w:lineRule="auto"/>
        <w:tabs>
          <w:tab w:leader="none" w:pos="1372"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392"/>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492"/>
        <w:spacing w:after="0"/>
        <w:tabs>
          <w:tab w:leader="none" w:pos="1452"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392"/>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492"/>
        <w:spacing w:after="0"/>
        <w:tabs>
          <w:tab w:leader="none" w:pos="1452"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392"/>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242252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318" w:lineRule="exact"/>
        <w:rPr>
          <w:sz w:val="20"/>
          <w:szCs w:val="20"/>
          <w:color w:val="auto"/>
        </w:rPr>
      </w:pPr>
    </w:p>
    <w:p>
      <w:pPr>
        <w:ind w:left="492" w:right="539" w:hanging="492"/>
        <w:spacing w:after="0" w:line="214" w:lineRule="exact"/>
        <w:tabs>
          <w:tab w:leader="none" w:pos="492" w:val="left"/>
        </w:tabs>
        <w:numPr>
          <w:ilvl w:val="0"/>
          <w:numId w:val="34"/>
        </w:numPr>
        <w:rPr>
          <w:rFonts w:ascii="Arial" w:cs="Arial" w:eastAsia="Arial" w:hAnsi="Arial"/>
          <w:sz w:val="36"/>
          <w:szCs w:val="36"/>
          <w:u w:val="single" w:color="auto"/>
          <w:color w:val="0000EE"/>
          <w:vertAlign w:val="superscript"/>
        </w:rPr>
      </w:pPr>
      <w:r>
        <w:rPr>
          <w:rFonts w:ascii="Courier New" w:cs="Courier New" w:eastAsia="Courier New" w:hAnsi="Courier New"/>
          <w:sz w:val="18"/>
          <w:szCs w:val="18"/>
          <w:color w:val="auto"/>
        </w:rPr>
        <w:t>One or more of the investment management contracts that relates to these securities provides that the applicable FRI affiliate share investment power over the securities held in the applicable account(s) with another unaffiliated entity. The securities held in any such account(s) are less than 5% of the outstanding shares of the class. In addition, FRI does not believe that any such contract causes such client or unaffiliated entity to be part of a group with FRI or any FRI affiliate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457835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906" w:right="1440" w:bottom="1440" w:gutter="0" w:footer="0" w:header="0"/>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919" w:right="1440" w:bottom="1440" w:gutter="0" w:footer="0" w:header="0"/>
        </w:sectPr>
      </w:pPr>
    </w:p>
    <w:p>
      <w:pPr>
        <w:spacing w:after="0" w:line="16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0"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3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6"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31, 2018</w:t>
      </w:r>
    </w:p>
    <w:p>
      <w:pPr>
        <w:spacing w:after="0" w:line="2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8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Templeton Investment Counsel, LLC</w:t>
      </w:r>
    </w:p>
    <w:p>
      <w:pPr>
        <w:spacing w:after="0" w:line="25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45"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3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Secretary of Templeton Investment Counsel,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427990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906" w:right="1440" w:bottom="1440" w:gutter="0" w:footer="0" w:header="0"/>
        </w:sectPr>
      </w:pP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90"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31, 2018.</w:t>
      </w:r>
    </w:p>
    <w:p>
      <w:pPr>
        <w:spacing w:after="0" w:line="13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8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Templeton Investment Counsel, LLC</w:t>
      </w:r>
    </w:p>
    <w:p>
      <w:pPr>
        <w:spacing w:after="0" w:line="25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45"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30"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Vice President and Secretary of Templeton Investment Counsel,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419735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2" w:name="page13"/>
    <w:bookmarkEnd w:id="12"/>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147"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EXHIBIT B</w:t>
      </w:r>
    </w:p>
    <w:p>
      <w:pPr>
        <w:spacing w:after="0" w:line="26"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5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760"/>
        <w:spacing w:after="0"/>
        <w:rPr>
          <w:sz w:val="20"/>
          <w:szCs w:val="20"/>
          <w:color w:val="auto"/>
        </w:rPr>
      </w:pPr>
      <w:r>
        <w:rPr>
          <w:rFonts w:ascii="Courier New" w:cs="Courier New" w:eastAsia="Courier New" w:hAnsi="Courier New"/>
          <w:sz w:val="18"/>
          <w:szCs w:val="18"/>
          <w:u w:val="single" w:color="auto"/>
          <w:color w:val="auto"/>
        </w:rPr>
        <w:t>SECTION 13 AND 16 REPORTING OBLIGATIONS</w:t>
      </w:r>
    </w:p>
    <w:p>
      <w:pPr>
        <w:spacing w:after="0" w:line="244" w:lineRule="exact"/>
        <w:rPr>
          <w:sz w:val="20"/>
          <w:szCs w:val="20"/>
          <w:color w:val="auto"/>
        </w:rPr>
      </w:pPr>
    </w:p>
    <w:p>
      <w:pPr>
        <w:ind w:firstLine="26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Karen L. Skidmore,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30" w:lineRule="exact"/>
        <w:rPr>
          <w:sz w:val="20"/>
          <w:szCs w:val="20"/>
          <w:color w:val="auto"/>
        </w:rPr>
      </w:pPr>
    </w:p>
    <w:p>
      <w:pPr>
        <w:ind w:right="60" w:firstLine="8"/>
        <w:spacing w:after="0" w:line="226" w:lineRule="exact"/>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1" w:lineRule="exact"/>
        <w:rPr>
          <w:rFonts w:ascii="Courier New" w:cs="Courier New" w:eastAsia="Courier New" w:hAnsi="Courier New"/>
          <w:sz w:val="18"/>
          <w:szCs w:val="18"/>
          <w:color w:val="auto"/>
        </w:rPr>
      </w:pPr>
    </w:p>
    <w:p>
      <w:pPr>
        <w:ind w:right="600" w:firstLine="8"/>
        <w:spacing w:after="0" w:line="269"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left="540" w:hanging="532"/>
        <w:spacing w:after="0" w:line="209" w:lineRule="exact"/>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w:t>
      </w:r>
    </w:p>
    <w:p>
      <w:pPr>
        <w:spacing w:after="0" w:line="2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or desirable for and on behalf of the undersigned in connection with the foregoing.</w:t>
      </w:r>
    </w:p>
    <w:p>
      <w:pPr>
        <w:spacing w:after="0" w:line="242"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6"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w:t>
      </w:r>
    </w:p>
    <w:p>
      <w:pPr>
        <w:spacing w:after="0" w:line="28" w:lineRule="exact"/>
        <w:rPr>
          <w:sz w:val="20"/>
          <w:szCs w:val="20"/>
          <w:color w:val="auto"/>
        </w:rPr>
      </w:pPr>
    </w:p>
    <w:p>
      <w:pPr>
        <w:ind w:right="280"/>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9" w:lineRule="exact"/>
        <w:rPr>
          <w:sz w:val="20"/>
          <w:szCs w:val="20"/>
          <w:color w:val="auto"/>
        </w:rPr>
      </w:pPr>
    </w:p>
    <w:p>
      <w:pPr>
        <w:ind w:right="280" w:firstLine="8"/>
        <w:spacing w:after="0" w:line="223" w:lineRule="exact"/>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right="60" w:firstLine="8"/>
        <w:spacing w:after="0" w:line="224" w:lineRule="exact"/>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ind w:right="280" w:firstLine="8"/>
        <w:spacing w:after="0" w:line="269"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3" w:lineRule="exact"/>
        <w:rPr>
          <w:rFonts w:ascii="Courier New" w:cs="Courier New" w:eastAsia="Courier New" w:hAnsi="Courier New"/>
          <w:sz w:val="18"/>
          <w:szCs w:val="18"/>
          <w:color w:val="auto"/>
        </w:rPr>
      </w:pPr>
    </w:p>
    <w:p>
      <w:pPr>
        <w:ind w:right="60" w:firstLine="266"/>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1" w:lineRule="exact"/>
        <w:rPr>
          <w:rFonts w:ascii="Courier New" w:cs="Courier New" w:eastAsia="Courier New" w:hAnsi="Courier New"/>
          <w:sz w:val="18"/>
          <w:szCs w:val="18"/>
          <w:color w:val="auto"/>
        </w:rPr>
      </w:pPr>
    </w:p>
    <w:p>
      <w:pPr>
        <w:ind w:right="340" w:firstLine="266"/>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 w:lineRule="exact"/>
        <w:rPr>
          <w:rFonts w:ascii="Courier New" w:cs="Courier New" w:eastAsia="Courier New" w:hAnsi="Courier New"/>
          <w:sz w:val="18"/>
          <w:szCs w:val="18"/>
          <w:color w:val="auto"/>
        </w:rPr>
      </w:pPr>
    </w:p>
    <w:p>
      <w:pPr>
        <w:ind w:left="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w:t>
      </w:r>
    </w:p>
    <w:p>
      <w:pPr>
        <w:spacing w:after="0" w:line="26" w:lineRule="exact"/>
        <w:rPr>
          <w:sz w:val="20"/>
          <w:szCs w:val="20"/>
          <w:color w:val="auto"/>
        </w:rPr>
      </w:pPr>
    </w:p>
    <w:p>
      <w:pPr>
        <w:spacing w:after="0"/>
        <w:tabs>
          <w:tab w:leader="none" w:pos="1600" w:val="left"/>
          <w:tab w:leader="none" w:pos="3340" w:val="left"/>
          <w:tab w:leader="none" w:pos="4640" w:val="left"/>
          <w:tab w:leader="none" w:pos="6260" w:val="left"/>
        </w:tabs>
        <w:rPr>
          <w:sz w:val="20"/>
          <w:szCs w:val="20"/>
          <w:color w:val="auto"/>
        </w:rPr>
      </w:pPr>
      <w:r>
        <w:rPr>
          <w:rFonts w:ascii="Courier New" w:cs="Courier New" w:eastAsia="Courier New" w:hAnsi="Courier New"/>
          <w:sz w:val="18"/>
          <w:szCs w:val="18"/>
          <w:color w:val="auto"/>
        </w:rPr>
        <w:t>as of this</w:t>
      </w:r>
      <w:r>
        <w:rPr>
          <w:sz w:val="20"/>
          <w:szCs w:val="20"/>
          <w:color w:val="auto"/>
        </w:rPr>
        <w:tab/>
      </w:r>
      <w:r>
        <w:rPr>
          <w:rFonts w:ascii="Courier New" w:cs="Courier New" w:eastAsia="Courier New" w:hAnsi="Courier New"/>
          <w:sz w:val="18"/>
          <w:szCs w:val="18"/>
          <w:color w:val="auto"/>
        </w:rPr>
        <w:t>27th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7"/>
          <w:szCs w:val="17"/>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-23495</wp:posOffset>
            </wp:positionV>
            <wp:extent cx="3292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2475" cy="8890"/>
                    </a:xfrm>
                    <a:prstGeom prst="rect">
                      <a:avLst/>
                    </a:prstGeom>
                    <a:noFill/>
                  </pic:spPr>
                </pic:pic>
              </a:graphicData>
            </a:graphic>
          </wp:anchor>
        </w:drawing>
      </w:r>
    </w:p>
    <w:p>
      <w:pPr>
        <w:spacing w:after="0" w:line="222"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410845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340" w:top="906" w:right="1339" w:bottom="1440" w:gutter="0" w:footer="0" w:header="0"/>
        </w:sectPr>
      </w:pPr>
    </w:p>
    <w:bookmarkStart w:id="13" w:name="page14"/>
    <w:bookmarkEnd w:id="13"/>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147"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5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760"/>
        <w:spacing w:after="0"/>
        <w:rPr>
          <w:sz w:val="20"/>
          <w:szCs w:val="20"/>
          <w:color w:val="auto"/>
        </w:rPr>
      </w:pPr>
      <w:r>
        <w:rPr>
          <w:rFonts w:ascii="Courier New" w:cs="Courier New" w:eastAsia="Courier New" w:hAnsi="Courier New"/>
          <w:sz w:val="18"/>
          <w:szCs w:val="18"/>
          <w:u w:val="single" w:color="auto"/>
          <w:color w:val="auto"/>
        </w:rPr>
        <w:t>SECTION 13 AND 16 REPORTING OBLIGATIONS</w:t>
      </w:r>
    </w:p>
    <w:p>
      <w:pPr>
        <w:spacing w:after="0" w:line="244" w:lineRule="exact"/>
        <w:rPr>
          <w:sz w:val="20"/>
          <w:szCs w:val="20"/>
          <w:color w:val="auto"/>
        </w:rPr>
      </w:pPr>
    </w:p>
    <w:p>
      <w:pPr>
        <w:ind w:firstLine="26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Karen L. Skidmore,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30" w:lineRule="exact"/>
        <w:rPr>
          <w:sz w:val="20"/>
          <w:szCs w:val="20"/>
          <w:color w:val="auto"/>
        </w:rPr>
      </w:pPr>
    </w:p>
    <w:p>
      <w:pPr>
        <w:ind w:right="60" w:firstLine="8"/>
        <w:spacing w:after="0" w:line="226" w:lineRule="exact"/>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1" w:lineRule="exact"/>
        <w:rPr>
          <w:rFonts w:ascii="Courier New" w:cs="Courier New" w:eastAsia="Courier New" w:hAnsi="Courier New"/>
          <w:sz w:val="18"/>
          <w:szCs w:val="18"/>
          <w:color w:val="auto"/>
        </w:rPr>
      </w:pPr>
    </w:p>
    <w:p>
      <w:pPr>
        <w:ind w:right="600" w:firstLine="8"/>
        <w:spacing w:after="0" w:line="269"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left="540" w:hanging="532"/>
        <w:spacing w:after="0" w:line="209" w:lineRule="exact"/>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w:t>
      </w:r>
    </w:p>
    <w:p>
      <w:pPr>
        <w:spacing w:after="0" w:line="2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or desirable for and on behalf of the undersigned in connection with the foregoing.</w:t>
      </w:r>
    </w:p>
    <w:p>
      <w:pPr>
        <w:spacing w:after="0" w:line="242"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6"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w:t>
      </w:r>
    </w:p>
    <w:p>
      <w:pPr>
        <w:spacing w:after="0" w:line="28" w:lineRule="exact"/>
        <w:rPr>
          <w:sz w:val="20"/>
          <w:szCs w:val="20"/>
          <w:color w:val="auto"/>
        </w:rPr>
      </w:pPr>
    </w:p>
    <w:p>
      <w:pPr>
        <w:ind w:right="280"/>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9" w:lineRule="exact"/>
        <w:rPr>
          <w:sz w:val="20"/>
          <w:szCs w:val="20"/>
          <w:color w:val="auto"/>
        </w:rPr>
      </w:pPr>
    </w:p>
    <w:p>
      <w:pPr>
        <w:ind w:right="280" w:firstLine="8"/>
        <w:spacing w:after="0" w:line="223" w:lineRule="exact"/>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right="60" w:firstLine="8"/>
        <w:spacing w:after="0" w:line="224" w:lineRule="exact"/>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ind w:right="280" w:firstLine="8"/>
        <w:spacing w:after="0" w:line="269"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3" w:lineRule="exact"/>
        <w:rPr>
          <w:rFonts w:ascii="Courier New" w:cs="Courier New" w:eastAsia="Courier New" w:hAnsi="Courier New"/>
          <w:sz w:val="18"/>
          <w:szCs w:val="18"/>
          <w:color w:val="auto"/>
        </w:rPr>
      </w:pPr>
    </w:p>
    <w:p>
      <w:pPr>
        <w:ind w:right="60" w:firstLine="266"/>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1" w:lineRule="exact"/>
        <w:rPr>
          <w:rFonts w:ascii="Courier New" w:cs="Courier New" w:eastAsia="Courier New" w:hAnsi="Courier New"/>
          <w:sz w:val="18"/>
          <w:szCs w:val="18"/>
          <w:color w:val="auto"/>
        </w:rPr>
      </w:pPr>
    </w:p>
    <w:p>
      <w:pPr>
        <w:ind w:right="340" w:firstLine="266"/>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 w:lineRule="exact"/>
        <w:rPr>
          <w:rFonts w:ascii="Courier New" w:cs="Courier New" w:eastAsia="Courier New" w:hAnsi="Courier New"/>
          <w:sz w:val="18"/>
          <w:szCs w:val="18"/>
          <w:color w:val="auto"/>
        </w:rPr>
      </w:pPr>
    </w:p>
    <w:p>
      <w:pPr>
        <w:ind w:left="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w:t>
      </w:r>
    </w:p>
    <w:p>
      <w:pPr>
        <w:spacing w:after="0" w:line="26" w:lineRule="exact"/>
        <w:rPr>
          <w:sz w:val="20"/>
          <w:szCs w:val="20"/>
          <w:color w:val="auto"/>
        </w:rPr>
      </w:pPr>
    </w:p>
    <w:p>
      <w:pPr>
        <w:spacing w:after="0"/>
        <w:tabs>
          <w:tab w:leader="none" w:pos="1600" w:val="left"/>
          <w:tab w:leader="none" w:pos="3340" w:val="left"/>
          <w:tab w:leader="none" w:pos="4640" w:val="left"/>
          <w:tab w:leader="none" w:pos="6260" w:val="left"/>
        </w:tabs>
        <w:rPr>
          <w:sz w:val="20"/>
          <w:szCs w:val="20"/>
          <w:color w:val="auto"/>
        </w:rPr>
      </w:pPr>
      <w:r>
        <w:rPr>
          <w:rFonts w:ascii="Courier New" w:cs="Courier New" w:eastAsia="Courier New" w:hAnsi="Courier New"/>
          <w:sz w:val="18"/>
          <w:szCs w:val="18"/>
          <w:color w:val="auto"/>
        </w:rPr>
        <w:t>as of this</w:t>
      </w:r>
      <w:r>
        <w:rPr>
          <w:sz w:val="20"/>
          <w:szCs w:val="20"/>
          <w:color w:val="auto"/>
        </w:rPr>
        <w:tab/>
      </w:r>
      <w:r>
        <w:rPr>
          <w:rFonts w:ascii="Courier New" w:cs="Courier New" w:eastAsia="Courier New" w:hAnsi="Courier New"/>
          <w:sz w:val="18"/>
          <w:szCs w:val="18"/>
          <w:color w:val="auto"/>
        </w:rPr>
        <w:t>27th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7"/>
          <w:szCs w:val="17"/>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-23495</wp:posOffset>
            </wp:positionV>
            <wp:extent cx="3292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92475" cy="8890"/>
                    </a:xfrm>
                    <a:prstGeom prst="rect">
                      <a:avLst/>
                    </a:prstGeom>
                    <a:noFill/>
                  </pic:spPr>
                </pic:pic>
              </a:graphicData>
            </a:graphic>
          </wp:anchor>
        </w:drawing>
      </w:r>
    </w:p>
    <w:p>
      <w:pPr>
        <w:spacing w:after="0" w:line="222"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454025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340" w:top="906" w:right="1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516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CUSIP NO. G5509L101</w:t>
            </w:r>
          </w:p>
        </w:tc>
        <w:tc>
          <w:tcPr>
            <w:tcW w:w="120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1340" w:type="dxa"/>
            <w:vAlign w:val="bottom"/>
          </w:tcPr>
          <w:p>
            <w:pPr>
              <w:spacing w:after="0"/>
              <w:rPr>
                <w:sz w:val="17"/>
                <w:szCs w:val="17"/>
                <w:color w:val="auto"/>
              </w:rPr>
            </w:pPr>
          </w:p>
        </w:tc>
        <w:tc>
          <w:tcPr>
            <w:tcW w:w="2320" w:type="dxa"/>
            <w:vAlign w:val="bottom"/>
          </w:tcPr>
          <w:p>
            <w:pPr>
              <w:ind w:left="92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516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EXHIBIT C</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9"/>
        </w:trPr>
        <w:tc>
          <w:tcPr>
            <w:tcW w:w="6360" w:type="dxa"/>
            <w:vAlign w:val="bottom"/>
            <w:gridSpan w:val="3"/>
          </w:tcPr>
          <w:p>
            <w:pPr>
              <w:ind w:left="50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366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516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Franklin Templeton Investments (Asia) Ltd.</w:t>
            </w:r>
          </w:p>
        </w:tc>
        <w:tc>
          <w:tcPr>
            <w:tcW w:w="1200" w:type="dxa"/>
            <w:vAlign w:val="bottom"/>
          </w:tcPr>
          <w:p>
            <w:pPr>
              <w:spacing w:after="0"/>
              <w:rPr>
                <w:sz w:val="24"/>
                <w:szCs w:val="24"/>
                <w:color w:val="auto"/>
              </w:rPr>
            </w:pPr>
          </w:p>
        </w:tc>
        <w:tc>
          <w:tcPr>
            <w:tcW w:w="366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516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Franklin Templeton Investments Corp.</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516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Templeton Asset Management Ltd.</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516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Templeton Global Advisors Limited</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5160" w:type="dxa"/>
            <w:vAlign w:val="bottom"/>
            <w:gridSpan w:val="2"/>
          </w:tcPr>
          <w:p>
            <w:pPr>
              <w:ind w:left="500"/>
              <w:spacing w:after="0"/>
              <w:rPr>
                <w:sz w:val="20"/>
                <w:szCs w:val="20"/>
                <w:color w:val="auto"/>
              </w:rPr>
            </w:pPr>
            <w:r>
              <w:rPr>
                <w:rFonts w:ascii="Courier New" w:cs="Courier New" w:eastAsia="Courier New" w:hAnsi="Courier New"/>
                <w:sz w:val="18"/>
                <w:szCs w:val="18"/>
                <w:color w:val="auto"/>
              </w:rPr>
              <w:t>Templeton Investment Counsel, LLC</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46"/>
        </w:trPr>
        <w:tc>
          <w:tcPr>
            <w:tcW w:w="636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3660" w:type="dxa"/>
            <w:vAlign w:val="bottom"/>
            <w:gridSpan w:val="2"/>
          </w:tcPr>
          <w:p>
            <w:pPr>
              <w:ind w:left="660"/>
              <w:spacing w:after="0"/>
              <w:rPr>
                <w:sz w:val="20"/>
                <w:szCs w:val="20"/>
                <w:color w:val="auto"/>
              </w:rPr>
            </w:pPr>
            <w:r>
              <w:rPr>
                <w:rFonts w:ascii="Courier New" w:cs="Courier New" w:eastAsia="Courier New" w:hAnsi="Courier New"/>
                <w:sz w:val="18"/>
                <w:szCs w:val="18"/>
                <w:color w:val="auto"/>
              </w:rPr>
              <w:t>Item 3 Classification: 3(b)</w:t>
            </w:r>
          </w:p>
        </w:tc>
      </w:tr>
      <w:tr>
        <w:trPr>
          <w:trHeight w:val="1609"/>
        </w:trPr>
        <w:tc>
          <w:tcPr>
            <w:tcW w:w="3800" w:type="dxa"/>
            <w:vAlign w:val="bottom"/>
            <w:tcBorders>
              <w:bottom w:val="single" w:sz="8" w:color="9A9A9A"/>
            </w:tcBorders>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-20955</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sectPr>
      <w:pgSz w:w="11900" w:h="16838" w:orient="portrait"/>
      <w:cols w:equalWidth="0" w:num="1">
        <w:col w:w="10219"/>
      </w:cols>
      <w:pgMar w:left="240" w:top="6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1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lvl w:ilvl="1">
      <w:lvlJc w:val="left"/>
      <w:lvlText w:val="(%2)"/>
      <w:numFmt w:val="lowerLetter"/>
      <w:start w:val="2"/>
    </w:lvl>
  </w:abstractNum>
  <w:abstractNum w:abstractNumId="8">
    <w:nsid w:val="8EDBDAB"/>
    <w:multiLevelType w:val="hybridMultilevel"/>
    <w:lvl w:ilvl="0">
      <w:lvlJc w:val="left"/>
      <w:lvlText w:val="%1."/>
      <w:numFmt w:val="decimal"/>
      <w:start w:val="3"/>
    </w:lvl>
    <w:lvl w:ilvl="1">
      <w:lvlJc w:val="left"/>
      <w:lvlText w:val="%2"/>
      <w:numFmt w:val="lowerLetter"/>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lvl w:ilvl="1">
      <w:lvlJc w:val="left"/>
      <w:lvlText w:val="(%2)"/>
      <w:numFmt w:val="lowerLetter"/>
      <w:start w:val="2"/>
    </w:lvl>
  </w:abstractNum>
  <w:abstractNum w:abstractNumId="13">
    <w:nsid w:val="54E49EB4"/>
    <w:multiLevelType w:val="hybridMultilevel"/>
    <w:lvl w:ilvl="0">
      <w:lvlJc w:val="left"/>
      <w:lvlText w:val="%1."/>
      <w:numFmt w:val="decimal"/>
      <w:start w:val="3"/>
    </w:lvl>
    <w:lvl w:ilvl="1">
      <w:lvlJc w:val="left"/>
      <w:lvlText w:val="%2"/>
      <w:numFmt w:val="lowerLetter"/>
      <w:start w:val="1"/>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lvl w:ilvl="1">
      <w:lvlJc w:val="left"/>
      <w:lvlText w:val="(%2)"/>
      <w:numFmt w:val="lowerLetter"/>
      <w:start w:val="2"/>
    </w:lvl>
  </w:abstractNum>
  <w:abstractNum w:abstractNumId="18">
    <w:nsid w:val="3A95F874"/>
    <w:multiLevelType w:val="hybridMultilevel"/>
    <w:lvl w:ilvl="0">
      <w:lvlJc w:val="left"/>
      <w:lvlText w:val="%1."/>
      <w:numFmt w:val="decimal"/>
      <w:start w:val="3"/>
    </w:lvl>
    <w:lvl w:ilvl="1">
      <w:lvlJc w:val="left"/>
      <w:lvlText w:val="%2"/>
      <w:numFmt w:val="lowerLetter"/>
      <w:start w:val="1"/>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lowerLetter"/>
      <w:start w:val="3"/>
    </w:lvl>
  </w:abstractNum>
  <w:abstractNum w:abstractNumId="25">
    <w:nsid w:val="4516DDE9"/>
    <w:multiLevelType w:val="hybridMultilevel"/>
    <w:lvl w:ilvl="0">
      <w:lvlJc w:val="left"/>
      <w:lvlText w:val="%1"/>
      <w:numFmt w:val="lowerLetter"/>
      <w:start w:val="1"/>
    </w:lvl>
    <w:lvl w:ilvl="1">
      <w:lvlJc w:val="left"/>
      <w:lvlText w:val="(%2)"/>
      <w:numFmt w:val="lowerLetter"/>
      <w:start w:val="35"/>
    </w:lvl>
  </w:abstractNum>
  <w:abstractNum w:abstractNumId="26">
    <w:nsid w:val="3006C83E"/>
    <w:multiLevelType w:val="hybridMultilevel"/>
    <w:lvl w:ilvl="0">
      <w:lvlJc w:val="left"/>
      <w:lvlText w:val="(%1)"/>
      <w:numFmt w:val="lowerLetter"/>
      <w:start w:val="4"/>
    </w:lvl>
    <w:lvl w:ilvl="1">
      <w:lvlJc w:val="left"/>
      <w:lvlText w:val="%2"/>
      <w:numFmt w:val="lowerLetter"/>
      <w:start w:val="1"/>
    </w:lvl>
  </w:abstractNum>
  <w:abstractNum w:abstractNumId="27">
    <w:nsid w:val="614FD4A1"/>
    <w:multiLevelType w:val="hybridMultilevel"/>
    <w:lvl w:ilvl="0">
      <w:lvlJc w:val="left"/>
      <w:lvlText w:val="(%1)"/>
      <w:numFmt w:val="lowerLetter"/>
      <w:start w:val="5"/>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7"/>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Roman"/>
      <w:start w:val="3"/>
    </w:lvl>
  </w:abstractNum>
  <w:abstractNum w:abstractNumId="32">
    <w:nsid w:val="3804823E"/>
    <w:multiLevelType w:val="hybridMultilevel"/>
    <w:lvl w:ilvl="0">
      <w:lvlJc w:val="left"/>
      <w:lvlText w:val="(%1)"/>
      <w:numFmt w:val="lowerRoman"/>
      <w:start w:val="4"/>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2019-12-08T13:25:18Z</dcterms:created>
  <dcterms:modified xsi:type="dcterms:W3CDTF">2019-12-08T13:25:18Z</dcterms:modified>
</cp:coreProperties>
</file>