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3"/>
        <w:spacing w:after="0"/>
        <w:rPr>
          <w:sz w:val="20"/>
          <w:szCs w:val="20"/>
          <w:color w:val="auto"/>
        </w:rPr>
      </w:pPr>
      <w:r>
        <w:rPr>
          <w:rFonts w:ascii="Arial" w:cs="Arial" w:eastAsia="Arial" w:hAnsi="Arial"/>
          <w:sz w:val="17"/>
          <w:szCs w:val="17"/>
          <w:color w:val="0000FF"/>
        </w:rPr>
        <w:t>SVP Global Operations, R&amp;D</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558</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934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240</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72.89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694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558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restart"/>
          </w:tcPr>
          <w:p>
            <w:pPr>
              <w:ind w:left="46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558</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7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RSUs subject to a four-year vesting schedule, the first vesting occurring on March 15, 2019.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247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2022-03-17T09:30:44Z</dcterms:created>
  <dcterms:modified xsi:type="dcterms:W3CDTF">2022-03-17T09:30:44Z</dcterms:modified>
</cp:coreProperties>
</file>