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6"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3979545</wp:posOffset>
            </wp:positionH>
            <wp:positionV relativeFrom="paragraph">
              <wp:posOffset>-624840</wp:posOffset>
            </wp:positionV>
            <wp:extent cx="57785" cy="638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741680</wp:posOffset>
            </wp:positionV>
            <wp:extent cx="6993890" cy="5768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768340"/>
                    </a:xfrm>
                    <a:prstGeom prst="rect">
                      <a:avLst/>
                    </a:prstGeom>
                    <a:noFill/>
                  </pic:spPr>
                </pic:pic>
              </a:graphicData>
            </a:graphic>
          </wp:anchor>
        </w:drawing>
      </w:r>
    </w:p>
    <w:p>
      <w:pPr>
        <w:spacing w:after="0" w:line="1239" w:lineRule="exact"/>
        <w:rPr>
          <w:sz w:val="24"/>
          <w:szCs w:val="24"/>
          <w:color w:val="auto"/>
        </w:rPr>
      </w:pPr>
    </w:p>
    <w:p>
      <w:pPr>
        <w:sectPr>
          <w:pgSz w:w="11900" w:h="1695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Poletti Franco</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LIVANOVA PLC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09/15/2024</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4"/>
          <w:szCs w:val="24"/>
          <w:color w:val="auto"/>
        </w:rPr>
      </w:pPr>
    </w:p>
    <w:p>
      <w:pPr>
        <w:ind w:left="638"/>
        <w:spacing w:after="0"/>
        <w:rPr>
          <w:sz w:val="20"/>
          <w:szCs w:val="20"/>
          <w:color w:val="auto"/>
        </w:rPr>
      </w:pPr>
      <w:r>
        <w:rPr>
          <w:rFonts w:ascii="Times New Roman" w:cs="Times New Roman" w:eastAsia="Times New Roman" w:hAnsi="Times New Roman"/>
          <w:sz w:val="17"/>
          <w:szCs w:val="17"/>
          <w:color w:val="0000FF"/>
        </w:rPr>
        <w:t>President, Cardiopulmonary</w:t>
      </w:r>
    </w:p>
    <w:p>
      <w:pPr>
        <w:spacing w:after="0" w:line="393" w:lineRule="exact"/>
        <w:rPr>
          <w:sz w:val="24"/>
          <w:szCs w:val="24"/>
          <w:color w:val="auto"/>
        </w:rPr>
      </w:pPr>
    </w:p>
    <w:p>
      <w:pPr>
        <w:sectPr>
          <w:pgSz w:w="11900" w:h="16958" w:orient="portrait"/>
          <w:cols w:equalWidth="0" w:num="3">
            <w:col w:w="3180" w:space="720"/>
            <w:col w:w="3102" w:space="720"/>
            <w:col w:w="3358"/>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700" w:type="dxa"/>
            <w:vAlign w:val="bottom"/>
            <w:gridSpan w:val="8"/>
          </w:tcPr>
          <w:p>
            <w:pPr>
              <w:jc w:val="center"/>
              <w:ind w:right="99"/>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740" w:type="dxa"/>
            <w:vAlign w:val="bottom"/>
            <w:vMerge w:val="restart"/>
          </w:tcPr>
          <w:p>
            <w:pPr>
              <w:ind w:left="480"/>
              <w:spacing w:after="0"/>
              <w:rPr>
                <w:sz w:val="20"/>
                <w:szCs w:val="20"/>
                <w:color w:val="auto"/>
              </w:rPr>
            </w:pPr>
            <w:r>
              <w:rPr>
                <w:rFonts w:ascii="Times New Roman" w:cs="Times New Roman" w:eastAsia="Times New Roman" w:hAnsi="Times New Roman"/>
                <w:sz w:val="17"/>
                <w:szCs w:val="17"/>
                <w:color w:val="0000FF"/>
              </w:rPr>
              <w:t>X0</w:t>
            </w:r>
          </w:p>
        </w:tc>
        <w:tc>
          <w:tcPr>
            <w:tcW w:w="880" w:type="dxa"/>
            <w:vAlign w:val="bottom"/>
          </w:tcPr>
          <w:p>
            <w:pPr>
              <w:spacing w:after="0"/>
              <w:rPr>
                <w:sz w:val="10"/>
                <w:szCs w:val="10"/>
                <w:color w:val="auto"/>
              </w:rPr>
            </w:pPr>
          </w:p>
        </w:tc>
        <w:tc>
          <w:tcPr>
            <w:tcW w:w="12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W2 6LA</w:t>
            </w: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8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6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80"/>
              <w:spacing w:after="0"/>
              <w:rPr>
                <w:sz w:val="20"/>
                <w:szCs w:val="20"/>
                <w:color w:val="auto"/>
              </w:rPr>
            </w:pPr>
            <w:r>
              <w:rPr>
                <w:rFonts w:ascii="Arial" w:cs="Arial" w:eastAsia="Arial" w:hAnsi="Arial"/>
                <w:sz w:val="13"/>
                <w:szCs w:val="13"/>
                <w:color w:val="auto"/>
              </w:rPr>
              <w:t>(State)</w:t>
            </w:r>
          </w:p>
        </w:tc>
        <w:tc>
          <w:tcPr>
            <w:tcW w:w="12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1620" w:type="dxa"/>
            <w:vAlign w:val="bottom"/>
            <w:gridSpan w:val="2"/>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5"/>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ind w:left="840"/>
              <w:spacing w:after="0" w:line="128"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88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80" w:type="dxa"/>
            <w:vAlign w:val="bottom"/>
            <w:gridSpan w:val="3"/>
          </w:tcPr>
          <w:p>
            <w:pPr>
              <w:ind w:left="84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5"/>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660" w:type="dxa"/>
            <w:vAlign w:val="bottom"/>
            <w:tcBorders>
              <w:bottom w:val="single" w:sz="8" w:color="2C2C2C"/>
            </w:tcBorders>
            <w:gridSpan w:val="5"/>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jc w:val="center"/>
              <w:ind w:right="6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12"/>
          </w:tcPr>
          <w:p>
            <w:pPr>
              <w:jc w:val="center"/>
              <w:ind w:left="51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26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21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260" w:type="dxa"/>
            <w:vAlign w:val="bottom"/>
          </w:tcPr>
          <w:p>
            <w:pPr>
              <w:ind w:left="26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6"/>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jc w:val="center"/>
              <w:ind w:right="120"/>
              <w:spacing w:after="0" w:line="129" w:lineRule="exact"/>
              <w:rPr>
                <w:sz w:val="20"/>
                <w:szCs w:val="20"/>
                <w:color w:val="auto"/>
              </w:rPr>
            </w:pPr>
            <w:r>
              <w:rPr>
                <w:rFonts w:ascii="Arial" w:cs="Arial" w:eastAsia="Arial" w:hAnsi="Arial"/>
                <w:sz w:val="12"/>
                <w:szCs w:val="12"/>
                <w:b w:val="1"/>
                <w:bCs w:val="1"/>
                <w:color w:val="auto"/>
                <w:w w:val="96"/>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09/15/2024</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2,575</w:t>
            </w:r>
          </w:p>
        </w:tc>
        <w:tc>
          <w:tcPr>
            <w:tcW w:w="340" w:type="dxa"/>
            <w:vAlign w:val="bottom"/>
          </w:tcPr>
          <w:p>
            <w:pPr>
              <w:spacing w:after="0"/>
              <w:rPr>
                <w:sz w:val="15"/>
                <w:szCs w:val="15"/>
                <w:color w:val="auto"/>
              </w:rPr>
            </w:pPr>
          </w:p>
        </w:tc>
        <w:tc>
          <w:tcPr>
            <w:tcW w:w="7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(2)</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2,575</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2,575</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09/15/2024</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1,287</w:t>
            </w:r>
          </w:p>
        </w:tc>
        <w:tc>
          <w:tcPr>
            <w:tcW w:w="340" w:type="dxa"/>
            <w:vAlign w:val="bottom"/>
          </w:tcPr>
          <w:p>
            <w:pPr>
              <w:spacing w:after="0"/>
              <w:rPr>
                <w:sz w:val="15"/>
                <w:szCs w:val="15"/>
                <w:color w:val="auto"/>
              </w:rPr>
            </w:pPr>
          </w:p>
        </w:tc>
        <w:tc>
          <w:tcPr>
            <w:tcW w:w="7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(4)</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1,287</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1,287</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09/15/2024</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1,287</w:t>
            </w:r>
          </w:p>
        </w:tc>
        <w:tc>
          <w:tcPr>
            <w:tcW w:w="340" w:type="dxa"/>
            <w:vAlign w:val="bottom"/>
          </w:tcPr>
          <w:p>
            <w:pPr>
              <w:spacing w:after="0"/>
              <w:rPr>
                <w:sz w:val="15"/>
                <w:szCs w:val="15"/>
                <w:color w:val="auto"/>
              </w:rPr>
            </w:pPr>
          </w:p>
        </w:tc>
        <w:tc>
          <w:tcPr>
            <w:tcW w:w="7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1,287</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1,287</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(3)</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09/15/2024</w:t>
            </w: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5"/>
                <w:szCs w:val="15"/>
                <w:color w:val="auto"/>
              </w:rPr>
            </w:pPr>
          </w:p>
        </w:tc>
        <w:tc>
          <w:tcPr>
            <w:tcW w:w="4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2,575</w:t>
            </w:r>
          </w:p>
        </w:tc>
        <w:tc>
          <w:tcPr>
            <w:tcW w:w="340" w:type="dxa"/>
            <w:vAlign w:val="bottom"/>
          </w:tcPr>
          <w:p>
            <w:pPr>
              <w:spacing w:after="0"/>
              <w:rPr>
                <w:sz w:val="15"/>
                <w:szCs w:val="15"/>
                <w:color w:val="auto"/>
              </w:rPr>
            </w:pPr>
          </w:p>
        </w:tc>
        <w:tc>
          <w:tcPr>
            <w:tcW w:w="7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(6)</w:t>
            </w:r>
          </w:p>
        </w:tc>
        <w:tc>
          <w:tcPr>
            <w:tcW w:w="660" w:type="dxa"/>
            <w:vAlign w:val="bottom"/>
            <w:vMerge w:val="restart"/>
          </w:tcPr>
          <w:p>
            <w:pPr>
              <w:jc w:val="center"/>
              <w:ind w:right="3"/>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2,575</w:t>
            </w:r>
          </w:p>
        </w:tc>
        <w:tc>
          <w:tcPr>
            <w:tcW w:w="40" w:type="dxa"/>
            <w:vAlign w:val="bottom"/>
          </w:tcPr>
          <w:p>
            <w:pPr>
              <w:spacing w:after="0"/>
              <w:rPr>
                <w:sz w:val="15"/>
                <w:szCs w:val="1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w w:val="95"/>
              </w:rPr>
              <w:t>2,575</w:t>
            </w:r>
          </w:p>
        </w:tc>
        <w:tc>
          <w:tcPr>
            <w:tcW w:w="30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7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gridSpan w:val="2"/>
            <w:vMerge w:val="restart"/>
          </w:tcPr>
          <w:p>
            <w:pPr>
              <w:jc w:val="right"/>
              <w:ind w:right="342"/>
              <w:spacing w:after="0"/>
              <w:rPr>
                <w:sz w:val="20"/>
                <w:szCs w:val="20"/>
                <w:color w:val="auto"/>
              </w:rPr>
            </w:pPr>
            <w:r>
              <w:rPr>
                <w:rFonts w:ascii="Times New Roman" w:cs="Times New Roman" w:eastAsia="Times New Roman" w:hAnsi="Times New Roman"/>
                <w:sz w:val="11"/>
                <w:szCs w:val="11"/>
                <w:color w:val="008000"/>
              </w:rPr>
              <w:t>(7)</w:t>
            </w:r>
          </w:p>
        </w:tc>
        <w:tc>
          <w:tcPr>
            <w:tcW w:w="66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5,885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4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Appreciation</w:t>
            </w:r>
          </w:p>
        </w:tc>
        <w:tc>
          <w:tcPr>
            <w:tcW w:w="7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48.53</w:t>
            </w:r>
          </w:p>
        </w:tc>
        <w:tc>
          <w:tcPr>
            <w:tcW w:w="880" w:type="dxa"/>
            <w:vAlign w:val="bottom"/>
            <w:vMerge w:val="restart"/>
          </w:tcPr>
          <w:p>
            <w:pPr>
              <w:jc w:val="right"/>
              <w:spacing w:after="0" w:line="142" w:lineRule="exact"/>
              <w:rPr>
                <w:sz w:val="20"/>
                <w:szCs w:val="20"/>
                <w:color w:val="auto"/>
              </w:rPr>
            </w:pPr>
            <w:r>
              <w:rPr>
                <w:rFonts w:ascii="Times New Roman" w:cs="Times New Roman" w:eastAsia="Times New Roman" w:hAnsi="Times New Roman"/>
                <w:sz w:val="13"/>
                <w:szCs w:val="13"/>
                <w:color w:val="0000FF"/>
              </w:rPr>
              <w:t>09/15/2024</w:t>
            </w: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5"/>
                <w:szCs w:val="5"/>
                <w:color w:val="auto"/>
              </w:rPr>
            </w:pPr>
          </w:p>
        </w:tc>
        <w:tc>
          <w:tcPr>
            <w:tcW w:w="4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5,885</w:t>
            </w:r>
          </w:p>
        </w:tc>
        <w:tc>
          <w:tcPr>
            <w:tcW w:w="3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60" w:type="dxa"/>
            <w:vAlign w:val="bottom"/>
            <w:vMerge w:val="restart"/>
          </w:tcPr>
          <w:p>
            <w:pPr>
              <w:jc w:val="center"/>
              <w:ind w:right="23"/>
              <w:spacing w:after="0" w:line="142" w:lineRule="exact"/>
              <w:rPr>
                <w:sz w:val="20"/>
                <w:szCs w:val="20"/>
                <w:color w:val="auto"/>
              </w:rPr>
            </w:pPr>
            <w:r>
              <w:rPr>
                <w:rFonts w:ascii="Times New Roman" w:cs="Times New Roman" w:eastAsia="Times New Roman" w:hAnsi="Times New Roman"/>
                <w:sz w:val="13"/>
                <w:szCs w:val="13"/>
                <w:color w:val="0000FF"/>
                <w:w w:val="97"/>
              </w:rPr>
              <w:t>09/15/2034</w:t>
            </w: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w w:val="95"/>
              </w:rPr>
              <w:t>5,885</w:t>
            </w:r>
          </w:p>
        </w:tc>
        <w:tc>
          <w:tcPr>
            <w:tcW w:w="30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4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-3133090</wp:posOffset>
            </wp:positionV>
            <wp:extent cx="29210" cy="31381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31381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40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ordinary share of LivaNova PLC (the "Company"), GBP 1.00 par value, in accordance with the terms of the Company's 2022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40" w:right="34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2024, reporting person was granted RSUs subject to a four-year vesting in equal annual installments, the first vesting occurring on September 15, 2025. The RSUs are subject to forfeiture prior to vesting in accordance with the terms of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GBP 1.00 par value, in accordance with the terms of the Plan and the award agreement.</w:t>
      </w:r>
    </w:p>
    <w:p>
      <w:pPr>
        <w:spacing w:after="0" w:line="43" w:lineRule="exact"/>
        <w:rPr>
          <w:rFonts w:ascii="Times New Roman" w:cs="Times New Roman" w:eastAsia="Times New Roman" w:hAnsi="Times New Roman"/>
          <w:sz w:val="13"/>
          <w:szCs w:val="13"/>
          <w:color w:val="008000"/>
        </w:rPr>
      </w:pPr>
    </w:p>
    <w:p>
      <w:pPr>
        <w:ind w:left="40" w:right="3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2024, reporting person was granted PSUs to vest or lapse on March 30, 2027 based on how the Company's free cash flow ("FCF") for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left="40" w:right="22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2024, reporting person was granted PSUs to vest or lapse on March 30, 2027 based on how the Company's Return on Investment Capital ("ROIC") calculated for the performance period 2024-2026 compares to a target determined by the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jc w:val="both"/>
        <w:ind w:left="40" w:right="160" w:firstLine="2"/>
        <w:spacing w:after="0"/>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2024, reporting person was granted PSUs to vest or lapse on March 30, 2027 based on the Company's total shareholder return ("TSR") for the three-year period beginning on January 1, 2024 and ending December 31, 2026 relative to the TSR of an index of companies, as determined by the Plan Administrator. The number included in column 5 of Table II reflects the target number of PSUs eligible for vesting subject to continued service during the vesting period and the award agreement.</w:t>
      </w:r>
    </w:p>
    <w:p>
      <w:pPr>
        <w:spacing w:after="0" w:line="27" w:lineRule="exact"/>
        <w:rPr>
          <w:rFonts w:ascii="Times New Roman" w:cs="Times New Roman" w:eastAsia="Times New Roman" w:hAnsi="Times New Roman"/>
          <w:sz w:val="13"/>
          <w:szCs w:val="13"/>
          <w:color w:val="008000"/>
        </w:rPr>
      </w:pPr>
    </w:p>
    <w:p>
      <w:pPr>
        <w:ind w:left="40" w:right="42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September 15, 2024, reporting person was granted stock appreciation rights ("SARs") subject to a four-year vesting in equal annual installments, the first vesting occurring on September 15, 2025. The SARs are subject to forfeiture prior to vesting in accordance with the terms of the Plan and the award agreement.</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1"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09/17/2024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404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04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-20955</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-86360</wp:posOffset>
            </wp:positionV>
            <wp:extent cx="483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88"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8"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1281"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2024-09-17T15:10:58Z</dcterms:created>
  <dcterms:modified xsi:type="dcterms:W3CDTF">2024-09-17T15:10:58Z</dcterms:modified>
</cp:coreProperties>
</file>