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(October 16, 2018): October 22,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118110</wp:posOffset>
            </wp:positionV>
            <wp:extent cx="14579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57960"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28"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222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England and Wales</w:t>
            </w:r>
          </w:p>
        </w:tc>
        <w:tc>
          <w:tcPr>
            <w:tcW w:w="54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001-37599</w:t>
            </w:r>
          </w:p>
        </w:tc>
        <w:tc>
          <w:tcPr>
            <w:tcW w:w="1760" w:type="dxa"/>
            <w:vAlign w:val="bottom"/>
          </w:tcPr>
          <w:p>
            <w:pPr>
              <w:jc w:val="center"/>
              <w:ind w:left="310"/>
              <w:spacing w:after="0"/>
              <w:rPr>
                <w:sz w:val="20"/>
                <w:szCs w:val="20"/>
                <w:color w:val="auto"/>
              </w:rPr>
            </w:pPr>
            <w:r>
              <w:rPr>
                <w:rFonts w:ascii="Arial" w:cs="Arial" w:eastAsia="Arial" w:hAnsi="Arial"/>
                <w:sz w:val="18"/>
                <w:szCs w:val="18"/>
                <w:b w:val="1"/>
                <w:bCs w:val="1"/>
                <w:color w:val="auto"/>
                <w:w w:val="91"/>
              </w:rPr>
              <w:t>98-1268150</w:t>
            </w:r>
          </w:p>
        </w:tc>
      </w:tr>
      <w:tr>
        <w:trPr>
          <w:trHeight w:val="243"/>
        </w:trPr>
        <w:tc>
          <w:tcPr>
            <w:tcW w:w="2220" w:type="dxa"/>
            <w:vAlign w:val="bottom"/>
          </w:tcPr>
          <w:p>
            <w:pPr>
              <w:jc w:val="center"/>
              <w:ind w:right="170"/>
              <w:spacing w:after="0"/>
              <w:rPr>
                <w:sz w:val="20"/>
                <w:szCs w:val="20"/>
                <w:color w:val="auto"/>
              </w:rPr>
            </w:pPr>
            <w:r>
              <w:rPr>
                <w:rFonts w:ascii="Arial" w:cs="Arial" w:eastAsia="Arial" w:hAnsi="Arial"/>
                <w:sz w:val="18"/>
                <w:szCs w:val="18"/>
                <w:color w:val="auto"/>
                <w:w w:val="91"/>
              </w:rPr>
              <w:t>(State or Other Jurisdiction</w:t>
            </w:r>
          </w:p>
        </w:tc>
        <w:tc>
          <w:tcPr>
            <w:tcW w:w="5440" w:type="dxa"/>
            <w:vAlign w:val="bottom"/>
          </w:tcPr>
          <w:p>
            <w:pPr>
              <w:jc w:val="center"/>
              <w:ind w:right="5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3"/>
              </w:rPr>
              <w:t>(IRS Employer</w:t>
            </w:r>
          </w:p>
        </w:tc>
      </w:tr>
      <w:tr>
        <w:trPr>
          <w:trHeight w:val="243"/>
        </w:trPr>
        <w:tc>
          <w:tcPr>
            <w:tcW w:w="2220" w:type="dxa"/>
            <w:vAlign w:val="bottom"/>
          </w:tcPr>
          <w:p>
            <w:pPr>
              <w:jc w:val="center"/>
              <w:ind w:right="110"/>
              <w:spacing w:after="0"/>
              <w:rPr>
                <w:sz w:val="20"/>
                <w:szCs w:val="20"/>
                <w:color w:val="auto"/>
              </w:rPr>
            </w:pPr>
            <w:r>
              <w:rPr>
                <w:rFonts w:ascii="Arial" w:cs="Arial" w:eastAsia="Arial" w:hAnsi="Arial"/>
                <w:sz w:val="18"/>
                <w:szCs w:val="18"/>
                <w:color w:val="auto"/>
                <w:w w:val="93"/>
              </w:rPr>
              <w:t>of Incorporation)</w:t>
            </w:r>
          </w:p>
        </w:tc>
        <w:tc>
          <w:tcPr>
            <w:tcW w:w="5440" w:type="dxa"/>
            <w:vAlign w:val="bottom"/>
          </w:tcPr>
          <w:p>
            <w:pPr>
              <w:jc w:val="center"/>
              <w:ind w:right="5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54"/>
        </w:trPr>
        <w:tc>
          <w:tcPr>
            <w:tcW w:w="2220" w:type="dxa"/>
            <w:vAlign w:val="bottom"/>
          </w:tcPr>
          <w:p>
            <w:pPr>
              <w:spacing w:after="0"/>
              <w:rPr>
                <w:sz w:val="24"/>
                <w:szCs w:val="24"/>
                <w:color w:val="auto"/>
              </w:rPr>
            </w:pPr>
          </w:p>
        </w:tc>
        <w:tc>
          <w:tcPr>
            <w:tcW w:w="54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20 Eastbourne Terrace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44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London, W2 6LG</w:t>
            </w:r>
          </w:p>
        </w:tc>
        <w:tc>
          <w:tcPr>
            <w:tcW w:w="1760" w:type="dxa"/>
            <w:vAlign w:val="bottom"/>
          </w:tcPr>
          <w:p>
            <w:pPr>
              <w:spacing w:after="0"/>
              <w:rPr>
                <w:sz w:val="18"/>
                <w:szCs w:val="18"/>
                <w:color w:val="auto"/>
              </w:rPr>
            </w:pPr>
          </w:p>
        </w:tc>
      </w:tr>
      <w:tr>
        <w:trPr>
          <w:trHeight w:val="220"/>
        </w:trPr>
        <w:tc>
          <w:tcPr>
            <w:tcW w:w="2220" w:type="dxa"/>
            <w:vAlign w:val="bottom"/>
          </w:tcPr>
          <w:p>
            <w:pPr>
              <w:spacing w:after="0"/>
              <w:rPr>
                <w:sz w:val="19"/>
                <w:szCs w:val="19"/>
                <w:color w:val="auto"/>
              </w:rPr>
            </w:pPr>
          </w:p>
        </w:tc>
        <w:tc>
          <w:tcPr>
            <w:tcW w:w="54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United Kingdom</w:t>
            </w:r>
          </w:p>
        </w:tc>
        <w:tc>
          <w:tcPr>
            <w:tcW w:w="17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5440" w:type="dxa"/>
            <w:vAlign w:val="bottom"/>
          </w:tcPr>
          <w:p>
            <w:pPr>
              <w:jc w:val="center"/>
              <w:ind w:right="9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20"/>
                <w:szCs w:val="20"/>
                <w:color w:val="auto"/>
              </w:rPr>
            </w:pPr>
          </w:p>
        </w:tc>
      </w:tr>
      <w:tr>
        <w:trPr>
          <w:trHeight w:val="364"/>
        </w:trPr>
        <w:tc>
          <w:tcPr>
            <w:tcW w:w="2220" w:type="dxa"/>
            <w:vAlign w:val="bottom"/>
          </w:tcPr>
          <w:p>
            <w:pPr>
              <w:spacing w:after="0"/>
              <w:rPr>
                <w:sz w:val="24"/>
                <w:szCs w:val="24"/>
                <w:color w:val="auto"/>
              </w:rPr>
            </w:pPr>
          </w:p>
        </w:tc>
        <w:tc>
          <w:tcPr>
            <w:tcW w:w="54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+44 20 33250660</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40" w:type="dxa"/>
            <w:vAlign w:val="bottom"/>
          </w:tcPr>
          <w:p>
            <w:pPr>
              <w:jc w:val="center"/>
              <w:ind w:right="70"/>
              <w:spacing w:after="0"/>
              <w:rPr>
                <w:sz w:val="20"/>
                <w:szCs w:val="20"/>
                <w:color w:val="auto"/>
              </w:rPr>
            </w:pPr>
            <w:r>
              <w:rPr>
                <w:rFonts w:ascii="Arial" w:cs="Arial" w:eastAsia="Arial" w:hAnsi="Arial"/>
                <w:sz w:val="18"/>
                <w:szCs w:val="18"/>
                <w:color w:val="auto"/>
                <w:w w:val="91"/>
              </w:rPr>
              <w:t>(Registrant’s Telephone Number, Including Area Code)</w:t>
            </w:r>
          </w:p>
        </w:tc>
        <w:tc>
          <w:tcPr>
            <w:tcW w:w="1760" w:type="dxa"/>
            <w:vAlign w:val="bottom"/>
          </w:tcPr>
          <w:p>
            <w:pPr>
              <w:spacing w:after="0"/>
              <w:rPr>
                <w:sz w:val="20"/>
                <w:szCs w:val="20"/>
                <w:color w:val="auto"/>
              </w:rPr>
            </w:pPr>
          </w:p>
        </w:tc>
      </w:tr>
      <w:tr>
        <w:trPr>
          <w:trHeight w:val="364"/>
        </w:trPr>
        <w:tc>
          <w:tcPr>
            <w:tcW w:w="2220" w:type="dxa"/>
            <w:vAlign w:val="bottom"/>
          </w:tcPr>
          <w:p>
            <w:pPr>
              <w:spacing w:after="0"/>
              <w:rPr>
                <w:sz w:val="24"/>
                <w:szCs w:val="24"/>
                <w:color w:val="auto"/>
              </w:rPr>
            </w:pPr>
          </w:p>
        </w:tc>
        <w:tc>
          <w:tcPr>
            <w:tcW w:w="544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40" w:type="dxa"/>
            <w:vAlign w:val="bottom"/>
          </w:tcPr>
          <w:p>
            <w:pPr>
              <w:jc w:val="center"/>
              <w:ind w:right="9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148"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8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0" w:lineRule="exact"/>
        <w:rPr>
          <w:sz w:val="24"/>
          <w:szCs w:val="24"/>
          <w:color w:val="auto"/>
        </w:rPr>
      </w:pPr>
    </w:p>
    <w:p>
      <w:pPr>
        <w:ind w:left="7700"/>
        <w:spacing w:after="0"/>
        <w:tabs>
          <w:tab w:leader="none" w:pos="112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6"/>
          <w:szCs w:val="16"/>
          <w:color w:val="auto"/>
        </w:rPr>
        <w:t>o</w:t>
      </w:r>
    </w:p>
    <w:p>
      <w:pPr>
        <w:spacing w:after="0" w:line="30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00" w:lineRule="exact"/>
        <w:rPr>
          <w:sz w:val="24"/>
          <w:szCs w:val="24"/>
          <w:color w:val="auto"/>
        </w:rPr>
      </w:pPr>
    </w:p>
    <w:p>
      <w:pPr>
        <w:ind w:left="1130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301625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729"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October 16, 2018, the Compensation Committee of the Board of Directors of LivaNova Plc (the “Company”) approved an amended procedure to facilitate the periodic issuance of equity awards. Until further notice, the Compensation Committee will approve all equity awards with an effective date of March 30 (rather than March 15), June 15, September 15 or December 15 of each year (each, a “Quarterly Grant Date”). Under the procedure, the Compensation Committee may meet on or prior to the Quarterly Grant Date without regard as to the Company’s possession or not of material non-public information and approve equity awards with an effective date on the Quarterly Grant Date. The share price in respect of any such award will be the most recent closing price of an ordinary share of the Company’s stock on the NASDAQ Stock Market as of the Quarterly Grant Date.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013" w:right="25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7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0"/>
        <w:spacing w:after="0"/>
        <w:tabs>
          <w:tab w:leader="none" w:pos="5740" w:val="left"/>
        </w:tabs>
        <w:rPr>
          <w:sz w:val="20"/>
          <w:szCs w:val="20"/>
          <w:color w:val="auto"/>
        </w:rPr>
      </w:pPr>
      <w:r>
        <w:rPr>
          <w:rFonts w:ascii="Arial" w:cs="Arial" w:eastAsia="Arial" w:hAnsi="Arial"/>
          <w:sz w:val="18"/>
          <w:szCs w:val="18"/>
          <w:color w:val="auto"/>
        </w:rPr>
        <w:t>Date: October 22, 2018</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Catherine Moroz</w:t>
      </w:r>
    </w:p>
    <w:p>
      <w:pPr>
        <w:spacing w:after="0" w:line="9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Catherine Moroz</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sectPr>
      <w:pgSz w:w="11900" w:h="16838" w:orient="portrait"/>
      <w:cols w:equalWidth="0" w:num="1">
        <w:col w:w="11060"/>
      </w:cols>
      <w:pgMar w:left="240" w:top="1215"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2019-12-08T13:01:30Z</dcterms:created>
  <dcterms:modified xsi:type="dcterms:W3CDTF">2019-12-08T13:01:30Z</dcterms:modified>
</cp:coreProperties>
</file>