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July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July 31, 2024, LivaNova PLC (the “Company”) issued a press release announcing financial results for the quarter ended June 30, 2024. The Company will host a business update conference call and webcast today, July 31, 2024, at 1 p.m. London time (8 a.m. Eastern Time), during which the Company will discuss the financial results. The conference call will be available through the LivaNova website at </w:t>
      </w:r>
      <w:r>
        <w:rPr>
          <w:rFonts w:ascii="Times New Roman" w:cs="Times New Roman" w:eastAsia="Times New Roman" w:hAnsi="Times New Roman"/>
          <w:sz w:val="18"/>
          <w:szCs w:val="18"/>
          <w:color w:val="3051F2"/>
        </w:rPr>
        <w:t>www.livanova.com/events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 w:type="dxa"/>
            <w:vAlign w:val="bottom"/>
          </w:tcPr>
          <w:p>
            <w:pPr>
              <w:spacing w:after="0"/>
              <w:rPr>
                <w:sz w:val="17"/>
                <w:szCs w:val="17"/>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LivaNova PLC dated July 31, 2024</w:t>
            </w:r>
          </w:p>
        </w:tc>
      </w:tr>
      <w:tr>
        <w:trPr>
          <w:trHeight w:val="20"/>
        </w:trPr>
        <w:tc>
          <w:tcPr>
            <w:tcW w:w="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5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p>
      <w:pPr>
        <w:sectPr>
          <w:pgSz w:w="11900" w:h="16838" w:orient="portrait"/>
          <w:cols w:equalWidth="0" w:num="1">
            <w:col w:w="10980"/>
          </w:cols>
          <w:pgMar w:left="320" w:top="1008"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8021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Second-Quarter 2024 Results</w:t>
      </w:r>
    </w:p>
    <w:p>
      <w:pPr>
        <w:spacing w:after="0" w:line="200" w:lineRule="exact"/>
        <w:rPr>
          <w:sz w:val="20"/>
          <w:szCs w:val="20"/>
          <w:color w:val="auto"/>
        </w:rPr>
      </w:pPr>
    </w:p>
    <w:p>
      <w:pPr>
        <w:spacing w:after="0" w:line="204" w:lineRule="exact"/>
        <w:rPr>
          <w:sz w:val="20"/>
          <w:szCs w:val="20"/>
          <w:color w:val="auto"/>
        </w:rPr>
      </w:pPr>
    </w:p>
    <w:p>
      <w:pPr>
        <w:spacing w:after="0" w:line="434" w:lineRule="auto"/>
        <w:rPr>
          <w:sz w:val="20"/>
          <w:szCs w:val="20"/>
          <w:color w:val="auto"/>
        </w:rPr>
      </w:pPr>
      <w:r>
        <w:rPr>
          <w:rFonts w:ascii="Arial" w:cs="Arial" w:eastAsia="Arial" w:hAnsi="Arial"/>
          <w:sz w:val="19"/>
          <w:szCs w:val="19"/>
          <w:b w:val="1"/>
          <w:bCs w:val="1"/>
          <w:color w:val="auto"/>
        </w:rPr>
        <w:t xml:space="preserve">London, July 31, 2024 – </w:t>
      </w:r>
      <w:r>
        <w:rPr>
          <w:rFonts w:ascii="Arial" w:cs="Arial" w:eastAsia="Arial" w:hAnsi="Arial"/>
          <w:sz w:val="19"/>
          <w:szCs w:val="19"/>
          <w:color w:val="auto"/>
        </w:rPr>
        <w:t>LivaNova PLC (Nasdaq: LIVN), a market-leading medical technology company, today reported results</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 ended June 30, 2024 and raised full-year 2024 revenue and adjusted diluted earnings per share guidance.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Summary and Highlights</w:t>
      </w:r>
      <w:r>
        <w:rPr>
          <w:rFonts w:ascii="Arial" w:cs="Arial" w:eastAsia="Arial" w:hAnsi="Arial"/>
          <w:sz w:val="25"/>
          <w:szCs w:val="25"/>
          <w:b w:val="1"/>
          <w:bCs w:val="1"/>
          <w:color w:val="auto"/>
          <w:vertAlign w:val="superscript"/>
        </w:rPr>
        <w:t>(1)</w:t>
      </w:r>
    </w:p>
    <w:p>
      <w:pPr>
        <w:spacing w:after="0" w:line="187" w:lineRule="exact"/>
        <w:rPr>
          <w:sz w:val="20"/>
          <w:szCs w:val="20"/>
          <w:color w:val="auto"/>
        </w:rPr>
      </w:pPr>
    </w:p>
    <w:p>
      <w:pPr>
        <w:jc w:val="both"/>
        <w:ind w:left="340" w:hanging="251"/>
        <w:spacing w:after="0" w:line="283" w:lineRule="auto"/>
        <w:tabs>
          <w:tab w:leader="none" w:pos="2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Second-quarter revenue of $318.6 million increased 8.4% on a reported basis and 9.6% on a constant-currency basis, as compared to the prior-year period. Excluding the impact of the Advanced Circulatory Support (ACS) segment wind down, revenue increased 10.8% on a constant-currency basis.</w:t>
      </w:r>
    </w:p>
    <w:p>
      <w:pPr>
        <w:spacing w:after="0" w:line="90" w:lineRule="exact"/>
        <w:rPr>
          <w:rFonts w:ascii="Arial" w:cs="Arial" w:eastAsia="Arial" w:hAnsi="Arial"/>
          <w:sz w:val="20"/>
          <w:szCs w:val="20"/>
          <w:b w:val="1"/>
          <w:bCs w:val="1"/>
          <w:color w:val="auto"/>
        </w:rPr>
      </w:pPr>
    </w:p>
    <w:p>
      <w:pPr>
        <w:ind w:left="280" w:hanging="191"/>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Second-quarter U.S. GAAP diluted earnings per share of $0.30 and adjusted diluted earnings per share of $0.93.</w:t>
      </w:r>
    </w:p>
    <w:p>
      <w:pPr>
        <w:spacing w:after="0" w:line="148" w:lineRule="exact"/>
        <w:rPr>
          <w:rFonts w:ascii="Arial" w:cs="Arial" w:eastAsia="Arial" w:hAnsi="Arial"/>
          <w:sz w:val="20"/>
          <w:szCs w:val="20"/>
          <w:color w:val="auto"/>
        </w:rPr>
      </w:pPr>
    </w:p>
    <w:p>
      <w:pPr>
        <w:ind w:left="340" w:hanging="251"/>
        <w:spacing w:after="0" w:line="300" w:lineRule="auto"/>
        <w:tabs>
          <w:tab w:leader="none" w:pos="288" w:val="left"/>
        </w:tabs>
        <w:numPr>
          <w:ilvl w:val="0"/>
          <w:numId w:val="3"/>
        </w:numPr>
        <w:rPr>
          <w:rFonts w:ascii="Arial" w:cs="Arial" w:eastAsia="Arial" w:hAnsi="Arial"/>
          <w:sz w:val="20"/>
          <w:szCs w:val="20"/>
          <w:color w:val="auto"/>
        </w:rPr>
      </w:pPr>
      <w:r>
        <w:rPr>
          <w:rFonts w:ascii="Arial" w:cs="Arial" w:eastAsia="Arial" w:hAnsi="Arial"/>
          <w:sz w:val="20"/>
          <w:szCs w:val="20"/>
          <w:color w:val="auto"/>
        </w:rPr>
        <w:t>Franco Poletti named President of Cardiopulmonary (CP) Business Unit, effective August 1, 2024. Poletti has more than 40 years of LivaNova service, most recently as Interim General Manager of CP and Vice President of CP for Europe.</w:t>
      </w:r>
    </w:p>
    <w:p>
      <w:pPr>
        <w:spacing w:after="0" w:line="59" w:lineRule="exact"/>
        <w:rPr>
          <w:rFonts w:ascii="Arial" w:cs="Arial" w:eastAsia="Arial" w:hAnsi="Arial"/>
          <w:sz w:val="20"/>
          <w:szCs w:val="20"/>
          <w:color w:val="auto"/>
        </w:rPr>
      </w:pPr>
    </w:p>
    <w:p>
      <w:pPr>
        <w:jc w:val="both"/>
        <w:ind w:left="340" w:hanging="251"/>
        <w:spacing w:after="0" w:line="283" w:lineRule="auto"/>
        <w:tabs>
          <w:tab w:leader="none" w:pos="288" w:val="left"/>
        </w:tabs>
        <w:numPr>
          <w:ilvl w:val="0"/>
          <w:numId w:val="3"/>
        </w:numPr>
        <w:rPr>
          <w:rFonts w:ascii="Arial" w:cs="Arial" w:eastAsia="Arial" w:hAnsi="Arial"/>
          <w:sz w:val="20"/>
          <w:szCs w:val="20"/>
          <w:color w:val="auto"/>
        </w:rPr>
      </w:pPr>
      <w:r>
        <w:rPr>
          <w:rFonts w:ascii="Arial" w:cs="Arial" w:eastAsia="Arial" w:hAnsi="Arial"/>
          <w:sz w:val="20"/>
          <w:szCs w:val="20"/>
          <w:color w:val="auto"/>
        </w:rPr>
        <w:t>Announced the preliminary results for the unipolar patient cohort of the RECOVER clinical study on June 6, 2024. Following additional in-depth analyses of the data, intends to pursue U.S. Centers for Medicare and Medicaid Services coverage for VNS Therapy™ for the RECOVER patient population, while reducing investment in the difficult-to-treat depression program in 2025.</w:t>
      </w:r>
    </w:p>
    <w:p>
      <w:pPr>
        <w:spacing w:after="0" w:line="373"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"In the second quarter, LivaNova achieved strong revenue and operating income growth,” said Vladimir Makatsaria, Chief Executive Officer of LivaNova. "Capitalizing on this momentum to achieve sustainable above-market growth over the long-term remains a key priority. I want to recognize our teams around the world for their continued execution and unwavering commitment to serving patients and customers. I also want to thank the consortium of independent experts who conducted an in-depth review of the RECOVER unipolar study results and supported the development of the path forward for the difficult-to-treat depression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1" w:lineRule="exact"/>
        <w:rPr>
          <w:sz w:val="20"/>
          <w:szCs w:val="20"/>
          <w:color w:val="auto"/>
        </w:rPr>
      </w:pPr>
    </w:p>
    <w:p>
      <w:pPr>
        <w:jc w:val="both"/>
        <w:ind w:left="80" w:hanging="72"/>
        <w:spacing w:after="0" w:line="257" w:lineRule="auto"/>
        <w:tabs>
          <w:tab w:leader="none" w:pos="115"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Constant-currency percent change, total revenue excluding revenue from the ACS segment wind down, adjusted operating income, adjusted diluted earnings per share and adjusted free cash flow are non-GAAP measures. Constant-currency percent change excludes the impact from fluctuations in the various currencies in which the Company operates as compared to reported percent change. For an explanation of these and other non-GAAP measures used in this news release, see the section entitled "Use of Non-GAAP Financial Measures." For reconciliations of certain non-GAAP measures, see the tables that accompany this news release.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2" w:right="339" w:bottom="1440" w:gutter="0" w:footer="0" w:header="0"/>
        </w:sectPr>
      </w:pPr>
    </w:p>
    <w:bookmarkStart w:id="4" w:name="page5"/>
    <w:bookmarkEnd w:id="4"/>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2024 Results</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revenue by segment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9"/>
              </w:rPr>
              <w:t>Three Months Ended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ind w:left="420"/>
              <w:spacing w:after="0"/>
              <w:rPr>
                <w:sz w:val="20"/>
                <w:szCs w:val="20"/>
                <w:color w:val="auto"/>
              </w:rPr>
            </w:pPr>
            <w:r>
              <w:rPr>
                <w:rFonts w:ascii="Arial" w:cs="Arial" w:eastAsia="Arial" w:hAnsi="Arial"/>
                <w:sz w:val="20"/>
                <w:szCs w:val="20"/>
                <w:b w:val="1"/>
                <w:bCs w:val="1"/>
                <w:color w:val="auto"/>
              </w:rPr>
              <w:t>Constant-</w:t>
            </w:r>
          </w:p>
        </w:tc>
      </w:tr>
      <w:tr>
        <w:trPr>
          <w:trHeight w:val="189"/>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560"/>
              <w:spacing w:after="0" w:line="169" w:lineRule="exact"/>
              <w:rPr>
                <w:sz w:val="20"/>
                <w:szCs w:val="20"/>
                <w:color w:val="auto"/>
              </w:rPr>
            </w:pPr>
            <w:r>
              <w:rPr>
                <w:rFonts w:ascii="Arial" w:cs="Arial" w:eastAsia="Arial" w:hAnsi="Arial"/>
                <w:sz w:val="18"/>
                <w:szCs w:val="18"/>
                <w:b w:val="1"/>
                <w:bCs w:val="1"/>
                <w:color w:val="auto"/>
                <w:w w:val="99"/>
              </w:rPr>
              <w:t>June 30,</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ind w:left="420"/>
              <w:spacing w:after="0" w:line="183" w:lineRule="exact"/>
              <w:rPr>
                <w:sz w:val="20"/>
                <w:szCs w:val="20"/>
                <w:color w:val="auto"/>
              </w:rPr>
            </w:pPr>
            <w:r>
              <w:rPr>
                <w:rFonts w:ascii="Arial" w:cs="Arial" w:eastAsia="Arial" w:hAnsi="Arial"/>
                <w:sz w:val="20"/>
                <w:szCs w:val="20"/>
                <w:b w:val="1"/>
                <w:bCs w:val="1"/>
                <w:color w:val="auto"/>
              </w:rPr>
              <w:t>Currency</w:t>
            </w:r>
          </w:p>
        </w:tc>
      </w:tr>
      <w:tr>
        <w:trPr>
          <w:trHeight w:val="250"/>
        </w:trPr>
        <w:tc>
          <w:tcPr>
            <w:tcW w:w="4960" w:type="dxa"/>
            <w:vAlign w:val="bottom"/>
            <w:gridSpan w:val="3"/>
          </w:tcPr>
          <w:p>
            <w:pPr>
              <w:ind w:left="4460"/>
              <w:spacing w:after="0"/>
              <w:rPr>
                <w:sz w:val="20"/>
                <w:szCs w:val="20"/>
                <w:color w:val="auto"/>
              </w:rPr>
            </w:pPr>
            <w:r>
              <w:rPr>
                <w:rFonts w:ascii="Arial" w:cs="Arial" w:eastAsia="Arial" w:hAnsi="Arial"/>
                <w:sz w:val="18"/>
                <w:szCs w:val="18"/>
                <w:b w:val="1"/>
                <w:bCs w:val="1"/>
                <w:color w:val="auto"/>
              </w:rPr>
              <w:t>2024</w:t>
            </w:r>
          </w:p>
        </w:tc>
        <w:tc>
          <w:tcPr>
            <w:tcW w:w="19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2"/>
          </w:tcPr>
          <w:p>
            <w:pPr>
              <w:ind w:left="400"/>
              <w:spacing w:after="0"/>
              <w:rPr>
                <w:sz w:val="20"/>
                <w:szCs w:val="20"/>
                <w:color w:val="auto"/>
              </w:rPr>
            </w:pPr>
            <w:r>
              <w:rPr>
                <w:rFonts w:ascii="Arial" w:cs="Arial" w:eastAsia="Arial" w:hAnsi="Arial"/>
                <w:sz w:val="20"/>
                <w:szCs w:val="20"/>
                <w:b w:val="1"/>
                <w:bCs w:val="1"/>
                <w:color w:val="auto"/>
              </w:rPr>
              <w:t>% Change</w:t>
            </w:r>
          </w:p>
        </w:tc>
        <w:tc>
          <w:tcPr>
            <w:tcW w:w="1760" w:type="dxa"/>
            <w:vAlign w:val="bottom"/>
          </w:tcPr>
          <w:p>
            <w:pPr>
              <w:ind w:left="400"/>
              <w:spacing w:after="0"/>
              <w:rPr>
                <w:sz w:val="20"/>
                <w:szCs w:val="20"/>
                <w:color w:val="auto"/>
              </w:rPr>
            </w:pPr>
            <w:r>
              <w:rPr>
                <w:rFonts w:ascii="Arial" w:cs="Arial" w:eastAsia="Arial" w:hAnsi="Arial"/>
                <w:sz w:val="20"/>
                <w:szCs w:val="20"/>
                <w:b w:val="1"/>
                <w:bCs w:val="1"/>
                <w:color w:val="auto"/>
              </w:rPr>
              <w:t>% Change</w:t>
            </w:r>
          </w:p>
        </w:tc>
      </w:tr>
      <w:tr>
        <w:trPr>
          <w:trHeight w:val="218"/>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Cardiopulmonary</w:t>
            </w: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12.7 %</w:t>
            </w:r>
          </w:p>
        </w:tc>
        <w:tc>
          <w:tcPr>
            <w:tcW w:w="80" w:type="dxa"/>
            <w:vAlign w:val="bottom"/>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14.5 %</w:t>
            </w:r>
          </w:p>
        </w:tc>
      </w:tr>
      <w:tr>
        <w:trPr>
          <w:trHeight w:val="227"/>
        </w:trPr>
        <w:tc>
          <w:tcPr>
            <w:tcW w:w="4960" w:type="dxa"/>
            <w:vAlign w:val="bottom"/>
            <w:gridSpan w:val="3"/>
          </w:tcPr>
          <w:p>
            <w:pPr>
              <w:ind w:left="20"/>
              <w:spacing w:after="0"/>
              <w:rPr>
                <w:sz w:val="20"/>
                <w:szCs w:val="20"/>
                <w:color w:val="auto"/>
              </w:rPr>
            </w:pPr>
            <w:r>
              <w:rPr>
                <w:rFonts w:ascii="Arial" w:cs="Arial" w:eastAsia="Arial" w:hAnsi="Arial"/>
                <w:sz w:val="18"/>
                <w:szCs w:val="18"/>
                <w:color w:val="auto"/>
              </w:rPr>
              <w:t>Neuromodulation</w:t>
            </w:r>
          </w:p>
        </w:tc>
        <w:tc>
          <w:tcPr>
            <w:tcW w:w="660" w:type="dxa"/>
            <w:vAlign w:val="bottom"/>
          </w:tcPr>
          <w:p>
            <w:pPr>
              <w:jc w:val="right"/>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37"/>
        </w:trPr>
        <w:tc>
          <w:tcPr>
            <w:tcW w:w="4960" w:type="dxa"/>
            <w:vAlign w:val="bottom"/>
            <w:gridSpan w:val="3"/>
          </w:tcPr>
          <w:p>
            <w:pPr>
              <w:ind w:left="20"/>
              <w:spacing w:after="0" w:line="23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15"/>
        </w:trPr>
        <w:tc>
          <w:tcPr>
            <w:tcW w:w="3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9.6 %</w:t>
            </w:r>
          </w:p>
        </w:tc>
      </w:tr>
      <w:tr>
        <w:trPr>
          <w:trHeight w:val="237"/>
        </w:trPr>
        <w:tc>
          <w:tcPr>
            <w:tcW w:w="4960" w:type="dxa"/>
            <w:vAlign w:val="bottom"/>
            <w:gridSpan w:val="3"/>
          </w:tcPr>
          <w:p>
            <w:pPr>
              <w:ind w:left="140"/>
              <w:spacing w:after="0" w:line="237" w:lineRule="exact"/>
              <w:rPr>
                <w:sz w:val="20"/>
                <w:szCs w:val="20"/>
                <w:color w:val="auto"/>
              </w:rPr>
            </w:pPr>
            <w:r>
              <w:rPr>
                <w:rFonts w:ascii="Arial" w:cs="Arial" w:eastAsia="Arial" w:hAnsi="Arial"/>
                <w:sz w:val="18"/>
                <w:szCs w:val="18"/>
                <w:color w:val="auto"/>
              </w:rPr>
              <w:t xml:space="preserve">Less: ACS </w:t>
            </w:r>
            <w:r>
              <w:rPr>
                <w:rFonts w:ascii="Arial" w:cs="Arial" w:eastAsia="Arial" w:hAnsi="Arial"/>
                <w:sz w:val="23"/>
                <w:szCs w:val="23"/>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3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Net Revenue, Excluding ACS</w:t>
            </w: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revenue from the Company’s former ACS reportable segment, as well as rental and site services income not allocated to segments.</w:t>
      </w:r>
    </w:p>
    <w:p>
      <w:pPr>
        <w:ind w:left="320" w:hanging="312"/>
        <w:spacing w:after="0" w:line="187" w:lineRule="auto"/>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Includes the results from the wind down portion of the Company's former ACS reportable segment.</w:t>
      </w:r>
    </w:p>
    <w:p>
      <w:pPr>
        <w:spacing w:after="0" w:line="1" w:lineRule="exact"/>
        <w:rPr>
          <w:sz w:val="20"/>
          <w:szCs w:val="20"/>
          <w:color w:val="auto"/>
        </w:rPr>
      </w:pPr>
    </w:p>
    <w:p>
      <w:pPr>
        <w:ind w:left="340" w:hanging="332"/>
        <w:spacing w:after="0" w:line="271" w:lineRule="auto"/>
        <w:tabs>
          <w:tab w:leader="none" w:pos="259" w:val="left"/>
        </w:tabs>
        <w:numPr>
          <w:ilvl w:val="0"/>
          <w:numId w:val="6"/>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11" w:lineRule="exact"/>
        <w:rPr>
          <w:sz w:val="20"/>
          <w:szCs w:val="20"/>
          <w:color w:val="auto"/>
        </w:rPr>
      </w:pPr>
    </w:p>
    <w:p>
      <w:pPr>
        <w:jc w:val="both"/>
        <w:spacing w:after="0" w:line="378" w:lineRule="auto"/>
        <w:rPr>
          <w:sz w:val="20"/>
          <w:szCs w:val="20"/>
          <w:color w:val="auto"/>
        </w:rPr>
      </w:pPr>
      <w:r>
        <w:rPr>
          <w:rFonts w:ascii="Arial" w:cs="Arial" w:eastAsia="Arial" w:hAnsi="Arial"/>
          <w:sz w:val="20"/>
          <w:szCs w:val="20"/>
          <w:b w:val="1"/>
          <w:bCs w:val="1"/>
          <w:color w:val="auto"/>
        </w:rPr>
        <w:t xml:space="preserve">Cardiopulmonary </w:t>
      </w:r>
      <w:r>
        <w:rPr>
          <w:rFonts w:ascii="Arial" w:cs="Arial" w:eastAsia="Arial" w:hAnsi="Arial"/>
          <w:sz w:val="20"/>
          <w:szCs w:val="20"/>
          <w:color w:val="auto"/>
        </w:rPr>
        <w:t>revenue increased 12.7% on a reported basis and 14.5% on a constant-currency basis versus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2023, driven by Essenz</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Perfusion System sales and strong consumables demand.</w:t>
      </w:r>
    </w:p>
    <w:p>
      <w:pPr>
        <w:spacing w:after="0" w:line="90" w:lineRule="exact"/>
        <w:rPr>
          <w:sz w:val="20"/>
          <w:szCs w:val="20"/>
          <w:color w:val="auto"/>
        </w:rPr>
      </w:pPr>
    </w:p>
    <w:p>
      <w:pPr>
        <w:jc w:val="both"/>
        <w:spacing w:after="0" w:line="386" w:lineRule="auto"/>
        <w:rPr>
          <w:sz w:val="20"/>
          <w:szCs w:val="20"/>
          <w:color w:val="auto"/>
        </w:rPr>
      </w:pPr>
      <w:r>
        <w:rPr>
          <w:rFonts w:ascii="Arial" w:cs="Arial" w:eastAsia="Arial" w:hAnsi="Arial"/>
          <w:sz w:val="20"/>
          <w:szCs w:val="20"/>
          <w:b w:val="1"/>
          <w:bCs w:val="1"/>
          <w:color w:val="auto"/>
        </w:rPr>
        <w:t xml:space="preserve">Neuromodulation </w:t>
      </w:r>
      <w:r>
        <w:rPr>
          <w:rFonts w:ascii="Arial" w:cs="Arial" w:eastAsia="Arial" w:hAnsi="Arial"/>
          <w:sz w:val="20"/>
          <w:szCs w:val="20"/>
          <w:color w:val="auto"/>
        </w:rPr>
        <w:t>revenue increased 7.3% on a reported basis and 7.8% on a constant-currency basis versus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2023 with growth across all regions, driven by an increase in total implants.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Analysis</w:t>
      </w:r>
    </w:p>
    <w:p>
      <w:pPr>
        <w:spacing w:after="0" w:line="324"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On a U.S. GAAP basis, second-quarter 2024 operating income was $40.2 million, as compared to operating income of $17.4 million for the second quarter of 2023. Adjusted operating income for the second quarter of 2024 was $66.9 million, as compared to adjusted operating income of $49.5 million for the second quarter of 2023.</w:t>
      </w:r>
    </w:p>
    <w:p>
      <w:pPr>
        <w:spacing w:after="0" w:line="17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On a U.S. GAAP basis, second-quarter 2024 diluted earnings per share was $0.30, as compared to diluted earnings per share of $0.02 in the second quarter of 2023. Second-quarter 2024 adjusted diluted earnings per share was $0.93, as compared to adjusted diluted earnings per share of $0.78 in the second quarter of 2023.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Events</w:t>
      </w:r>
    </w:p>
    <w:p>
      <w:pPr>
        <w:spacing w:after="0" w:line="339"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On July 22, 2024, the Constitutional Court of Italy determined that a payback law, which requires companies selling medical devices in Italy to repay a percentage of healthcare expenditures exceeding regional maximum caps for medical devices, is compliant with the Italian Constitution. As a result of the recent ruling by the Constitutional Court, the Company increased its reserve for the payback law by $6.6 million. The amount recognized was recorded as a reduction to net revenue in the condensed consolidated statements of income and as accrued liabilities and other in the condensed consolidated balance sheets.</w:t>
      </w:r>
    </w:p>
    <w:p>
      <w:pPr>
        <w:spacing w:after="0" w:line="189" w:lineRule="exact"/>
        <w:rPr>
          <w:sz w:val="20"/>
          <w:szCs w:val="20"/>
          <w:color w:val="auto"/>
        </w:rPr>
      </w:pPr>
    </w:p>
    <w:p>
      <w:pPr>
        <w:jc w:val="both"/>
        <w:spacing w:after="0" w:line="383" w:lineRule="auto"/>
        <w:rPr>
          <w:sz w:val="20"/>
          <w:szCs w:val="20"/>
          <w:color w:val="auto"/>
        </w:rPr>
      </w:pPr>
      <w:r>
        <w:rPr>
          <w:rFonts w:ascii="Arial" w:cs="Arial" w:eastAsia="Arial" w:hAnsi="Arial"/>
          <w:sz w:val="19"/>
          <w:szCs w:val="19"/>
          <w:color w:val="auto"/>
        </w:rPr>
        <w:t>On July 29, 2024, the European Court of Justice (ECJ) issued a judgment in response to a question raised by the Italian Supreme Court in connection with the SNIA litigation. The ECJ judgment states that a demerged company can be held responsible for liabilities not established prior to a demerger as long as the liabilities derive from the conduct of a demerged company prior to the demerger. However, the ECJ judgment also states that national law should determine whether liability for damages stemming from conduct after a demerger can be assigned to a demerged company. The matter will now return to the Italian Supreme Court where the ECJ judgment will be incorporated into a decision in conjunction with all of LivaNova's appeals, and counter-appeals submitted by the Italian Ministry of the Environment and other Italian government agencies. While the timing of the decision by the Italian Supreme Court is uncertain, LivaNova does not expect a decision until at least 2025.</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2024 Guidance</w:t>
      </w:r>
    </w:p>
    <w:p>
      <w:pPr>
        <w:spacing w:after="0" w:line="326"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LivaNova now expects revenue for full-year 2024 to grow between 7% and 8% on a constant-currency basis. When excluding the impact of the ACS segment wind down, the Company now expects revenue for full-year 2024 to grow between 9% and 10% on a constant-currency basis. Foreign currency is expected to be a 1% headwind based on current exchange rates.</w:t>
      </w:r>
    </w:p>
    <w:p>
      <w:pPr>
        <w:spacing w:after="0" w:line="17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Adjusted diluted earnings per share for 2024 is now expected to be in the range of $3.10 to $3.20, assuming a share count of approximately 55 million for full-year 2024. For 2024, the Company continues to estimate that adjusted free cash flow will be in the range of $95 to $115 million.</w:t>
      </w:r>
    </w:p>
    <w:p>
      <w:pPr>
        <w:spacing w:after="0" w:line="164"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33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 xml:space="preserve">The Company will host a live audiocast at 1 p.m. London time (8 a.m. Eastern Time) on Wednesday, July 31, 2024 that will be accessible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926038. Within 24 hours of the audiocast, a replay will be available at </w:t>
      </w:r>
      <w:r>
        <w:rPr>
          <w:rFonts w:ascii="Arial" w:cs="Arial" w:eastAsia="Arial" w:hAnsi="Arial"/>
          <w:sz w:val="20"/>
          <w:szCs w:val="20"/>
          <w:u w:val="single" w:color="auto"/>
          <w:color w:val="0E32E1"/>
        </w:rPr>
        <w:t>www.livanova.com/events</w:t>
      </w:r>
      <w:r>
        <w:rPr>
          <w:rFonts w:ascii="Arial" w:cs="Arial" w:eastAsia="Arial" w:hAnsi="Arial"/>
          <w:sz w:val="20"/>
          <w:szCs w:val="20"/>
          <w:color w:val="auto"/>
        </w:rPr>
        <w:t>, where it will be archived and accessible for approximately 90 days.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3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 xml:space="preserve">LivaNova PLC is a global medical technology company built on nearly five decades of experience and a relentless commitment to provide hope for patients and their families through medical technologies, delivering life-changing solutions in select neurological and cardiac conditions.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37"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spacing w:after="0" w:line="17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In this news release, the Company refers to comparable, constant-currency percent change in revenue. Company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6" w:lineRule="exact"/>
        <w:rPr>
          <w:sz w:val="20"/>
          <w:szCs w:val="20"/>
          <w:color w:val="auto"/>
        </w:rPr>
      </w:pPr>
    </w:p>
    <w:p>
      <w:pPr>
        <w:jc w:val="both"/>
        <w:spacing w:after="0" w:line="381"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items such as, but not limited to, changes in fair value of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CARES Act tax stimulus benefits, SNIA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the Company does not reconcile non-GAAP financial measures on a forward-looking basis as it is impractical to do so without unreasonable effort.</w:t>
      </w:r>
    </w:p>
    <w:p>
      <w:pPr>
        <w:spacing w:after="0" w:line="174"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The Company also believes adjusted financial measures such as adjusted cost of sales, adjusted gross profit, adjusted selling, general, and administrative expense, adjusted research and development expense, adjusted other operating expenses, adjusted operating income, adjusted income before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Furthermore, adjusted financial measures allow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37"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auto"/>
        </w:rPr>
        <w:t>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 and worldwide economic conditions, including as caused by the Ukraine war,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relating to supply chain pressures;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auto"/>
        </w:rPr>
        <w:t>losses or costs from pending or future litigation and governmental investigations, including in the case of the Company’s 3T Heater-Cooler and SNIA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risks relating to the impact of climate change and the risk of ESG pressures from internal and external stakeholders; the risk of quality deficiencies and the impacts thereof;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201"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United States Securities and Exchange Commission by LivaNova.</w:t>
      </w:r>
    </w:p>
    <w:p>
      <w:pPr>
        <w:spacing w:after="0" w:line="186"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Essenz is a trademark of LivaNova USA, Inc.</w:t>
      </w: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Arial" w:cs="Arial" w:eastAsia="Arial" w:hAnsi="Arial"/>
          <w:sz w:val="22"/>
          <w:szCs w:val="22"/>
          <w:color w:val="auto"/>
        </w:rPr>
        <w:t>Zach Glazier</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20"/>
          <w:szCs w:val="20"/>
          <w:color w:val="auto"/>
        </w:rPr>
        <w:t>Manager, Investor Relations</w:t>
      </w:r>
    </w:p>
    <w:p>
      <w:pPr>
        <w:ind w:left="80"/>
        <w:spacing w:after="0"/>
        <w:rPr>
          <w:sz w:val="20"/>
          <w:szCs w:val="20"/>
          <w:color w:val="auto"/>
        </w:rPr>
      </w:pPr>
      <w:r>
        <w:rPr>
          <w:rFonts w:ascii="Arial" w:cs="Arial" w:eastAsia="Arial" w:hAnsi="Arial"/>
          <w:sz w:val="20"/>
          <w:szCs w:val="20"/>
          <w:color w:val="auto"/>
        </w:rPr>
        <w:t>Phone: +1 281 895 2382</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InvestorRelations@livanova.com</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52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NET REVENUE - UNAUDITED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4"/>
            <w:vMerge w:val="restart"/>
          </w:tcPr>
          <w:p>
            <w:pPr>
              <w:ind w:left="640"/>
              <w:spacing w:after="0"/>
              <w:rPr>
                <w:sz w:val="20"/>
                <w:szCs w:val="20"/>
                <w:color w:val="auto"/>
              </w:rPr>
            </w:pPr>
            <w:r>
              <w:rPr>
                <w:rFonts w:ascii="Arial" w:cs="Arial" w:eastAsia="Arial" w:hAnsi="Arial"/>
                <w:sz w:val="18"/>
                <w:szCs w:val="18"/>
                <w:b w:val="1"/>
                <w:bCs w:val="1"/>
                <w:color w:val="auto"/>
              </w:rPr>
              <w:t>Three Months Ended June 30,</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vMerge w:val="continue"/>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4"/>
                <w:szCs w:val="14"/>
                <w:color w:val="auto"/>
              </w:rPr>
            </w:pPr>
          </w:p>
        </w:tc>
        <w:tc>
          <w:tcPr>
            <w:tcW w:w="13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196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 Change</w:t>
            </w:r>
          </w:p>
        </w:tc>
        <w:tc>
          <w:tcPr>
            <w:tcW w:w="186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rPr>
              <w:t>Constant-Currency</w:t>
            </w:r>
          </w:p>
        </w:tc>
        <w:tc>
          <w:tcPr>
            <w:tcW w:w="0" w:type="dxa"/>
            <w:vAlign w:val="bottom"/>
          </w:tcPr>
          <w:p>
            <w:pPr>
              <w:spacing w:after="0"/>
              <w:rPr>
                <w:sz w:val="1"/>
                <w:szCs w:val="1"/>
                <w:color w:val="auto"/>
              </w:rPr>
            </w:pPr>
          </w:p>
        </w:tc>
      </w:tr>
      <w:tr>
        <w:trPr>
          <w:trHeight w:val="243"/>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vMerge w:val="continue"/>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4"/>
        </w:trPr>
        <w:tc>
          <w:tcPr>
            <w:tcW w:w="452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29.7 %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32"/>
        </w:trPr>
        <w:tc>
          <w:tcPr>
            <w:tcW w:w="45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45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3"/>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4"/>
        </w:trPr>
        <w:tc>
          <w:tcPr>
            <w:tcW w:w="45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2"/>
        </w:trPr>
        <w:tc>
          <w:tcPr>
            <w:tcW w:w="45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5"/>
        </w:trPr>
        <w:tc>
          <w:tcPr>
            <w:tcW w:w="45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3"/>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4"/>
        </w:trPr>
        <w:tc>
          <w:tcPr>
            <w:tcW w:w="4520" w:type="dxa"/>
            <w:vAlign w:val="bottom"/>
          </w:tcPr>
          <w:p>
            <w:pPr>
              <w:spacing w:after="0" w:line="204" w:lineRule="exact"/>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32"/>
        </w:trPr>
        <w:tc>
          <w:tcPr>
            <w:tcW w:w="45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5"/>
        </w:trPr>
        <w:tc>
          <w:tcPr>
            <w:tcW w:w="45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line="222" w:lineRule="auto"/>
        <w:tabs>
          <w:tab w:leader="none" w:pos="33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Includes countries in Europe where the Company has a direct sales presence. Countries in Europe where sales are made through distributors are included in “Rest of World.”</w:t>
      </w:r>
    </w:p>
    <w:p>
      <w:pPr>
        <w:ind w:left="340" w:hanging="332"/>
        <w:spacing w:after="0" w:line="220" w:lineRule="auto"/>
        <w:tabs>
          <w:tab w:leader="none" w:pos="33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 segments.</w:t>
      </w:r>
    </w:p>
    <w:p>
      <w:pPr>
        <w:spacing w:after="0" w:line="1" w:lineRule="exact"/>
        <w:rPr>
          <w:sz w:val="20"/>
          <w:szCs w:val="20"/>
          <w:color w:val="auto"/>
        </w:rPr>
      </w:pPr>
    </w:p>
    <w:p>
      <w:pPr>
        <w:ind w:left="340" w:hanging="332"/>
        <w:spacing w:after="0" w:line="271" w:lineRule="auto"/>
        <w:tabs>
          <w:tab w:leader="none" w:pos="259"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b w:val="1"/>
                <w:bCs w:val="1"/>
                <w:color w:val="auto"/>
              </w:rPr>
              <w:t>NET REVENUE - UNAUDITED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4"/>
            <w:vMerge w:val="restart"/>
          </w:tcPr>
          <w:p>
            <w:pPr>
              <w:ind w:left="740"/>
              <w:spacing w:after="0"/>
              <w:rPr>
                <w:sz w:val="20"/>
                <w:szCs w:val="20"/>
                <w:color w:val="auto"/>
              </w:rPr>
            </w:pPr>
            <w:r>
              <w:rPr>
                <w:rFonts w:ascii="Arial" w:cs="Arial" w:eastAsia="Arial" w:hAnsi="Arial"/>
                <w:sz w:val="18"/>
                <w:szCs w:val="18"/>
                <w:b w:val="1"/>
                <w:bCs w:val="1"/>
                <w:color w:val="auto"/>
              </w:rPr>
              <w:t>Six Months Ended June 30,</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vMerge w:val="continue"/>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4"/>
                <w:szCs w:val="14"/>
                <w:color w:val="auto"/>
              </w:rPr>
            </w:pPr>
          </w:p>
        </w:tc>
        <w:tc>
          <w:tcPr>
            <w:tcW w:w="13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196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 Change</w:t>
            </w:r>
          </w:p>
        </w:tc>
        <w:tc>
          <w:tcPr>
            <w:tcW w:w="186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rPr>
              <w:t>Constant-Currency</w:t>
            </w:r>
          </w:p>
        </w:tc>
        <w:tc>
          <w:tcPr>
            <w:tcW w:w="0" w:type="dxa"/>
            <w:vAlign w:val="bottom"/>
          </w:tcPr>
          <w:p>
            <w:pPr>
              <w:spacing w:after="0"/>
              <w:rPr>
                <w:sz w:val="1"/>
                <w:szCs w:val="1"/>
                <w:color w:val="auto"/>
              </w:rPr>
            </w:pPr>
          </w:p>
        </w:tc>
      </w:tr>
      <w:tr>
        <w:trPr>
          <w:trHeight w:val="243"/>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vMerge w:val="continue"/>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4"/>
        </w:trPr>
        <w:tc>
          <w:tcPr>
            <w:tcW w:w="452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28.8 %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32"/>
        </w:trPr>
        <w:tc>
          <w:tcPr>
            <w:tcW w:w="45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5"/>
        </w:trPr>
        <w:tc>
          <w:tcPr>
            <w:tcW w:w="45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3"/>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04"/>
        </w:trPr>
        <w:tc>
          <w:tcPr>
            <w:tcW w:w="45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2"/>
        </w:trPr>
        <w:tc>
          <w:tcPr>
            <w:tcW w:w="45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5"/>
        </w:trPr>
        <w:tc>
          <w:tcPr>
            <w:tcW w:w="45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3"/>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Other Revenue </w:t>
            </w:r>
            <w:r>
              <w:rPr>
                <w:rFonts w:ascii="Arial" w:cs="Arial" w:eastAsia="Arial" w:hAnsi="Arial"/>
                <w:sz w:val="23"/>
                <w:szCs w:val="23"/>
                <w:b w:val="1"/>
                <w:bCs w:val="1"/>
                <w:color w:val="auto"/>
                <w:vertAlign w:val="superscript"/>
              </w:rPr>
              <w:t>(2)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4"/>
        </w:trPr>
        <w:tc>
          <w:tcPr>
            <w:tcW w:w="4520" w:type="dxa"/>
            <w:vAlign w:val="bottom"/>
          </w:tcPr>
          <w:p>
            <w:pPr>
              <w:spacing w:after="0" w:line="204" w:lineRule="exact"/>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32"/>
        </w:trPr>
        <w:tc>
          <w:tcPr>
            <w:tcW w:w="4520" w:type="dxa"/>
            <w:vAlign w:val="bottom"/>
          </w:tcPr>
          <w:p>
            <w:pPr>
              <w:ind w:left="120"/>
              <w:spacing w:after="0" w:line="23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104.1</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5"/>
        </w:trPr>
        <w:tc>
          <w:tcPr>
            <w:tcW w:w="452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40" w:hanging="332"/>
        <w:spacing w:after="0" w:line="222" w:lineRule="auto"/>
        <w:tabs>
          <w:tab w:leader="none" w:pos="33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countries in Europe where the Company has a direct sales presence. Countries in Europe where sales are made through distributors are included in “Rest of World.”</w:t>
      </w:r>
    </w:p>
    <w:p>
      <w:pPr>
        <w:ind w:left="340" w:hanging="332"/>
        <w:spacing w:after="0" w:line="220" w:lineRule="auto"/>
        <w:tabs>
          <w:tab w:leader="none" w:pos="33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"Other Revenue" includes revenue from the Company’s former ACS reportable segment, as well as rental and site services income not allocated to segments.</w:t>
      </w:r>
    </w:p>
    <w:p>
      <w:pPr>
        <w:spacing w:after="0" w:line="1" w:lineRule="exact"/>
        <w:rPr>
          <w:sz w:val="20"/>
          <w:szCs w:val="20"/>
          <w:color w:val="auto"/>
        </w:rPr>
      </w:pPr>
    </w:p>
    <w:p>
      <w:pPr>
        <w:ind w:left="340" w:hanging="332"/>
        <w:spacing w:after="0" w:line="271" w:lineRule="auto"/>
        <w:tabs>
          <w:tab w:leader="none" w:pos="259"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 Segment financial information presented herein reflects LivaNova's change in segments, effective in the first quarter 2024,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LIVANOVA PLC AND SUBSIDIARIES</w:t>
      </w:r>
    </w:p>
    <w:p>
      <w:pPr>
        <w:spacing w:after="0" w:line="40" w:lineRule="exact"/>
        <w:rPr>
          <w:sz w:val="20"/>
          <w:szCs w:val="20"/>
          <w:color w:val="auto"/>
        </w:rPr>
      </w:pPr>
    </w:p>
    <w:p>
      <w:pPr>
        <w:ind w:left="20" w:right="5060"/>
        <w:spacing w:after="0" w:line="292"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2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spacing w:after="0"/>
              <w:rPr>
                <w:sz w:val="20"/>
                <w:szCs w:val="20"/>
                <w:color w:val="auto"/>
              </w:rPr>
            </w:pPr>
            <w:r>
              <w:rPr>
                <w:rFonts w:ascii="Arial" w:cs="Arial" w:eastAsia="Arial" w:hAnsi="Arial"/>
                <w:sz w:val="18"/>
                <w:szCs w:val="18"/>
                <w:color w:val="auto"/>
              </w:rPr>
              <w:t>Net revenue</w:t>
            </w: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$293.9</w:t>
            </w: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5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4"/>
        </w:trPr>
        <w:tc>
          <w:tcPr>
            <w:tcW w:w="5420" w:type="dxa"/>
            <w:vAlign w:val="bottom"/>
          </w:tcPr>
          <w:p>
            <w:pPr>
              <w:spacing w:after="0" w:line="204" w:lineRule="exact"/>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Other operating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income</w:t>
            </w: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131.2 %</w:t>
            </w:r>
          </w:p>
        </w:tc>
        <w:tc>
          <w:tcPr>
            <w:tcW w:w="0" w:type="dxa"/>
            <w:vAlign w:val="bottom"/>
          </w:tcPr>
          <w:p>
            <w:pPr>
              <w:spacing w:after="0"/>
              <w:rPr>
                <w:sz w:val="1"/>
                <w:szCs w:val="1"/>
                <w:color w:val="auto"/>
              </w:rPr>
            </w:pPr>
          </w:p>
        </w:tc>
      </w:tr>
      <w:tr>
        <w:trPr>
          <w:trHeight w:val="218"/>
        </w:trPr>
        <w:tc>
          <w:tcPr>
            <w:tcW w:w="54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Income before tax</w:t>
            </w: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308.9 %</w:t>
            </w: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1,314.1 %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658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8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7"/>
        </w:trPr>
        <w:tc>
          <w:tcPr>
            <w:tcW w:w="8000" w:type="dxa"/>
            <w:vAlign w:val="bottom"/>
            <w:gridSpan w:val="10"/>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 - Unaudited</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gridSpan w:val="10"/>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Adjusted SG&amp;A</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2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Adjusted R&amp;D</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9"/>
        </w:trPr>
        <w:tc>
          <w:tcPr>
            <w:tcW w:w="3720" w:type="dxa"/>
            <w:vAlign w:val="bottom"/>
          </w:tcPr>
          <w:p>
            <w:pPr>
              <w:ind w:left="20"/>
              <w:spacing w:after="0"/>
              <w:rPr>
                <w:sz w:val="20"/>
                <w:szCs w:val="20"/>
                <w:color w:val="auto"/>
              </w:rPr>
            </w:pPr>
            <w:r>
              <w:rPr>
                <w:rFonts w:ascii="Arial" w:cs="Arial" w:eastAsia="Arial" w:hAnsi="Arial"/>
                <w:sz w:val="18"/>
                <w:szCs w:val="18"/>
                <w:color w:val="auto"/>
              </w:rPr>
              <w:t>Adjusted diluted earnings per share</w:t>
            </w: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561"/>
        </w:trPr>
        <w:tc>
          <w:tcPr>
            <w:tcW w:w="6240" w:type="dxa"/>
            <w:vAlign w:val="bottom"/>
            <w:gridSpan w:val="5"/>
          </w:tcPr>
          <w:p>
            <w:pPr>
              <w:spacing w:after="0"/>
              <w:rPr>
                <w:sz w:val="20"/>
                <w:szCs w:val="20"/>
                <w:color w:val="auto"/>
              </w:rPr>
            </w:pPr>
            <w:r>
              <w:rPr>
                <w:rFonts w:ascii="Arial" w:cs="Arial" w:eastAsia="Arial" w:hAnsi="Arial"/>
                <w:sz w:val="18"/>
                <w:szCs w:val="18"/>
                <w:b w:val="1"/>
                <w:bCs w:val="1"/>
                <w:color w:val="auto"/>
              </w:rPr>
              <w:t>Statistics (as a % of net revenue, except for income tax rate) - Unaudited</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720" w:type="dxa"/>
            <w:vAlign w:val="bottom"/>
          </w:tcPr>
          <w:p>
            <w:pPr>
              <w:spacing w:after="0"/>
              <w:rPr>
                <w:sz w:val="24"/>
                <w:szCs w:val="24"/>
                <w:color w:val="auto"/>
              </w:rPr>
            </w:pPr>
          </w:p>
        </w:tc>
        <w:tc>
          <w:tcPr>
            <w:tcW w:w="4280" w:type="dxa"/>
            <w:vAlign w:val="bottom"/>
            <w:gridSpan w:val="9"/>
          </w:tcPr>
          <w:p>
            <w:pPr>
              <w:jc w:val="center"/>
              <w:ind w:right="620"/>
              <w:spacing w:after="0"/>
              <w:rPr>
                <w:sz w:val="20"/>
                <w:szCs w:val="20"/>
                <w:color w:val="auto"/>
              </w:rPr>
            </w:pPr>
            <w:r>
              <w:rPr>
                <w:rFonts w:ascii="Arial" w:cs="Arial" w:eastAsia="Arial" w:hAnsi="Arial"/>
                <w:sz w:val="18"/>
                <w:szCs w:val="18"/>
                <w:b w:val="1"/>
                <w:bCs w:val="1"/>
                <w:color w:val="auto"/>
                <w:w w:val="99"/>
              </w:rPr>
              <w:t>GAAP Three Months Ended</w:t>
            </w:r>
          </w:p>
        </w:tc>
        <w:tc>
          <w:tcPr>
            <w:tcW w:w="3240" w:type="dxa"/>
            <w:vAlign w:val="bottom"/>
            <w:gridSpan w:val="6"/>
          </w:tcPr>
          <w:p>
            <w:pPr>
              <w:jc w:val="center"/>
              <w:ind w:right="430"/>
              <w:spacing w:after="0"/>
              <w:rPr>
                <w:sz w:val="20"/>
                <w:szCs w:val="20"/>
                <w:color w:val="auto"/>
              </w:rPr>
            </w:pPr>
            <w:r>
              <w:rPr>
                <w:rFonts w:ascii="Arial" w:cs="Arial" w:eastAsia="Arial" w:hAnsi="Arial"/>
                <w:sz w:val="18"/>
                <w:szCs w:val="18"/>
                <w:b w:val="1"/>
                <w:bCs w:val="1"/>
                <w:color w:val="auto"/>
                <w:w w:val="99"/>
              </w:rPr>
              <w:t>Adjusted Three Months Ended</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2520" w:type="dxa"/>
            <w:vAlign w:val="bottom"/>
            <w:tcBorders>
              <w:bottom w:val="single" w:sz="8" w:color="auto"/>
            </w:tcBorders>
            <w:gridSpan w:val="4"/>
          </w:tcPr>
          <w:p>
            <w:pPr>
              <w:jc w:val="center"/>
              <w:ind w:left="1110"/>
              <w:spacing w:after="0"/>
              <w:rPr>
                <w:sz w:val="20"/>
                <w:szCs w:val="20"/>
                <w:color w:val="auto"/>
              </w:rPr>
            </w:pPr>
            <w:r>
              <w:rPr>
                <w:rFonts w:ascii="Arial" w:cs="Arial" w:eastAsia="Arial" w:hAnsi="Arial"/>
                <w:sz w:val="18"/>
                <w:szCs w:val="18"/>
                <w:b w:val="1"/>
                <w:bCs w:val="1"/>
                <w:color w:val="auto"/>
                <w:w w:val="99"/>
              </w:rPr>
              <w:t>June 30,</w:t>
            </w:r>
          </w:p>
        </w:tc>
        <w:tc>
          <w:tcPr>
            <w:tcW w:w="1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99"/>
              </w:rPr>
              <w:t>June 30,</w:t>
            </w: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1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3720" w:type="dxa"/>
            <w:vAlign w:val="bottom"/>
            <w:vMerge w:val="continue"/>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68.7 %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71.6 %</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SG&amp;A</w:t>
            </w:r>
          </w:p>
        </w:tc>
        <w:tc>
          <w:tcPr>
            <w:tcW w:w="1800" w:type="dxa"/>
            <w:vAlign w:val="bottom"/>
          </w:tcPr>
          <w:p>
            <w:pPr>
              <w:jc w:val="right"/>
              <w:spacing w:after="0"/>
              <w:rPr>
                <w:sz w:val="20"/>
                <w:szCs w:val="20"/>
                <w:color w:val="auto"/>
              </w:rPr>
            </w:pPr>
            <w:r>
              <w:rPr>
                <w:rFonts w:ascii="Arial" w:cs="Arial" w:eastAsia="Arial" w:hAnsi="Arial"/>
                <w:sz w:val="18"/>
                <w:szCs w:val="18"/>
                <w:color w:val="auto"/>
              </w:rPr>
              <w:t>40.5 %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R&amp;D</w:t>
            </w:r>
          </w:p>
        </w:tc>
        <w:tc>
          <w:tcPr>
            <w:tcW w:w="1800" w:type="dxa"/>
            <w:vAlign w:val="bottom"/>
          </w:tcPr>
          <w:p>
            <w:pPr>
              <w:jc w:val="right"/>
              <w:spacing w:after="0"/>
              <w:rPr>
                <w:sz w:val="20"/>
                <w:szCs w:val="20"/>
                <w:color w:val="auto"/>
              </w:rPr>
            </w:pPr>
            <w:r>
              <w:rPr>
                <w:rFonts w:ascii="Arial" w:cs="Arial" w:eastAsia="Arial" w:hAnsi="Arial"/>
                <w:sz w:val="18"/>
                <w:szCs w:val="18"/>
                <w:color w:val="auto"/>
              </w:rPr>
              <w:t>14.0 %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12.6 %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5.1 %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9"/>
        </w:trPr>
        <w:tc>
          <w:tcPr>
            <w:tcW w:w="3720" w:type="dxa"/>
            <w:vAlign w:val="bottom"/>
          </w:tcPr>
          <w:p>
            <w:pPr>
              <w:ind w:left="20"/>
              <w:spacing w:after="0"/>
              <w:rPr>
                <w:sz w:val="20"/>
                <w:szCs w:val="20"/>
                <w:color w:val="auto"/>
              </w:rPr>
            </w:pPr>
            <w:r>
              <w:rPr>
                <w:rFonts w:ascii="Arial" w:cs="Arial" w:eastAsia="Arial" w:hAnsi="Arial"/>
                <w:sz w:val="18"/>
                <w:szCs w:val="18"/>
                <w:color w:val="auto"/>
              </w:rPr>
              <w:t>Income tax rate</w:t>
            </w:r>
          </w:p>
        </w:tc>
        <w:tc>
          <w:tcPr>
            <w:tcW w:w="1800" w:type="dxa"/>
            <w:vAlign w:val="bottom"/>
          </w:tcPr>
          <w:p>
            <w:pPr>
              <w:jc w:val="right"/>
              <w:spacing w:after="0"/>
              <w:rPr>
                <w:sz w:val="20"/>
                <w:szCs w:val="20"/>
                <w:color w:val="auto"/>
              </w:rPr>
            </w:pPr>
            <w:r>
              <w:rPr>
                <w:rFonts w:ascii="Arial" w:cs="Arial" w:eastAsia="Arial" w:hAnsi="Arial"/>
                <w:sz w:val="18"/>
                <w:szCs w:val="18"/>
                <w:color w:val="auto"/>
              </w:rPr>
              <w:t>24.2 %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7" w:right="339" w:bottom="1440" w:gutter="0" w:footer="0" w:header="0"/>
        </w:sectPr>
      </w:pPr>
    </w:p>
    <w:bookmarkStart w:id="14" w:name="page15"/>
    <w:bookmarkEnd w:id="14"/>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LIVANOVA PLC AND SUBSIDIARIES</w:t>
      </w:r>
    </w:p>
    <w:p>
      <w:pPr>
        <w:spacing w:after="0" w:line="40" w:lineRule="exact"/>
        <w:rPr>
          <w:sz w:val="20"/>
          <w:szCs w:val="20"/>
          <w:color w:val="auto"/>
        </w:rPr>
      </w:pPr>
    </w:p>
    <w:p>
      <w:pPr>
        <w:ind w:left="20" w:right="5060"/>
        <w:spacing w:after="0" w:line="292"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20" w:type="dxa"/>
            <w:vAlign w:val="bottom"/>
          </w:tcPr>
          <w:p>
            <w:pPr>
              <w:spacing w:after="0"/>
              <w:rPr>
                <w:sz w:val="20"/>
                <w:szCs w:val="20"/>
                <w:color w:val="auto"/>
              </w:rPr>
            </w:pPr>
          </w:p>
        </w:tc>
        <w:tc>
          <w:tcPr>
            <w:tcW w:w="312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160" w:type="dxa"/>
            <w:vAlign w:val="bottom"/>
          </w:tcPr>
          <w:p>
            <w:pPr>
              <w:ind w:left="720"/>
              <w:spacing w:after="0"/>
              <w:rPr>
                <w:sz w:val="20"/>
                <w:szCs w:val="20"/>
                <w:color w:val="auto"/>
              </w:rPr>
            </w:pPr>
            <w:r>
              <w:rPr>
                <w:rFonts w:ascii="Arial" w:cs="Arial" w:eastAsia="Arial" w:hAnsi="Arial"/>
                <w:sz w:val="18"/>
                <w:szCs w:val="18"/>
                <w:b w:val="1"/>
                <w:bCs w:val="1"/>
                <w:color w:val="auto"/>
              </w:rPr>
              <w:t>2024</w:t>
            </w:r>
          </w:p>
        </w:tc>
        <w:tc>
          <w:tcPr>
            <w:tcW w:w="1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Pr>
          <w:p>
            <w:pPr>
              <w:spacing w:after="0"/>
              <w:rPr>
                <w:sz w:val="20"/>
                <w:szCs w:val="20"/>
                <w:color w:val="auto"/>
              </w:rPr>
            </w:pPr>
            <w:r>
              <w:rPr>
                <w:rFonts w:ascii="Arial" w:cs="Arial" w:eastAsia="Arial" w:hAnsi="Arial"/>
                <w:sz w:val="18"/>
                <w:szCs w:val="18"/>
                <w:color w:val="auto"/>
              </w:rPr>
              <w:t>Net revenue</w:t>
            </w: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5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04"/>
        </w:trPr>
        <w:tc>
          <w:tcPr>
            <w:tcW w:w="5420" w:type="dxa"/>
            <w:vAlign w:val="bottom"/>
          </w:tcPr>
          <w:p>
            <w:pPr>
              <w:spacing w:after="0" w:line="204" w:lineRule="exact"/>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Other operating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income</w:t>
            </w: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275.2 %</w:t>
            </w:r>
          </w:p>
        </w:tc>
        <w:tc>
          <w:tcPr>
            <w:tcW w:w="0" w:type="dxa"/>
            <w:vAlign w:val="bottom"/>
          </w:tcPr>
          <w:p>
            <w:pPr>
              <w:spacing w:after="0"/>
              <w:rPr>
                <w:sz w:val="1"/>
                <w:szCs w:val="1"/>
                <w:color w:val="auto"/>
              </w:rPr>
            </w:pPr>
          </w:p>
        </w:tc>
      </w:tr>
      <w:tr>
        <w:trPr>
          <w:trHeight w:val="218"/>
        </w:trPr>
        <w:tc>
          <w:tcPr>
            <w:tcW w:w="54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Loss on debt extinguishment</w:t>
            </w:r>
          </w:p>
        </w:tc>
        <w:tc>
          <w:tcPr>
            <w:tcW w:w="6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Foreign exchange and other income/(expense)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(Loss) income before tax</w:t>
            </w: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8"/>
        </w:trPr>
        <w:tc>
          <w:tcPr>
            <w:tcW w:w="54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8"/>
                <w:szCs w:val="18"/>
                <w:color w:val="auto"/>
              </w:rPr>
              <w:t>Loss from equity method investments</w:t>
            </w: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6580" w:type="dxa"/>
            <w:vAlign w:val="bottom"/>
            <w:gridSpan w:val="2"/>
          </w:tcPr>
          <w:p>
            <w:pPr>
              <w:spacing w:after="0"/>
              <w:rPr>
                <w:sz w:val="20"/>
                <w:szCs w:val="20"/>
                <w:color w:val="auto"/>
              </w:rPr>
            </w:pPr>
            <w:r>
              <w:rPr>
                <w:rFonts w:ascii="Arial" w:cs="Arial" w:eastAsia="Arial" w:hAnsi="Arial"/>
                <w:sz w:val="18"/>
                <w:szCs w:val="18"/>
                <w:color w:val="auto"/>
              </w:rPr>
              <w:t>Basic (loss)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580" w:type="dxa"/>
            <w:vAlign w:val="bottom"/>
            <w:gridSpan w:val="2"/>
          </w:tcPr>
          <w:p>
            <w:pPr>
              <w:spacing w:after="0"/>
              <w:rPr>
                <w:sz w:val="20"/>
                <w:szCs w:val="20"/>
                <w:color w:val="auto"/>
              </w:rPr>
            </w:pPr>
            <w:r>
              <w:rPr>
                <w:rFonts w:ascii="Arial" w:cs="Arial" w:eastAsia="Arial" w:hAnsi="Arial"/>
                <w:sz w:val="18"/>
                <w:szCs w:val="18"/>
                <w:color w:val="auto"/>
              </w:rPr>
              <w:t>Diluted (loss) income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7"/>
        </w:trPr>
        <w:tc>
          <w:tcPr>
            <w:tcW w:w="8060" w:type="dxa"/>
            <w:vAlign w:val="bottom"/>
            <w:gridSpan w:val="10"/>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 - Unaudited</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3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20" w:type="dxa"/>
            <w:vAlign w:val="bottom"/>
            <w:gridSpan w:val="10"/>
          </w:tcPr>
          <w:p>
            <w:pPr>
              <w:ind w:left="120"/>
              <w:spacing w:after="0"/>
              <w:rPr>
                <w:sz w:val="20"/>
                <w:szCs w:val="20"/>
                <w:color w:val="auto"/>
              </w:rPr>
            </w:pPr>
            <w:r>
              <w:rPr>
                <w:rFonts w:ascii="Arial" w:cs="Arial" w:eastAsia="Arial" w:hAnsi="Arial"/>
                <w:sz w:val="18"/>
                <w:szCs w:val="18"/>
                <w:b w:val="1"/>
                <w:bCs w:val="1"/>
                <w:color w:val="auto"/>
              </w:rPr>
              <w:t>Six Months Ended June 30,</w:t>
            </w:r>
          </w:p>
        </w:tc>
        <w:tc>
          <w:tcPr>
            <w:tcW w:w="13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Adjusted SG&amp;A</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2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Adjusted R&amp;D</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57.3 %</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39"/>
        </w:trPr>
        <w:tc>
          <w:tcPr>
            <w:tcW w:w="3720" w:type="dxa"/>
            <w:vAlign w:val="bottom"/>
          </w:tcPr>
          <w:p>
            <w:pPr>
              <w:ind w:left="20"/>
              <w:spacing w:after="0"/>
              <w:rPr>
                <w:sz w:val="20"/>
                <w:szCs w:val="20"/>
                <w:color w:val="auto"/>
              </w:rPr>
            </w:pPr>
            <w:r>
              <w:rPr>
                <w:rFonts w:ascii="Arial" w:cs="Arial" w:eastAsia="Arial" w:hAnsi="Arial"/>
                <w:sz w:val="18"/>
                <w:szCs w:val="18"/>
                <w:color w:val="auto"/>
              </w:rPr>
              <w:t>Adjusted diluted earnings per share</w:t>
            </w: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37.4 %</w:t>
            </w:r>
          </w:p>
        </w:tc>
        <w:tc>
          <w:tcPr>
            <w:tcW w:w="0" w:type="dxa"/>
            <w:vAlign w:val="bottom"/>
          </w:tcPr>
          <w:p>
            <w:pPr>
              <w:spacing w:after="0"/>
              <w:rPr>
                <w:sz w:val="1"/>
                <w:szCs w:val="1"/>
                <w:color w:val="auto"/>
              </w:rPr>
            </w:pPr>
          </w:p>
        </w:tc>
      </w:tr>
      <w:tr>
        <w:trPr>
          <w:trHeight w:val="561"/>
        </w:trPr>
        <w:tc>
          <w:tcPr>
            <w:tcW w:w="6260" w:type="dxa"/>
            <w:vAlign w:val="bottom"/>
            <w:gridSpan w:val="5"/>
          </w:tcPr>
          <w:p>
            <w:pPr>
              <w:spacing w:after="0"/>
              <w:rPr>
                <w:sz w:val="20"/>
                <w:szCs w:val="20"/>
                <w:color w:val="auto"/>
              </w:rPr>
            </w:pPr>
            <w:r>
              <w:rPr>
                <w:rFonts w:ascii="Arial" w:cs="Arial" w:eastAsia="Arial" w:hAnsi="Arial"/>
                <w:sz w:val="18"/>
                <w:szCs w:val="18"/>
                <w:b w:val="1"/>
                <w:bCs w:val="1"/>
                <w:color w:val="auto"/>
              </w:rPr>
              <w:t>Statistics (as a % of net revenue, except for income tax rate) - Unaudited</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720" w:type="dxa"/>
            <w:vAlign w:val="bottom"/>
          </w:tcPr>
          <w:p>
            <w:pPr>
              <w:spacing w:after="0"/>
              <w:rPr>
                <w:sz w:val="24"/>
                <w:szCs w:val="24"/>
                <w:color w:val="auto"/>
              </w:rPr>
            </w:pPr>
          </w:p>
        </w:tc>
        <w:tc>
          <w:tcPr>
            <w:tcW w:w="4340" w:type="dxa"/>
            <w:vAlign w:val="bottom"/>
            <w:gridSpan w:val="9"/>
          </w:tcPr>
          <w:p>
            <w:pPr>
              <w:jc w:val="center"/>
              <w:ind w:right="680"/>
              <w:spacing w:after="0"/>
              <w:rPr>
                <w:sz w:val="20"/>
                <w:szCs w:val="20"/>
                <w:color w:val="auto"/>
              </w:rPr>
            </w:pPr>
            <w:r>
              <w:rPr>
                <w:rFonts w:ascii="Arial" w:cs="Arial" w:eastAsia="Arial" w:hAnsi="Arial"/>
                <w:sz w:val="18"/>
                <w:szCs w:val="18"/>
                <w:b w:val="1"/>
                <w:bCs w:val="1"/>
                <w:color w:val="auto"/>
              </w:rPr>
              <w:t>GAAP Six Months Ended</w:t>
            </w:r>
          </w:p>
        </w:tc>
        <w:tc>
          <w:tcPr>
            <w:tcW w:w="3180" w:type="dxa"/>
            <w:vAlign w:val="bottom"/>
            <w:gridSpan w:val="6"/>
          </w:tcPr>
          <w:p>
            <w:pPr>
              <w:jc w:val="center"/>
              <w:ind w:right="470"/>
              <w:spacing w:after="0"/>
              <w:rPr>
                <w:sz w:val="20"/>
                <w:szCs w:val="20"/>
                <w:color w:val="auto"/>
              </w:rPr>
            </w:pPr>
            <w:r>
              <w:rPr>
                <w:rFonts w:ascii="Arial" w:cs="Arial" w:eastAsia="Arial" w:hAnsi="Arial"/>
                <w:sz w:val="18"/>
                <w:szCs w:val="18"/>
                <w:b w:val="1"/>
                <w:bCs w:val="1"/>
                <w:color w:val="auto"/>
                <w:w w:val="99"/>
              </w:rPr>
              <w:t>Adjusted Six Months Ended</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1090"/>
              <w:spacing w:after="0"/>
              <w:rPr>
                <w:sz w:val="20"/>
                <w:szCs w:val="20"/>
                <w:color w:val="auto"/>
              </w:rPr>
            </w:pPr>
            <w:r>
              <w:rPr>
                <w:rFonts w:ascii="Arial" w:cs="Arial" w:eastAsia="Arial" w:hAnsi="Arial"/>
                <w:sz w:val="18"/>
                <w:szCs w:val="18"/>
                <w:b w:val="1"/>
                <w:bCs w:val="1"/>
                <w:color w:val="auto"/>
                <w:w w:val="99"/>
              </w:rPr>
              <w:t>June 30,</w:t>
            </w:r>
          </w:p>
        </w:tc>
        <w:tc>
          <w:tcPr>
            <w:tcW w:w="11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5"/>
          </w:tcPr>
          <w:p>
            <w:pPr>
              <w:jc w:val="center"/>
              <w:ind w:left="770"/>
              <w:spacing w:after="0"/>
              <w:rPr>
                <w:sz w:val="20"/>
                <w:szCs w:val="20"/>
                <w:color w:val="auto"/>
              </w:rPr>
            </w:pPr>
            <w:r>
              <w:rPr>
                <w:rFonts w:ascii="Arial" w:cs="Arial" w:eastAsia="Arial" w:hAnsi="Arial"/>
                <w:sz w:val="18"/>
                <w:szCs w:val="18"/>
                <w:b w:val="1"/>
                <w:bCs w:val="1"/>
                <w:color w:val="auto"/>
                <w:w w:val="99"/>
              </w:rPr>
              <w:t>June 30,</w:t>
            </w: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1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8"/>
        </w:trPr>
        <w:tc>
          <w:tcPr>
            <w:tcW w:w="3720" w:type="dxa"/>
            <w:vAlign w:val="bottom"/>
            <w:vMerge w:val="continue"/>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69.5 %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70.3 %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SG&amp;A</w:t>
            </w:r>
          </w:p>
        </w:tc>
        <w:tc>
          <w:tcPr>
            <w:tcW w:w="1800" w:type="dxa"/>
            <w:vAlign w:val="bottom"/>
          </w:tcPr>
          <w:p>
            <w:pPr>
              <w:jc w:val="right"/>
              <w:spacing w:after="0"/>
              <w:rPr>
                <w:sz w:val="20"/>
                <w:szCs w:val="20"/>
                <w:color w:val="auto"/>
              </w:rPr>
            </w:pPr>
            <w:r>
              <w:rPr>
                <w:rFonts w:ascii="Arial" w:cs="Arial" w:eastAsia="Arial" w:hAnsi="Arial"/>
                <w:sz w:val="18"/>
                <w:szCs w:val="18"/>
                <w:color w:val="auto"/>
              </w:rPr>
              <w:t>42.2 %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R&amp;D</w:t>
            </w:r>
          </w:p>
        </w:tc>
        <w:tc>
          <w:tcPr>
            <w:tcW w:w="1800" w:type="dxa"/>
            <w:vAlign w:val="bottom"/>
          </w:tcPr>
          <w:p>
            <w:pPr>
              <w:jc w:val="right"/>
              <w:spacing w:after="0"/>
              <w:rPr>
                <w:sz w:val="20"/>
                <w:szCs w:val="20"/>
                <w:color w:val="auto"/>
              </w:rPr>
            </w:pPr>
            <w:r>
              <w:rPr>
                <w:rFonts w:ascii="Arial" w:cs="Arial" w:eastAsia="Arial" w:hAnsi="Arial"/>
                <w:sz w:val="18"/>
                <w:szCs w:val="18"/>
                <w:color w:val="auto"/>
              </w:rPr>
              <w:t>14.7 %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9.2 %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80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9"/>
        </w:trPr>
        <w:tc>
          <w:tcPr>
            <w:tcW w:w="3720" w:type="dxa"/>
            <w:vAlign w:val="bottom"/>
          </w:tcPr>
          <w:p>
            <w:pPr>
              <w:ind w:left="20"/>
              <w:spacing w:after="0"/>
              <w:rPr>
                <w:sz w:val="20"/>
                <w:szCs w:val="20"/>
                <w:color w:val="auto"/>
              </w:rPr>
            </w:pPr>
            <w:r>
              <w:rPr>
                <w:rFonts w:ascii="Arial" w:cs="Arial" w:eastAsia="Arial" w:hAnsi="Arial"/>
                <w:sz w:val="18"/>
                <w:szCs w:val="18"/>
                <w:color w:val="auto"/>
              </w:rPr>
              <w:t>Income tax rate</w:t>
            </w:r>
          </w:p>
        </w:tc>
        <w:tc>
          <w:tcPr>
            <w:tcW w:w="1800" w:type="dxa"/>
            <w:vAlign w:val="bottom"/>
          </w:tcPr>
          <w:p>
            <w:pPr>
              <w:jc w:val="right"/>
              <w:spacing w:after="0"/>
              <w:rPr>
                <w:sz w:val="20"/>
                <w:szCs w:val="20"/>
                <w:color w:val="auto"/>
              </w:rPr>
            </w:pPr>
            <w:r>
              <w:rPr>
                <w:rFonts w:ascii="Arial" w:cs="Arial" w:eastAsia="Arial" w:hAnsi="Arial"/>
                <w:sz w:val="18"/>
                <w:szCs w:val="18"/>
                <w:color w:val="auto"/>
              </w:rPr>
              <w:t>(102.6)%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7" w:right="339" w:bottom="1440" w:gutter="0" w:footer="0" w:header="0"/>
        </w:sectPr>
      </w:pPr>
    </w:p>
    <w:bookmarkStart w:id="16" w:name="page17"/>
    <w:bookmarkEnd w:id="16"/>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9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18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0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Restructuring</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and</w:t>
            </w:r>
          </w:p>
        </w:tc>
        <w:tc>
          <w:tcPr>
            <w:tcW w:w="1840" w:type="dxa"/>
            <w:vAlign w:val="bottom"/>
            <w:vMerge w:val="restart"/>
          </w:tcPr>
          <w:p>
            <w:pPr>
              <w:ind w:left="1060"/>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Contingent</w:t>
            </w:r>
          </w:p>
        </w:tc>
        <w:tc>
          <w:tcPr>
            <w:tcW w:w="8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9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line="135"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Financial</w:t>
            </w:r>
          </w:p>
        </w:tc>
        <w:tc>
          <w:tcPr>
            <w:tcW w:w="98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18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60" w:type="dxa"/>
            <w:vAlign w:val="bottom"/>
            <w:vMerge w:val="continue"/>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Interest</w:t>
            </w:r>
          </w:p>
        </w:tc>
        <w:tc>
          <w:tcPr>
            <w:tcW w:w="70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auto"/>
                <w:w w:val="95"/>
              </w:rPr>
              <w:t>Financial</w:t>
            </w:r>
          </w:p>
        </w:tc>
        <w:tc>
          <w:tcPr>
            <w:tcW w:w="0" w:type="dxa"/>
            <w:vAlign w:val="bottom"/>
          </w:tcPr>
          <w:p>
            <w:pPr>
              <w:spacing w:after="0"/>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4"/>
                <w:szCs w:val="14"/>
                <w:b w:val="1"/>
                <w:bCs w:val="1"/>
                <w:color w:val="auto"/>
              </w:rPr>
              <w:t>June 30, 2024</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9"/>
              </w:rPr>
              <w:t>Measures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(1)</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(2)</w:t>
            </w:r>
          </w:p>
        </w:tc>
        <w:tc>
          <w:tcPr>
            <w:tcW w:w="1840" w:type="dxa"/>
            <w:vAlign w:val="bottom"/>
          </w:tcPr>
          <w:p>
            <w:pPr>
              <w:ind w:left="60"/>
              <w:spacing w:after="0"/>
              <w:rPr>
                <w:sz w:val="20"/>
                <w:szCs w:val="20"/>
                <w:color w:val="auto"/>
              </w:rPr>
            </w:pPr>
            <w:r>
              <w:rPr>
                <w:rFonts w:ascii="Arial" w:cs="Arial" w:eastAsia="Arial" w:hAnsi="Arial"/>
                <w:sz w:val="13"/>
                <w:szCs w:val="13"/>
                <w:b w:val="1"/>
                <w:bCs w:val="1"/>
                <w:color w:val="auto"/>
                <w:w w:val="95"/>
              </w:rPr>
              <w:t xml:space="preserve">Impairment </w:t>
            </w:r>
            <w:r>
              <w:rPr>
                <w:rFonts w:ascii="Arial" w:cs="Arial" w:eastAsia="Arial" w:hAnsi="Arial"/>
                <w:sz w:val="8"/>
                <w:szCs w:val="8"/>
                <w:b w:val="1"/>
                <w:bCs w:val="1"/>
                <w:color w:val="auto"/>
                <w:w w:val="95"/>
              </w:rPr>
              <w:t>(3)</w:t>
            </w:r>
            <w:r>
              <w:rPr>
                <w:rFonts w:ascii="Arial" w:cs="Arial" w:eastAsia="Arial" w:hAnsi="Arial"/>
                <w:sz w:val="13"/>
                <w:szCs w:val="13"/>
                <w:b w:val="1"/>
                <w:bCs w:val="1"/>
                <w:color w:val="auto"/>
                <w:w w:val="95"/>
              </w:rPr>
              <w:t xml:space="preserve"> Transactions </w:t>
            </w:r>
            <w:r>
              <w:rPr>
                <w:rFonts w:ascii="Arial" w:cs="Arial" w:eastAsia="Arial" w:hAnsi="Arial"/>
                <w:sz w:val="16"/>
                <w:szCs w:val="16"/>
                <w:b w:val="1"/>
                <w:bCs w:val="1"/>
                <w:color w:val="auto"/>
                <w:w w:val="95"/>
                <w:vertAlign w:val="superscript"/>
              </w:rPr>
              <w:t>(4)</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(5)</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(7)</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(8)</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(9)</w:t>
            </w:r>
          </w:p>
        </w:tc>
        <w:tc>
          <w:tcPr>
            <w:tcW w:w="700" w:type="dxa"/>
            <w:vAlign w:val="bottom"/>
          </w:tcPr>
          <w:p>
            <w:pPr>
              <w:jc w:val="center"/>
              <w:ind w:left="57"/>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ind w:left="20"/>
        <w:spacing w:after="0"/>
        <w:rPr>
          <w:sz w:val="20"/>
          <w:szCs w:val="20"/>
          <w:color w:val="auto"/>
        </w:rPr>
      </w:pPr>
      <w:r>
        <w:rPr>
          <w:rFonts w:ascii="Arial" w:cs="Arial" w:eastAsia="Arial" w:hAnsi="Arial"/>
          <w:sz w:val="14"/>
          <w:szCs w:val="14"/>
          <w:color w:val="auto"/>
        </w:rPr>
        <w:t>Cost of sales</w:t>
      </w:r>
    </w:p>
    <w:p>
      <w:pPr>
        <w:spacing w:after="0" w:line="28" w:lineRule="exact"/>
        <w:rPr>
          <w:sz w:val="20"/>
          <w:szCs w:val="20"/>
          <w:color w:val="auto"/>
        </w:rPr>
      </w:pPr>
    </w:p>
    <w:p>
      <w:pPr>
        <w:ind w:left="20" w:right="300"/>
        <w:spacing w:after="0" w:line="252" w:lineRule="auto"/>
        <w:rPr>
          <w:sz w:val="20"/>
          <w:szCs w:val="20"/>
          <w:color w:val="auto"/>
        </w:rPr>
      </w:pPr>
      <w:r>
        <w:rPr>
          <w:rFonts w:ascii="Arial" w:cs="Arial" w:eastAsia="Arial" w:hAnsi="Arial"/>
          <w:sz w:val="14"/>
          <w:szCs w:val="14"/>
          <w:color w:val="auto"/>
        </w:rPr>
        <w:t>Gross profit percent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w:t>
      </w:r>
    </w:p>
    <w:p>
      <w:pPr>
        <w:ind w:left="20"/>
        <w:spacing w:after="0" w:line="201" w:lineRule="auto"/>
        <w:rPr>
          <w:sz w:val="20"/>
          <w:szCs w:val="20"/>
          <w:color w:val="auto"/>
        </w:rPr>
      </w:pPr>
      <w:r>
        <w:rPr>
          <w:rFonts w:ascii="Arial" w:cs="Arial" w:eastAsia="Arial" w:hAnsi="Arial"/>
          <w:sz w:val="14"/>
          <w:szCs w:val="14"/>
          <w:color w:val="auto"/>
        </w:rPr>
        <w:t>and</w:t>
      </w:r>
    </w:p>
    <w:p>
      <w:pPr>
        <w:ind w:left="20"/>
        <w:spacing w:after="0"/>
        <w:rPr>
          <w:sz w:val="20"/>
          <w:szCs w:val="20"/>
          <w:color w:val="auto"/>
        </w:rPr>
      </w:pPr>
      <w:r>
        <w:rPr>
          <w:rFonts w:ascii="Arial" w:cs="Arial" w:eastAsia="Arial" w:hAnsi="Arial"/>
          <w:sz w:val="14"/>
          <w:szCs w:val="14"/>
          <w:color w:val="auto"/>
        </w:rPr>
        <w:t>administrative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w:t>
      </w:r>
    </w:p>
    <w:p>
      <w:pPr>
        <w:ind w:left="20"/>
        <w:spacing w:after="0" w:line="203" w:lineRule="auto"/>
        <w:rPr>
          <w:sz w:val="20"/>
          <w:szCs w:val="20"/>
          <w:color w:val="auto"/>
        </w:rPr>
      </w:pPr>
      <w:r>
        <w:rPr>
          <w:rFonts w:ascii="Arial" w:cs="Arial" w:eastAsia="Arial" w:hAnsi="Arial"/>
          <w:sz w:val="14"/>
          <w:szCs w:val="14"/>
          <w:color w:val="auto"/>
        </w:rPr>
        <w:t>and</w:t>
      </w:r>
    </w:p>
    <w:p>
      <w:pPr>
        <w:jc w:val="both"/>
        <w:ind w:left="20" w:right="80"/>
        <w:spacing w:after="0" w:line="235" w:lineRule="auto"/>
        <w:rPr>
          <w:sz w:val="20"/>
          <w:szCs w:val="20"/>
          <w:color w:val="auto"/>
        </w:rPr>
      </w:pPr>
      <w:r>
        <w:rPr>
          <w:rFonts w:ascii="Arial" w:cs="Arial" w:eastAsia="Arial" w:hAnsi="Arial"/>
          <w:sz w:val="14"/>
          <w:szCs w:val="14"/>
          <w:color w:val="auto"/>
        </w:rPr>
        <w:t>administrative as a percent of net revenue</w:t>
      </w:r>
    </w:p>
    <w:p>
      <w:pPr>
        <w:ind w:left="20" w:right="140"/>
        <w:spacing w:after="0" w:line="251" w:lineRule="auto"/>
        <w:rPr>
          <w:sz w:val="20"/>
          <w:szCs w:val="20"/>
          <w:color w:val="auto"/>
        </w:rPr>
      </w:pPr>
      <w:r>
        <w:rPr>
          <w:rFonts w:ascii="Arial" w:cs="Arial" w:eastAsia="Arial" w:hAnsi="Arial"/>
          <w:sz w:val="14"/>
          <w:szCs w:val="14"/>
          <w:color w:val="auto"/>
        </w:rPr>
        <w:t>Research and development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w:t>
      </w:r>
    </w:p>
    <w:p>
      <w:pPr>
        <w:ind w:left="20" w:right="20"/>
        <w:spacing w:after="0" w:line="211" w:lineRule="auto"/>
        <w:rPr>
          <w:sz w:val="20"/>
          <w:szCs w:val="20"/>
          <w:color w:val="auto"/>
        </w:rPr>
      </w:pPr>
      <w:r>
        <w:rPr>
          <w:rFonts w:ascii="Arial" w:cs="Arial" w:eastAsia="Arial" w:hAnsi="Arial"/>
          <w:sz w:val="14"/>
          <w:szCs w:val="14"/>
          <w:color w:val="auto"/>
        </w:rPr>
        <w:t>development as a percent of net</w:t>
      </w:r>
    </w:p>
    <w:p>
      <w:pPr>
        <w:ind w:left="20"/>
        <w:spacing w:after="0"/>
        <w:rPr>
          <w:sz w:val="20"/>
          <w:szCs w:val="20"/>
          <w:color w:val="auto"/>
        </w:rPr>
      </w:pPr>
      <w:r>
        <w:rPr>
          <w:rFonts w:ascii="Arial" w:cs="Arial" w:eastAsia="Arial" w:hAnsi="Arial"/>
          <w:sz w:val="14"/>
          <w:szCs w:val="14"/>
          <w:color w:val="auto"/>
        </w:rPr>
        <w:t>revenue</w:t>
      </w:r>
    </w:p>
    <w:p>
      <w:pPr>
        <w:spacing w:after="0" w:line="28" w:lineRule="exact"/>
        <w:rPr>
          <w:sz w:val="20"/>
          <w:szCs w:val="20"/>
          <w:color w:val="auto"/>
        </w:rPr>
      </w:pPr>
    </w:p>
    <w:p>
      <w:pPr>
        <w:ind w:left="20" w:right="40"/>
        <w:spacing w:after="0" w:line="252" w:lineRule="auto"/>
        <w:rPr>
          <w:sz w:val="20"/>
          <w:szCs w:val="20"/>
          <w:color w:val="auto"/>
        </w:rPr>
      </w:pPr>
      <w:r>
        <w:rPr>
          <w:rFonts w:ascii="Arial" w:cs="Arial" w:eastAsia="Arial" w:hAnsi="Arial"/>
          <w:sz w:val="14"/>
          <w:szCs w:val="14"/>
          <w:color w:val="auto"/>
        </w:rPr>
        <w:t>Other operating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w:t>
      </w:r>
    </w:p>
    <w:p>
      <w:pPr>
        <w:ind w:left="20"/>
        <w:spacing w:after="0"/>
        <w:rPr>
          <w:sz w:val="20"/>
          <w:szCs w:val="20"/>
          <w:color w:val="auto"/>
        </w:rPr>
      </w:pPr>
      <w:r>
        <w:rPr>
          <w:rFonts w:ascii="Arial" w:cs="Arial" w:eastAsia="Arial" w:hAnsi="Arial"/>
          <w:sz w:val="14"/>
          <w:szCs w:val="14"/>
          <w:color w:val="auto"/>
        </w:rPr>
        <w:t>income</w:t>
      </w:r>
    </w:p>
    <w:p>
      <w:pPr>
        <w:spacing w:after="0" w:line="15" w:lineRule="exact"/>
        <w:rPr>
          <w:sz w:val="20"/>
          <w:szCs w:val="20"/>
          <w:color w:val="auto"/>
        </w:rPr>
      </w:pPr>
    </w:p>
    <w:p>
      <w:pPr>
        <w:ind w:left="20" w:right="80"/>
        <w:spacing w:after="0" w:line="251" w:lineRule="auto"/>
        <w:rPr>
          <w:sz w:val="20"/>
          <w:szCs w:val="20"/>
          <w:color w:val="auto"/>
        </w:rPr>
      </w:pPr>
      <w:r>
        <w:rPr>
          <w:rFonts w:ascii="Arial" w:cs="Arial" w:eastAsia="Arial" w:hAnsi="Arial"/>
          <w:sz w:val="14"/>
          <w:szCs w:val="14"/>
          <w:color w:val="auto"/>
        </w:rPr>
        <w:t>Operating margin percent</w:t>
      </w:r>
    </w:p>
    <w:p>
      <w:pPr>
        <w:spacing w:after="0" w:line="1" w:lineRule="exact"/>
        <w:rPr>
          <w:sz w:val="20"/>
          <w:szCs w:val="20"/>
          <w:color w:val="auto"/>
        </w:rPr>
      </w:pPr>
    </w:p>
    <w:p>
      <w:pPr>
        <w:ind w:left="20"/>
        <w:spacing w:after="0" w:line="271" w:lineRule="auto"/>
        <w:rPr>
          <w:sz w:val="20"/>
          <w:szCs w:val="20"/>
          <w:color w:val="auto"/>
        </w:rPr>
      </w:pPr>
      <w:r>
        <w:rPr>
          <w:rFonts w:ascii="Arial" w:cs="Arial" w:eastAsia="Arial" w:hAnsi="Arial"/>
          <w:sz w:val="14"/>
          <w:szCs w:val="14"/>
          <w:color w:val="auto"/>
        </w:rPr>
        <w:t>Net income Net income as a</w:t>
      </w:r>
    </w:p>
    <w:p>
      <w:pPr>
        <w:ind w:left="20" w:right="160"/>
        <w:spacing w:after="0" w:line="231" w:lineRule="auto"/>
        <w:rPr>
          <w:sz w:val="20"/>
          <w:szCs w:val="20"/>
          <w:color w:val="auto"/>
        </w:rPr>
      </w:pPr>
      <w:r>
        <w:rPr>
          <w:rFonts w:ascii="Arial" w:cs="Arial" w:eastAsia="Arial" w:hAnsi="Arial"/>
          <w:sz w:val="14"/>
          <w:szCs w:val="14"/>
          <w:color w:val="auto"/>
        </w:rPr>
        <w:t>percent of net revenue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Diluted EPS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720" w:type="dxa"/>
            <w:vAlign w:val="bottom"/>
          </w:tcPr>
          <w:p>
            <w:pPr>
              <w:jc w:val="right"/>
              <w:ind w:right="357"/>
              <w:spacing w:after="0"/>
              <w:rPr>
                <w:sz w:val="20"/>
                <w:szCs w:val="20"/>
                <w:color w:val="auto"/>
              </w:rPr>
            </w:pPr>
            <w:r>
              <w:rPr>
                <w:rFonts w:ascii="Arial" w:cs="Arial" w:eastAsia="Arial" w:hAnsi="Arial"/>
                <w:sz w:val="13"/>
                <w:szCs w:val="13"/>
                <w:color w:val="auto"/>
                <w:w w:val="85"/>
              </w:rPr>
              <w:t>$99.7</w:t>
            </w:r>
          </w:p>
        </w:tc>
        <w:tc>
          <w:tcPr>
            <w:tcW w:w="9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257"/>
              <w:spacing w:after="0"/>
              <w:rPr>
                <w:sz w:val="20"/>
                <w:szCs w:val="20"/>
                <w:color w:val="auto"/>
              </w:rPr>
            </w:pPr>
            <w:r>
              <w:rPr>
                <w:rFonts w:ascii="Arial" w:cs="Arial" w:eastAsia="Arial" w:hAnsi="Arial"/>
                <w:sz w:val="13"/>
                <w:szCs w:val="13"/>
                <w:color w:val="auto"/>
              </w:rPr>
              <w:t>($1.7)</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($0.1)</w:t>
            </w:r>
          </w:p>
        </w:tc>
        <w:tc>
          <w:tcPr>
            <w:tcW w:w="9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($0.1)</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$97.8</w:t>
            </w:r>
          </w:p>
        </w:tc>
      </w:tr>
      <w:tr>
        <w:trPr>
          <w:trHeight w:val="338"/>
        </w:trPr>
        <w:tc>
          <w:tcPr>
            <w:tcW w:w="720" w:type="dxa"/>
            <w:vAlign w:val="bottom"/>
          </w:tcPr>
          <w:p>
            <w:pPr>
              <w:jc w:val="right"/>
              <w:ind w:right="197"/>
              <w:spacing w:after="0"/>
              <w:rPr>
                <w:sz w:val="20"/>
                <w:szCs w:val="20"/>
                <w:color w:val="auto"/>
              </w:rPr>
            </w:pPr>
            <w:r>
              <w:rPr>
                <w:rFonts w:ascii="Arial" w:cs="Arial" w:eastAsia="Arial" w:hAnsi="Arial"/>
                <w:sz w:val="13"/>
                <w:szCs w:val="13"/>
                <w:color w:val="auto"/>
              </w:rPr>
              <w:t>68.7 %</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 %</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0.5 %</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 %</w:t>
            </w: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 %</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 %</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 %</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 %</w:t>
            </w:r>
          </w:p>
        </w:tc>
        <w:tc>
          <w:tcPr>
            <w:tcW w:w="960" w:type="dxa"/>
            <w:vAlign w:val="bottom"/>
          </w:tcPr>
          <w:p>
            <w:pPr>
              <w:ind w:left="44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69.3 %</w:t>
            </w:r>
          </w:p>
        </w:tc>
      </w:tr>
      <w:tr>
        <w:trPr>
          <w:trHeight w:val="486"/>
        </w:trPr>
        <w:tc>
          <w:tcPr>
            <w:tcW w:w="720" w:type="dxa"/>
            <w:vAlign w:val="bottom"/>
          </w:tcPr>
          <w:p>
            <w:pPr>
              <w:jc w:val="right"/>
              <w:ind w:right="357"/>
              <w:spacing w:after="0"/>
              <w:rPr>
                <w:sz w:val="20"/>
                <w:szCs w:val="20"/>
                <w:color w:val="auto"/>
              </w:rPr>
            </w:pPr>
            <w:r>
              <w:rPr>
                <w:rFonts w:ascii="Arial" w:cs="Arial" w:eastAsia="Arial" w:hAnsi="Arial"/>
                <w:sz w:val="13"/>
                <w:szCs w:val="13"/>
                <w:color w:val="auto"/>
                <w:w w:val="85"/>
              </w:rPr>
              <w:t>129.1</w:t>
            </w:r>
          </w:p>
        </w:tc>
        <w:tc>
          <w:tcPr>
            <w:tcW w:w="9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257"/>
              <w:spacing w:after="0"/>
              <w:rPr>
                <w:sz w:val="20"/>
                <w:szCs w:val="20"/>
                <w:color w:val="auto"/>
              </w:rPr>
            </w:pPr>
            <w:r>
              <w:rPr>
                <w:rFonts w:ascii="Arial" w:cs="Arial" w:eastAsia="Arial" w:hAnsi="Arial"/>
                <w:sz w:val="13"/>
                <w:szCs w:val="13"/>
                <w:color w:val="auto"/>
              </w:rPr>
              <w:t>(2.6)</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7"/>
              <w:spacing w:after="0"/>
              <w:rPr>
                <w:sz w:val="20"/>
                <w:szCs w:val="20"/>
                <w:color w:val="auto"/>
              </w:rPr>
            </w:pPr>
            <w:r>
              <w:rPr>
                <w:rFonts w:ascii="Arial" w:cs="Arial" w:eastAsia="Arial" w:hAnsi="Arial"/>
                <w:sz w:val="13"/>
                <w:szCs w:val="13"/>
                <w:color w:val="auto"/>
              </w:rPr>
              <w:t>(7.7)</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(6.1)</w:t>
            </w:r>
          </w:p>
        </w:tc>
        <w:tc>
          <w:tcPr>
            <w:tcW w:w="960" w:type="dxa"/>
            <w:vAlign w:val="bottom"/>
          </w:tcPr>
          <w:p>
            <w:pPr>
              <w:ind w:left="4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112.7</w:t>
            </w:r>
          </w:p>
        </w:tc>
      </w:tr>
      <w:tr>
        <w:trPr>
          <w:trHeight w:val="769"/>
        </w:trPr>
        <w:tc>
          <w:tcPr>
            <w:tcW w:w="720" w:type="dxa"/>
            <w:vAlign w:val="bottom"/>
          </w:tcPr>
          <w:p>
            <w:pPr>
              <w:jc w:val="right"/>
              <w:ind w:right="197"/>
              <w:spacing w:after="0"/>
              <w:rPr>
                <w:sz w:val="20"/>
                <w:szCs w:val="20"/>
                <w:color w:val="auto"/>
              </w:rPr>
            </w:pPr>
            <w:r>
              <w:rPr>
                <w:rFonts w:ascii="Arial" w:cs="Arial" w:eastAsia="Arial" w:hAnsi="Arial"/>
                <w:sz w:val="13"/>
                <w:szCs w:val="13"/>
                <w:color w:val="auto"/>
              </w:rPr>
              <w:t>40.5 %</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 %</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(0.8)%</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 %</w:t>
            </w: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 %</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 %</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(2.4)%</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(1.9)%</w:t>
            </w:r>
          </w:p>
        </w:tc>
        <w:tc>
          <w:tcPr>
            <w:tcW w:w="960" w:type="dxa"/>
            <w:vAlign w:val="bottom"/>
          </w:tcPr>
          <w:p>
            <w:pPr>
              <w:ind w:left="44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35.4 %</w:t>
            </w:r>
          </w:p>
        </w:tc>
      </w:tr>
      <w:tr>
        <w:trPr>
          <w:trHeight w:val="338"/>
        </w:trPr>
        <w:tc>
          <w:tcPr>
            <w:tcW w:w="720" w:type="dxa"/>
            <w:vAlign w:val="bottom"/>
          </w:tcPr>
          <w:p>
            <w:pPr>
              <w:jc w:val="right"/>
              <w:ind w:right="357"/>
              <w:spacing w:after="0"/>
              <w:rPr>
                <w:sz w:val="20"/>
                <w:szCs w:val="20"/>
                <w:color w:val="auto"/>
              </w:rPr>
            </w:pPr>
            <w:r>
              <w:rPr>
                <w:rFonts w:ascii="Arial" w:cs="Arial" w:eastAsia="Arial" w:hAnsi="Arial"/>
                <w:sz w:val="13"/>
                <w:szCs w:val="13"/>
                <w:color w:val="auto"/>
              </w:rPr>
              <w:t>44.7</w:t>
            </w:r>
          </w:p>
        </w:tc>
        <w:tc>
          <w:tcPr>
            <w:tcW w:w="96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57"/>
              <w:spacing w:after="0"/>
              <w:rPr>
                <w:sz w:val="20"/>
                <w:szCs w:val="20"/>
                <w:color w:val="auto"/>
              </w:rPr>
            </w:pPr>
            <w:r>
              <w:rPr>
                <w:rFonts w:ascii="Arial" w:cs="Arial" w:eastAsia="Arial" w:hAnsi="Arial"/>
                <w:sz w:val="13"/>
                <w:szCs w:val="13"/>
                <w:color w:val="auto"/>
              </w:rPr>
              <w:t>(0.3)</w:t>
            </w:r>
          </w:p>
        </w:tc>
        <w:tc>
          <w:tcPr>
            <w:tcW w:w="940" w:type="dxa"/>
            <w:vAlign w:val="bottom"/>
          </w:tcPr>
          <w:p>
            <w:pPr>
              <w:jc w:val="right"/>
              <w:ind w:right="337"/>
              <w:spacing w:after="0"/>
              <w:rPr>
                <w:sz w:val="20"/>
                <w:szCs w:val="20"/>
                <w:color w:val="auto"/>
              </w:rPr>
            </w:pPr>
            <w:r>
              <w:rPr>
                <w:rFonts w:ascii="Arial" w:cs="Arial" w:eastAsia="Arial" w:hAnsi="Arial"/>
                <w:sz w:val="13"/>
                <w:szCs w:val="13"/>
                <w:color w:val="auto"/>
              </w:rPr>
              <w:t>(1.3)</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(2.0)</w:t>
            </w:r>
          </w:p>
        </w:tc>
        <w:tc>
          <w:tcPr>
            <w:tcW w:w="960" w:type="dxa"/>
            <w:vAlign w:val="bottom"/>
          </w:tcPr>
          <w:p>
            <w:pPr>
              <w:ind w:left="4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41.3</w:t>
            </w:r>
          </w:p>
        </w:tc>
      </w:tr>
      <w:tr>
        <w:trPr>
          <w:trHeight w:val="634"/>
        </w:trPr>
        <w:tc>
          <w:tcPr>
            <w:tcW w:w="720" w:type="dxa"/>
            <w:vAlign w:val="bottom"/>
          </w:tcPr>
          <w:p>
            <w:pPr>
              <w:jc w:val="right"/>
              <w:ind w:right="197"/>
              <w:spacing w:after="0"/>
              <w:rPr>
                <w:sz w:val="20"/>
                <w:szCs w:val="20"/>
                <w:color w:val="auto"/>
              </w:rPr>
            </w:pPr>
            <w:r>
              <w:rPr>
                <w:rFonts w:ascii="Arial" w:cs="Arial" w:eastAsia="Arial" w:hAnsi="Arial"/>
                <w:sz w:val="13"/>
                <w:szCs w:val="13"/>
                <w:color w:val="auto"/>
              </w:rPr>
              <w:t>14.0 %</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 %</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 %</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 %</w:t>
            </w: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 %</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(0.4)%</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(0.6)%</w:t>
            </w:r>
          </w:p>
        </w:tc>
        <w:tc>
          <w:tcPr>
            <w:tcW w:w="960" w:type="dxa"/>
            <w:vAlign w:val="bottom"/>
          </w:tcPr>
          <w:p>
            <w:pPr>
              <w:ind w:left="44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12.9 %</w:t>
            </w:r>
          </w:p>
        </w:tc>
      </w:tr>
      <w:tr>
        <w:trPr>
          <w:trHeight w:val="338"/>
        </w:trPr>
        <w:tc>
          <w:tcPr>
            <w:tcW w:w="720" w:type="dxa"/>
            <w:vAlign w:val="bottom"/>
          </w:tcPr>
          <w:p>
            <w:pPr>
              <w:jc w:val="right"/>
              <w:ind w:right="357"/>
              <w:spacing w:after="0"/>
              <w:rPr>
                <w:sz w:val="20"/>
                <w:szCs w:val="20"/>
                <w:color w:val="auto"/>
              </w:rPr>
            </w:pPr>
            <w:r>
              <w:rPr>
                <w:rFonts w:ascii="Arial" w:cs="Arial" w:eastAsia="Arial" w:hAnsi="Arial"/>
                <w:sz w:val="13"/>
                <w:szCs w:val="13"/>
                <w:color w:val="auto"/>
              </w:rPr>
              <w:t>4.8</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(2.1)</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7"/>
              <w:spacing w:after="0"/>
              <w:rPr>
                <w:sz w:val="20"/>
                <w:szCs w:val="20"/>
                <w:color w:val="auto"/>
              </w:rPr>
            </w:pPr>
            <w:r>
              <w:rPr>
                <w:rFonts w:ascii="Arial" w:cs="Arial" w:eastAsia="Arial" w:hAnsi="Arial"/>
                <w:sz w:val="13"/>
                <w:szCs w:val="13"/>
                <w:color w:val="auto"/>
              </w:rPr>
              <w:t>(2.7)</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60" w:type="dxa"/>
            <w:vAlign w:val="bottom"/>
          </w:tcPr>
          <w:p>
            <w:pPr>
              <w:ind w:left="4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338"/>
        </w:trPr>
        <w:tc>
          <w:tcPr>
            <w:tcW w:w="720" w:type="dxa"/>
            <w:vAlign w:val="bottom"/>
          </w:tcPr>
          <w:p>
            <w:pPr>
              <w:jc w:val="right"/>
              <w:ind w:right="357"/>
              <w:spacing w:after="0"/>
              <w:rPr>
                <w:sz w:val="20"/>
                <w:szCs w:val="20"/>
                <w:color w:val="auto"/>
              </w:rPr>
            </w:pPr>
            <w:r>
              <w:rPr>
                <w:rFonts w:ascii="Arial" w:cs="Arial" w:eastAsia="Arial" w:hAnsi="Arial"/>
                <w:sz w:val="13"/>
                <w:szCs w:val="13"/>
                <w:color w:val="auto"/>
              </w:rPr>
              <w:t>40.2</w:t>
            </w:r>
          </w:p>
        </w:tc>
        <w:tc>
          <w:tcPr>
            <w:tcW w:w="960" w:type="dxa"/>
            <w:vAlign w:val="bottom"/>
          </w:tcPr>
          <w:p>
            <w:pPr>
              <w:jc w:val="right"/>
              <w:ind w:right="337"/>
              <w:spacing w:after="0"/>
              <w:rPr>
                <w:sz w:val="20"/>
                <w:szCs w:val="20"/>
                <w:color w:val="auto"/>
              </w:rPr>
            </w:pPr>
            <w:r>
              <w:rPr>
                <w:rFonts w:ascii="Arial" w:cs="Arial" w:eastAsia="Arial" w:hAnsi="Arial"/>
                <w:sz w:val="13"/>
                <w:szCs w:val="13"/>
                <w:color w:val="auto"/>
              </w:rPr>
              <w:t>2.1</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4.3</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0.4</w:t>
            </w:r>
          </w:p>
        </w:tc>
        <w:tc>
          <w:tcPr>
            <w:tcW w:w="940" w:type="dxa"/>
            <w:vAlign w:val="bottom"/>
          </w:tcPr>
          <w:p>
            <w:pPr>
              <w:jc w:val="right"/>
              <w:ind w:right="377"/>
              <w:spacing w:after="0"/>
              <w:rPr>
                <w:sz w:val="20"/>
                <w:szCs w:val="20"/>
                <w:color w:val="auto"/>
              </w:rPr>
            </w:pPr>
            <w:r>
              <w:rPr>
                <w:rFonts w:ascii="Arial" w:cs="Arial" w:eastAsia="Arial" w:hAnsi="Arial"/>
                <w:sz w:val="13"/>
                <w:szCs w:val="13"/>
                <w:color w:val="auto"/>
              </w:rPr>
              <w:t>11.7</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8.2</w:t>
            </w:r>
          </w:p>
        </w:tc>
        <w:tc>
          <w:tcPr>
            <w:tcW w:w="960" w:type="dxa"/>
            <w:vAlign w:val="bottom"/>
          </w:tcPr>
          <w:p>
            <w:pPr>
              <w:ind w:left="44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66.9</w:t>
            </w:r>
          </w:p>
        </w:tc>
      </w:tr>
      <w:tr>
        <w:trPr>
          <w:trHeight w:val="338"/>
        </w:trPr>
        <w:tc>
          <w:tcPr>
            <w:tcW w:w="720" w:type="dxa"/>
            <w:vAlign w:val="bottom"/>
          </w:tcPr>
          <w:p>
            <w:pPr>
              <w:jc w:val="right"/>
              <w:ind w:right="197"/>
              <w:spacing w:after="0"/>
              <w:rPr>
                <w:sz w:val="20"/>
                <w:szCs w:val="20"/>
                <w:color w:val="auto"/>
              </w:rPr>
            </w:pPr>
            <w:r>
              <w:rPr>
                <w:rFonts w:ascii="Arial" w:cs="Arial" w:eastAsia="Arial" w:hAnsi="Arial"/>
                <w:sz w:val="13"/>
                <w:szCs w:val="13"/>
                <w:color w:val="auto"/>
              </w:rPr>
              <w:t>12.6 %</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0.7 %</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1.3 %</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 %</w:t>
            </w: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 %</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0.1 %</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3.7 %</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2.6 %</w:t>
            </w:r>
          </w:p>
        </w:tc>
        <w:tc>
          <w:tcPr>
            <w:tcW w:w="960" w:type="dxa"/>
            <w:vAlign w:val="bottom"/>
          </w:tcPr>
          <w:p>
            <w:pPr>
              <w:ind w:left="440"/>
              <w:spacing w:after="0"/>
              <w:rPr>
                <w:sz w:val="20"/>
                <w:szCs w:val="20"/>
                <w:color w:val="auto"/>
              </w:rPr>
            </w:pPr>
            <w:r>
              <w:rPr>
                <w:rFonts w:ascii="Arial" w:cs="Arial" w:eastAsia="Arial" w:hAnsi="Arial"/>
                <w:sz w:val="13"/>
                <w:szCs w:val="13"/>
                <w:color w:val="auto"/>
              </w:rPr>
              <w:t>— %</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21.0 %</w:t>
            </w:r>
          </w:p>
        </w:tc>
      </w:tr>
      <w:tr>
        <w:trPr>
          <w:trHeight w:val="203"/>
        </w:trPr>
        <w:tc>
          <w:tcPr>
            <w:tcW w:w="720" w:type="dxa"/>
            <w:vAlign w:val="bottom"/>
          </w:tcPr>
          <w:p>
            <w:pPr>
              <w:jc w:val="right"/>
              <w:ind w:right="357"/>
              <w:spacing w:after="0"/>
              <w:rPr>
                <w:sz w:val="20"/>
                <w:szCs w:val="20"/>
                <w:color w:val="auto"/>
              </w:rPr>
            </w:pPr>
            <w:r>
              <w:rPr>
                <w:rFonts w:ascii="Arial" w:cs="Arial" w:eastAsia="Arial" w:hAnsi="Arial"/>
                <w:sz w:val="13"/>
                <w:szCs w:val="13"/>
                <w:color w:val="auto"/>
              </w:rPr>
              <w:t>16.3</w:t>
            </w:r>
          </w:p>
        </w:tc>
        <w:tc>
          <w:tcPr>
            <w:tcW w:w="960" w:type="dxa"/>
            <w:vAlign w:val="bottom"/>
          </w:tcPr>
          <w:p>
            <w:pPr>
              <w:jc w:val="right"/>
              <w:ind w:right="337"/>
              <w:spacing w:after="0"/>
              <w:rPr>
                <w:sz w:val="20"/>
                <w:szCs w:val="20"/>
                <w:color w:val="auto"/>
              </w:rPr>
            </w:pPr>
            <w:r>
              <w:rPr>
                <w:rFonts w:ascii="Arial" w:cs="Arial" w:eastAsia="Arial" w:hAnsi="Arial"/>
                <w:sz w:val="13"/>
                <w:szCs w:val="13"/>
                <w:color w:val="auto"/>
              </w:rPr>
              <w:t>2.1</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4.3</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5.8</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2.6</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0.4</w:t>
            </w:r>
          </w:p>
        </w:tc>
        <w:tc>
          <w:tcPr>
            <w:tcW w:w="940" w:type="dxa"/>
            <w:vAlign w:val="bottom"/>
          </w:tcPr>
          <w:p>
            <w:pPr>
              <w:jc w:val="right"/>
              <w:ind w:right="377"/>
              <w:spacing w:after="0"/>
              <w:rPr>
                <w:sz w:val="20"/>
                <w:szCs w:val="20"/>
                <w:color w:val="auto"/>
              </w:rPr>
            </w:pPr>
            <w:r>
              <w:rPr>
                <w:rFonts w:ascii="Arial" w:cs="Arial" w:eastAsia="Arial" w:hAnsi="Arial"/>
                <w:sz w:val="13"/>
                <w:szCs w:val="13"/>
                <w:color w:val="auto"/>
              </w:rPr>
              <w:t>11.7</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8.2</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(8.1)</w:t>
            </w:r>
          </w:p>
        </w:tc>
        <w:tc>
          <w:tcPr>
            <w:tcW w:w="880" w:type="dxa"/>
            <w:vAlign w:val="bottom"/>
          </w:tcPr>
          <w:p>
            <w:pPr>
              <w:jc w:val="right"/>
              <w:ind w:right="257"/>
              <w:spacing w:after="0"/>
              <w:rPr>
                <w:sz w:val="20"/>
                <w:szCs w:val="20"/>
                <w:color w:val="auto"/>
              </w:rPr>
            </w:pPr>
            <w:r>
              <w:rPr>
                <w:rFonts w:ascii="Arial" w:cs="Arial" w:eastAsia="Arial" w:hAnsi="Arial"/>
                <w:sz w:val="13"/>
                <w:szCs w:val="13"/>
                <w:color w:val="auto"/>
              </w:rPr>
              <w:t>7.6</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50.8</w:t>
            </w:r>
          </w:p>
        </w:tc>
      </w:tr>
      <w:tr>
        <w:trPr>
          <w:trHeight w:val="486"/>
        </w:trPr>
        <w:tc>
          <w:tcPr>
            <w:tcW w:w="720" w:type="dxa"/>
            <w:vAlign w:val="bottom"/>
          </w:tcPr>
          <w:p>
            <w:pPr>
              <w:jc w:val="right"/>
              <w:ind w:right="197"/>
              <w:spacing w:after="0"/>
              <w:rPr>
                <w:sz w:val="20"/>
                <w:szCs w:val="20"/>
                <w:color w:val="auto"/>
              </w:rPr>
            </w:pPr>
            <w:r>
              <w:rPr>
                <w:rFonts w:ascii="Arial" w:cs="Arial" w:eastAsia="Arial" w:hAnsi="Arial"/>
                <w:sz w:val="13"/>
                <w:szCs w:val="13"/>
                <w:color w:val="auto"/>
              </w:rPr>
              <w:t>5.1 %</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0.7 %</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1.3 %</w:t>
            </w:r>
          </w:p>
        </w:tc>
        <w:tc>
          <w:tcPr>
            <w:tcW w:w="900" w:type="dxa"/>
            <w:vAlign w:val="bottom"/>
          </w:tcPr>
          <w:p>
            <w:pPr>
              <w:jc w:val="right"/>
              <w:ind w:right="197"/>
              <w:spacing w:after="0"/>
              <w:rPr>
                <w:sz w:val="20"/>
                <w:szCs w:val="20"/>
                <w:color w:val="auto"/>
              </w:rPr>
            </w:pPr>
            <w:r>
              <w:rPr>
                <w:rFonts w:ascii="Arial" w:cs="Arial" w:eastAsia="Arial" w:hAnsi="Arial"/>
                <w:sz w:val="13"/>
                <w:szCs w:val="13"/>
                <w:color w:val="auto"/>
              </w:rPr>
              <w:t>1.8 %</w:t>
            </w:r>
          </w:p>
        </w:tc>
        <w:tc>
          <w:tcPr>
            <w:tcW w:w="980" w:type="dxa"/>
            <w:vAlign w:val="bottom"/>
          </w:tcPr>
          <w:p>
            <w:pPr>
              <w:jc w:val="right"/>
              <w:ind w:right="217"/>
              <w:spacing w:after="0"/>
              <w:rPr>
                <w:sz w:val="20"/>
                <w:szCs w:val="20"/>
                <w:color w:val="auto"/>
              </w:rPr>
            </w:pPr>
            <w:r>
              <w:rPr>
                <w:rFonts w:ascii="Arial" w:cs="Arial" w:eastAsia="Arial" w:hAnsi="Arial"/>
                <w:sz w:val="13"/>
                <w:szCs w:val="13"/>
                <w:color w:val="auto"/>
              </w:rPr>
              <w:t>0.8 %</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0.1 %</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3.7 %</w:t>
            </w: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2.6 %</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(2.5)%</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2.4 %</w:t>
            </w:r>
          </w:p>
        </w:tc>
        <w:tc>
          <w:tcPr>
            <w:tcW w:w="640" w:type="dxa"/>
            <w:vAlign w:val="bottom"/>
          </w:tcPr>
          <w:p>
            <w:pPr>
              <w:jc w:val="right"/>
              <w:spacing w:after="0"/>
              <w:rPr>
                <w:sz w:val="20"/>
                <w:szCs w:val="20"/>
                <w:color w:val="auto"/>
              </w:rPr>
            </w:pPr>
            <w:r>
              <w:rPr>
                <w:rFonts w:ascii="Arial" w:cs="Arial" w:eastAsia="Arial" w:hAnsi="Arial"/>
                <w:sz w:val="13"/>
                <w:szCs w:val="13"/>
                <w:color w:val="auto"/>
              </w:rPr>
              <w:t>15.9 %</w:t>
            </w:r>
          </w:p>
        </w:tc>
      </w:tr>
      <w:tr>
        <w:trPr>
          <w:trHeight w:val="203"/>
        </w:trPr>
        <w:tc>
          <w:tcPr>
            <w:tcW w:w="720" w:type="dxa"/>
            <w:vAlign w:val="bottom"/>
          </w:tcPr>
          <w:p>
            <w:pPr>
              <w:jc w:val="right"/>
              <w:ind w:right="357"/>
              <w:spacing w:after="0"/>
              <w:rPr>
                <w:sz w:val="20"/>
                <w:szCs w:val="20"/>
                <w:color w:val="auto"/>
              </w:rPr>
            </w:pPr>
            <w:r>
              <w:rPr>
                <w:rFonts w:ascii="Arial" w:cs="Arial" w:eastAsia="Arial" w:hAnsi="Arial"/>
                <w:sz w:val="13"/>
                <w:szCs w:val="13"/>
                <w:color w:val="auto"/>
                <w:w w:val="85"/>
              </w:rPr>
              <w:t>$0.30</w:t>
            </w:r>
          </w:p>
        </w:tc>
        <w:tc>
          <w:tcPr>
            <w:tcW w:w="960" w:type="dxa"/>
            <w:vAlign w:val="bottom"/>
          </w:tcPr>
          <w:p>
            <w:pPr>
              <w:jc w:val="right"/>
              <w:ind w:right="337"/>
              <w:spacing w:after="0"/>
              <w:rPr>
                <w:sz w:val="20"/>
                <w:szCs w:val="20"/>
                <w:color w:val="auto"/>
              </w:rPr>
            </w:pPr>
            <w:r>
              <w:rPr>
                <w:rFonts w:ascii="Arial" w:cs="Arial" w:eastAsia="Arial" w:hAnsi="Arial"/>
                <w:sz w:val="13"/>
                <w:szCs w:val="13"/>
                <w:color w:val="auto"/>
              </w:rPr>
              <w:t>$0.04</w:t>
            </w:r>
          </w:p>
        </w:tc>
        <w:tc>
          <w:tcPr>
            <w:tcW w:w="900" w:type="dxa"/>
            <w:vAlign w:val="bottom"/>
          </w:tcPr>
          <w:p>
            <w:pPr>
              <w:jc w:val="right"/>
              <w:ind w:right="297"/>
              <w:spacing w:after="0"/>
              <w:rPr>
                <w:sz w:val="20"/>
                <w:szCs w:val="20"/>
                <w:color w:val="auto"/>
              </w:rPr>
            </w:pPr>
            <w:r>
              <w:rPr>
                <w:rFonts w:ascii="Arial" w:cs="Arial" w:eastAsia="Arial" w:hAnsi="Arial"/>
                <w:sz w:val="13"/>
                <w:szCs w:val="13"/>
                <w:color w:val="auto"/>
              </w:rPr>
              <w:t>$0.08</w:t>
            </w:r>
          </w:p>
        </w:tc>
        <w:tc>
          <w:tcPr>
            <w:tcW w:w="900" w:type="dxa"/>
            <w:vAlign w:val="bottom"/>
          </w:tcPr>
          <w:p>
            <w:pPr>
              <w:jc w:val="right"/>
              <w:ind w:right="337"/>
              <w:spacing w:after="0"/>
              <w:rPr>
                <w:sz w:val="20"/>
                <w:szCs w:val="20"/>
                <w:color w:val="auto"/>
              </w:rPr>
            </w:pPr>
            <w:r>
              <w:rPr>
                <w:rFonts w:ascii="Arial" w:cs="Arial" w:eastAsia="Arial" w:hAnsi="Arial"/>
                <w:sz w:val="13"/>
                <w:szCs w:val="13"/>
                <w:color w:val="auto"/>
              </w:rPr>
              <w:t>$0.11</w:t>
            </w:r>
          </w:p>
        </w:tc>
        <w:tc>
          <w:tcPr>
            <w:tcW w:w="980" w:type="dxa"/>
            <w:vAlign w:val="bottom"/>
          </w:tcPr>
          <w:p>
            <w:pPr>
              <w:jc w:val="right"/>
              <w:ind w:right="357"/>
              <w:spacing w:after="0"/>
              <w:rPr>
                <w:sz w:val="20"/>
                <w:szCs w:val="20"/>
                <w:color w:val="auto"/>
              </w:rPr>
            </w:pPr>
            <w:r>
              <w:rPr>
                <w:rFonts w:ascii="Arial" w:cs="Arial" w:eastAsia="Arial" w:hAnsi="Arial"/>
                <w:sz w:val="13"/>
                <w:szCs w:val="13"/>
                <w:color w:val="auto"/>
              </w:rPr>
              <w:t>$0.05</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$0.01</w:t>
            </w:r>
          </w:p>
        </w:tc>
        <w:tc>
          <w:tcPr>
            <w:tcW w:w="940" w:type="dxa"/>
            <w:vAlign w:val="bottom"/>
          </w:tcPr>
          <w:p>
            <w:pPr>
              <w:jc w:val="right"/>
              <w:ind w:right="377"/>
              <w:spacing w:after="0"/>
              <w:rPr>
                <w:sz w:val="20"/>
                <w:szCs w:val="20"/>
                <w:color w:val="auto"/>
              </w:rPr>
            </w:pPr>
            <w:r>
              <w:rPr>
                <w:rFonts w:ascii="Arial" w:cs="Arial" w:eastAsia="Arial" w:hAnsi="Arial"/>
                <w:sz w:val="13"/>
                <w:szCs w:val="13"/>
                <w:color w:val="auto"/>
              </w:rPr>
              <w:t>$0.21</w:t>
            </w:r>
          </w:p>
        </w:tc>
        <w:tc>
          <w:tcPr>
            <w:tcW w:w="960" w:type="dxa"/>
            <w:vAlign w:val="bottom"/>
          </w:tcPr>
          <w:p>
            <w:pPr>
              <w:jc w:val="right"/>
              <w:ind w:right="297"/>
              <w:spacing w:after="0"/>
              <w:rPr>
                <w:sz w:val="20"/>
                <w:szCs w:val="20"/>
                <w:color w:val="auto"/>
              </w:rPr>
            </w:pPr>
            <w:r>
              <w:rPr>
                <w:rFonts w:ascii="Arial" w:cs="Arial" w:eastAsia="Arial" w:hAnsi="Arial"/>
                <w:sz w:val="13"/>
                <w:szCs w:val="13"/>
                <w:color w:val="auto"/>
              </w:rPr>
              <w:t>$0.15</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($0.15)</w:t>
            </w:r>
          </w:p>
        </w:tc>
        <w:tc>
          <w:tcPr>
            <w:tcW w:w="880" w:type="dxa"/>
            <w:vAlign w:val="bottom"/>
          </w:tcPr>
          <w:p>
            <w:pPr>
              <w:jc w:val="right"/>
              <w:ind w:right="257"/>
              <w:spacing w:after="0"/>
              <w:rPr>
                <w:sz w:val="20"/>
                <w:szCs w:val="20"/>
                <w:color w:val="auto"/>
              </w:rPr>
            </w:pPr>
            <w:r>
              <w:rPr>
                <w:rFonts w:ascii="Arial" w:cs="Arial" w:eastAsia="Arial" w:hAnsi="Arial"/>
                <w:sz w:val="13"/>
                <w:szCs w:val="13"/>
                <w:color w:val="auto"/>
              </w:rPr>
              <w:t>$0.14</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$0.93</w:t>
            </w:r>
          </w:p>
        </w:tc>
      </w:tr>
    </w:tbl>
    <w:p>
      <w:pPr>
        <w:spacing w:after="0" w:line="200" w:lineRule="exact"/>
        <w:rPr>
          <w:sz w:val="20"/>
          <w:szCs w:val="20"/>
          <w:color w:val="auto"/>
        </w:rPr>
      </w:pPr>
    </w:p>
    <w:p>
      <w:pPr>
        <w:sectPr>
          <w:pgSz w:w="11900" w:h="16838" w:orient="portrait"/>
          <w:cols w:equalWidth="0" w:num="2">
            <w:col w:w="1060" w:space="360"/>
            <w:col w:w="9820"/>
          </w:cols>
          <w:pgMar w:left="320" w:top="1305"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three months ended June 30, 2024 include:</w:t>
      </w:r>
    </w:p>
    <w:p>
      <w:pPr>
        <w:spacing w:after="0" w:line="10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Impairment of investment in ShiraTronics, Inc.</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adjustments for the 2025 and 2029 Notes embedded derivative features and associated capped call derivatives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ImThera acquisition</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Legal expenses primarily related to 3T Heater-Cooler defense, cybersecurity incident costs, 3T Heater-Cooler litigation provision, and Medical Device Regulation ("MDR") costs</w:t>
      </w:r>
    </w:p>
    <w:p>
      <w:pPr>
        <w:ind w:left="320" w:hanging="312"/>
        <w:spacing w:after="0" w:line="201"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Interest expense on the Term Facilities, non-cash interest expense on the 2025 &amp; 2029 Notes and Revolving Credit Facility, and interest income on the collateral for the SNIA litigation guarantee and delayed draw on Term Facilities</w:t>
      </w:r>
    </w:p>
    <w:p>
      <w:pPr>
        <w:spacing w:after="0" w:line="1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Numbers may not add precisely due to rounding.</w:t>
      </w: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05" w:right="339" w:bottom="1440" w:gutter="0" w:footer="0" w:header="0"/>
          <w:type w:val="continuous"/>
        </w:sectPr>
      </w:pPr>
    </w:p>
    <w:bookmarkStart w:id="17" w:name="page18"/>
    <w:bookmarkEnd w:id="17"/>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6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Merger and</w:t>
            </w:r>
          </w:p>
        </w:tc>
        <w:tc>
          <w:tcPr>
            <w:tcW w:w="9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Certain</w:t>
            </w:r>
          </w:p>
        </w:tc>
        <w:tc>
          <w:tcPr>
            <w:tcW w:w="7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8"/>
              </w:rPr>
              <w:t>Restructuring</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and</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Contingent</w:t>
            </w: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Certain Tax</w:t>
            </w:r>
          </w:p>
        </w:tc>
        <w:tc>
          <w:tcPr>
            <w:tcW w:w="9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Ended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Integration</w:t>
            </w:r>
          </w:p>
        </w:tc>
        <w:tc>
          <w:tcPr>
            <w:tcW w:w="96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1"/>
                <w:szCs w:val="11"/>
                <w:color w:val="auto"/>
              </w:rPr>
            </w:pP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Interest</w:t>
            </w:r>
          </w:p>
        </w:tc>
        <w:tc>
          <w:tcPr>
            <w:tcW w:w="78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6"/>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6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3"/>
                <w:szCs w:val="13"/>
                <w:b w:val="1"/>
                <w:bCs w:val="1"/>
                <w:color w:val="auto"/>
              </w:rPr>
              <w:t xml:space="preserve">Expenses </w:t>
            </w:r>
            <w:r>
              <w:rPr>
                <w:rFonts w:ascii="Arial" w:cs="Arial" w:eastAsia="Arial" w:hAnsi="Arial"/>
                <w:sz w:val="16"/>
                <w:szCs w:val="16"/>
                <w:b w:val="1"/>
                <w:bCs w:val="1"/>
                <w:color w:val="auto"/>
                <w:vertAlign w:val="superscript"/>
              </w:rPr>
              <w:t>(1)</w:t>
            </w:r>
          </w:p>
        </w:tc>
        <w:tc>
          <w:tcPr>
            <w:tcW w:w="960" w:type="dxa"/>
            <w:vAlign w:val="bottom"/>
            <w:tcBorders>
              <w:bottom w:val="single" w:sz="8" w:color="auto"/>
            </w:tcBorders>
          </w:tcPr>
          <w:p>
            <w:pPr>
              <w:jc w:val="right"/>
              <w:ind w:right="97"/>
              <w:spacing w:after="0" w:line="175" w:lineRule="exact"/>
              <w:rPr>
                <w:sz w:val="20"/>
                <w:szCs w:val="20"/>
                <w:color w:val="auto"/>
              </w:rPr>
            </w:pPr>
            <w:r>
              <w:rPr>
                <w:rFonts w:ascii="Arial" w:cs="Arial" w:eastAsia="Arial" w:hAnsi="Arial"/>
                <w:sz w:val="13"/>
                <w:szCs w:val="13"/>
                <w:b w:val="1"/>
                <w:bCs w:val="1"/>
                <w:color w:val="auto"/>
              </w:rPr>
              <w:t xml:space="preserve">Expenses </w:t>
            </w:r>
            <w:r>
              <w:rPr>
                <w:rFonts w:ascii="Arial" w:cs="Arial" w:eastAsia="Arial" w:hAnsi="Arial"/>
                <w:sz w:val="16"/>
                <w:szCs w:val="16"/>
                <w:b w:val="1"/>
                <w:bCs w:val="1"/>
                <w:color w:val="auto"/>
                <w:vertAlign w:val="superscript"/>
              </w:rPr>
              <w:t>(2)</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(3)</w:t>
            </w: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Transactions </w:t>
            </w:r>
            <w:r>
              <w:rPr>
                <w:rFonts w:ascii="Arial" w:cs="Arial" w:eastAsia="Arial" w:hAnsi="Arial"/>
                <w:sz w:val="16"/>
                <w:szCs w:val="16"/>
                <w:b w:val="1"/>
                <w:bCs w:val="1"/>
                <w:color w:val="auto"/>
                <w:w w:val="94"/>
                <w:vertAlign w:val="superscript"/>
              </w:rPr>
              <w:t>(4)</w:t>
            </w: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(5)</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(7)</w:t>
            </w:r>
          </w:p>
        </w:tc>
        <w:tc>
          <w:tcPr>
            <w:tcW w:w="94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(8)</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(9)</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12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$88.7</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ind w:left="56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$83.4</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69.8 %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1.3 %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0.5 %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71.6 %</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Selling, general,</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125.9</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(5.3)</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(4.6)</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152"/>
        </w:trPr>
        <w:tc>
          <w:tcPr>
            <w:tcW w:w="1240" w:type="dxa"/>
            <w:vAlign w:val="bottom"/>
          </w:tcPr>
          <w:p>
            <w:pPr>
              <w:ind w:left="20"/>
              <w:spacing w:after="0" w:line="151" w:lineRule="exact"/>
              <w:rPr>
                <w:sz w:val="20"/>
                <w:szCs w:val="20"/>
                <w:color w:val="auto"/>
              </w:rPr>
            </w:pPr>
            <w:r>
              <w:rPr>
                <w:rFonts w:ascii="Arial" w:cs="Arial" w:eastAsia="Arial" w:hAnsi="Arial"/>
                <w:sz w:val="14"/>
                <w:szCs w:val="14"/>
                <w:color w:val="auto"/>
              </w:rPr>
              <w:t>Selling, general,</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20"/>
              <w:spacing w:after="0" w:line="139" w:lineRule="exact"/>
              <w:rPr>
                <w:sz w:val="20"/>
                <w:szCs w:val="20"/>
                <w:color w:val="auto"/>
              </w:rPr>
            </w:pPr>
            <w:r>
              <w:rPr>
                <w:rFonts w:ascii="Arial" w:cs="Arial" w:eastAsia="Arial" w:hAnsi="Arial"/>
                <w:sz w:val="14"/>
                <w:szCs w:val="14"/>
                <w:color w:val="auto"/>
              </w:rPr>
              <w:t>administrative as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a 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42.8 %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(1.8)%</w:t>
            </w:r>
          </w:p>
        </w:tc>
        <w:tc>
          <w:tcPr>
            <w:tcW w:w="1000" w:type="dxa"/>
            <w:vAlign w:val="bottom"/>
          </w:tcPr>
          <w:p>
            <w:pPr>
              <w:jc w:val="right"/>
              <w:spacing w:after="0"/>
              <w:rPr>
                <w:sz w:val="20"/>
                <w:szCs w:val="20"/>
                <w:color w:val="auto"/>
              </w:rPr>
            </w:pPr>
            <w:r>
              <w:rPr>
                <w:rFonts w:ascii="Arial" w:cs="Arial" w:eastAsia="Arial" w:hAnsi="Arial"/>
                <w:sz w:val="13"/>
                <w:szCs w:val="13"/>
                <w:color w:val="auto"/>
              </w:rPr>
              <w:t>(1.6)%</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38.5 %</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51.1</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(1.0)</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development as a</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20"/>
              <w:spacing w:after="0" w:line="139" w:lineRule="exact"/>
              <w:rPr>
                <w:sz w:val="20"/>
                <w:szCs w:val="20"/>
                <w:color w:val="auto"/>
              </w:rPr>
            </w:pPr>
            <w:r>
              <w:rPr>
                <w:rFonts w:ascii="Arial" w:cs="Arial" w:eastAsia="Arial" w:hAnsi="Arial"/>
                <w:sz w:val="14"/>
                <w:szCs w:val="14"/>
                <w:color w:val="auto"/>
              </w:rPr>
              <w:t>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17.4 %</w:t>
            </w:r>
          </w:p>
        </w:tc>
        <w:tc>
          <w:tcPr>
            <w:tcW w:w="86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(0.3)%</w:t>
            </w:r>
          </w:p>
        </w:tc>
        <w:tc>
          <w:tcPr>
            <w:tcW w:w="880" w:type="dxa"/>
            <w:vAlign w:val="bottom"/>
          </w:tcPr>
          <w:p>
            <w:pPr>
              <w:jc w:val="right"/>
              <w:spacing w:after="0"/>
              <w:rPr>
                <w:sz w:val="20"/>
                <w:szCs w:val="20"/>
                <w:color w:val="auto"/>
              </w:rPr>
            </w:pPr>
            <w:r>
              <w:rPr>
                <w:rFonts w:ascii="Arial" w:cs="Arial" w:eastAsia="Arial" w:hAnsi="Arial"/>
                <w:sz w:val="13"/>
                <w:szCs w:val="13"/>
                <w:color w:val="auto"/>
              </w:rPr>
              <w:t>(0.4)%</w:t>
            </w:r>
          </w:p>
        </w:tc>
        <w:tc>
          <w:tcPr>
            <w:tcW w:w="1000" w:type="dxa"/>
            <w:vAlign w:val="bottom"/>
          </w:tcPr>
          <w:p>
            <w:pPr>
              <w:jc w:val="right"/>
              <w:spacing w:after="0"/>
              <w:rPr>
                <w:sz w:val="20"/>
                <w:szCs w:val="20"/>
                <w:color w:val="auto"/>
              </w:rPr>
            </w:pPr>
            <w:r>
              <w:rPr>
                <w:rFonts w:ascii="Arial" w:cs="Arial" w:eastAsia="Arial" w:hAnsi="Arial"/>
                <w:sz w:val="13"/>
                <w:szCs w:val="13"/>
                <w:color w:val="auto"/>
              </w:rPr>
              <w:t>(0.4)%</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16.3 %</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expense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10.8</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(10.8)</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17.4</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6.6</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2.5</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17.3</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5.7</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Operating margin</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5.9 %</w:t>
            </w:r>
          </w:p>
        </w:tc>
        <w:tc>
          <w:tcPr>
            <w:tcW w:w="860" w:type="dxa"/>
            <w:vAlign w:val="bottom"/>
          </w:tcPr>
          <w:p>
            <w:pPr>
              <w:jc w:val="right"/>
              <w:spacing w:after="0"/>
              <w:rPr>
                <w:sz w:val="20"/>
                <w:szCs w:val="20"/>
                <w:color w:val="auto"/>
              </w:rPr>
            </w:pPr>
            <w:r>
              <w:rPr>
                <w:rFonts w:ascii="Arial" w:cs="Arial" w:eastAsia="Arial" w:hAnsi="Arial"/>
                <w:sz w:val="13"/>
                <w:szCs w:val="13"/>
                <w:color w:val="auto"/>
              </w:rPr>
              <w:t>(0.1)%</w:t>
            </w: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900" w:type="dxa"/>
            <w:vAlign w:val="bottom"/>
          </w:tcPr>
          <w:p>
            <w:pPr>
              <w:jc w:val="right"/>
              <w:spacing w:after="0"/>
              <w:rPr>
                <w:sz w:val="20"/>
                <w:szCs w:val="20"/>
                <w:color w:val="auto"/>
              </w:rPr>
            </w:pPr>
            <w:r>
              <w:rPr>
                <w:rFonts w:ascii="Arial" w:cs="Arial" w:eastAsia="Arial" w:hAnsi="Arial"/>
                <w:sz w:val="13"/>
                <w:szCs w:val="13"/>
                <w:color w:val="auto"/>
              </w:rPr>
              <w:t>2.2 %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0.9 %</w:t>
            </w:r>
          </w:p>
        </w:tc>
        <w:tc>
          <w:tcPr>
            <w:tcW w:w="880" w:type="dxa"/>
            <w:vAlign w:val="bottom"/>
          </w:tcPr>
          <w:p>
            <w:pPr>
              <w:jc w:val="right"/>
              <w:spacing w:after="0"/>
              <w:rPr>
                <w:sz w:val="20"/>
                <w:szCs w:val="20"/>
                <w:color w:val="auto"/>
              </w:rPr>
            </w:pPr>
            <w:r>
              <w:rPr>
                <w:rFonts w:ascii="Arial" w:cs="Arial" w:eastAsia="Arial" w:hAnsi="Arial"/>
                <w:sz w:val="13"/>
                <w:szCs w:val="13"/>
                <w:color w:val="auto"/>
              </w:rPr>
              <w:t>5.9 %</w:t>
            </w:r>
          </w:p>
        </w:tc>
        <w:tc>
          <w:tcPr>
            <w:tcW w:w="1000" w:type="dxa"/>
            <w:vAlign w:val="bottom"/>
          </w:tcPr>
          <w:p>
            <w:pPr>
              <w:jc w:val="right"/>
              <w:spacing w:after="0"/>
              <w:rPr>
                <w:sz w:val="20"/>
                <w:szCs w:val="20"/>
                <w:color w:val="auto"/>
              </w:rPr>
            </w:pPr>
            <w:r>
              <w:rPr>
                <w:rFonts w:ascii="Arial" w:cs="Arial" w:eastAsia="Arial" w:hAnsi="Arial"/>
                <w:sz w:val="13"/>
                <w:szCs w:val="13"/>
                <w:color w:val="auto"/>
              </w:rPr>
              <w:t>1.9 %</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16.8 %</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1.2</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(0.2)</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0.2</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6.6</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1.4</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2.5</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17.3</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5.7</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(0.3)</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7.6</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Net income as a</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0.4 %</w:t>
            </w:r>
          </w:p>
        </w:tc>
        <w:tc>
          <w:tcPr>
            <w:tcW w:w="860" w:type="dxa"/>
            <w:vAlign w:val="bottom"/>
          </w:tcPr>
          <w:p>
            <w:pPr>
              <w:jc w:val="right"/>
              <w:spacing w:after="0"/>
              <w:rPr>
                <w:sz w:val="20"/>
                <w:szCs w:val="20"/>
                <w:color w:val="auto"/>
              </w:rPr>
            </w:pPr>
            <w:r>
              <w:rPr>
                <w:rFonts w:ascii="Arial" w:cs="Arial" w:eastAsia="Arial" w:hAnsi="Arial"/>
                <w:sz w:val="13"/>
                <w:szCs w:val="13"/>
                <w:color w:val="auto"/>
              </w:rPr>
              <w:t>(0.1)%</w:t>
            </w: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900" w:type="dxa"/>
            <w:vAlign w:val="bottom"/>
          </w:tcPr>
          <w:p>
            <w:pPr>
              <w:jc w:val="right"/>
              <w:spacing w:after="0"/>
              <w:rPr>
                <w:sz w:val="20"/>
                <w:szCs w:val="20"/>
                <w:color w:val="auto"/>
              </w:rPr>
            </w:pPr>
            <w:r>
              <w:rPr>
                <w:rFonts w:ascii="Arial" w:cs="Arial" w:eastAsia="Arial" w:hAnsi="Arial"/>
                <w:sz w:val="13"/>
                <w:szCs w:val="13"/>
                <w:color w:val="auto"/>
              </w:rPr>
              <w:t>2.2 %</w:t>
            </w:r>
          </w:p>
        </w:tc>
        <w:tc>
          <w:tcPr>
            <w:tcW w:w="960" w:type="dxa"/>
            <w:vAlign w:val="bottom"/>
          </w:tcPr>
          <w:p>
            <w:pPr>
              <w:jc w:val="right"/>
              <w:spacing w:after="0"/>
              <w:rPr>
                <w:sz w:val="20"/>
                <w:szCs w:val="20"/>
                <w:color w:val="auto"/>
              </w:rPr>
            </w:pPr>
            <w:r>
              <w:rPr>
                <w:rFonts w:ascii="Arial" w:cs="Arial" w:eastAsia="Arial" w:hAnsi="Arial"/>
                <w:sz w:val="13"/>
                <w:szCs w:val="13"/>
                <w:color w:val="auto"/>
              </w:rPr>
              <w:t>0.5 %</w:t>
            </w:r>
          </w:p>
        </w:tc>
        <w:tc>
          <w:tcPr>
            <w:tcW w:w="1040" w:type="dxa"/>
            <w:vAlign w:val="bottom"/>
          </w:tcPr>
          <w:p>
            <w:pPr>
              <w:jc w:val="right"/>
              <w:spacing w:after="0"/>
              <w:rPr>
                <w:sz w:val="20"/>
                <w:szCs w:val="20"/>
                <w:color w:val="auto"/>
              </w:rPr>
            </w:pPr>
            <w:r>
              <w:rPr>
                <w:rFonts w:ascii="Arial" w:cs="Arial" w:eastAsia="Arial" w:hAnsi="Arial"/>
                <w:sz w:val="13"/>
                <w:szCs w:val="13"/>
                <w:color w:val="auto"/>
              </w:rPr>
              <w:t>0.9 %</w:t>
            </w:r>
          </w:p>
        </w:tc>
        <w:tc>
          <w:tcPr>
            <w:tcW w:w="880" w:type="dxa"/>
            <w:vAlign w:val="bottom"/>
          </w:tcPr>
          <w:p>
            <w:pPr>
              <w:jc w:val="right"/>
              <w:spacing w:after="0"/>
              <w:rPr>
                <w:sz w:val="20"/>
                <w:szCs w:val="20"/>
                <w:color w:val="auto"/>
              </w:rPr>
            </w:pPr>
            <w:r>
              <w:rPr>
                <w:rFonts w:ascii="Arial" w:cs="Arial" w:eastAsia="Arial" w:hAnsi="Arial"/>
                <w:sz w:val="13"/>
                <w:szCs w:val="13"/>
                <w:color w:val="auto"/>
              </w:rPr>
              <w:t>5.9 %</w:t>
            </w:r>
          </w:p>
        </w:tc>
        <w:tc>
          <w:tcPr>
            <w:tcW w:w="1000" w:type="dxa"/>
            <w:vAlign w:val="bottom"/>
          </w:tcPr>
          <w:p>
            <w:pPr>
              <w:jc w:val="right"/>
              <w:spacing w:after="0"/>
              <w:rPr>
                <w:sz w:val="20"/>
                <w:szCs w:val="20"/>
                <w:color w:val="auto"/>
              </w:rPr>
            </w:pPr>
            <w:r>
              <w:rPr>
                <w:rFonts w:ascii="Arial" w:cs="Arial" w:eastAsia="Arial" w:hAnsi="Arial"/>
                <w:sz w:val="13"/>
                <w:szCs w:val="13"/>
                <w:color w:val="auto"/>
              </w:rPr>
              <w:t>1.9 %</w:t>
            </w:r>
          </w:p>
        </w:tc>
        <w:tc>
          <w:tcPr>
            <w:tcW w:w="940" w:type="dxa"/>
            <w:vAlign w:val="bottom"/>
          </w:tcPr>
          <w:p>
            <w:pPr>
              <w:jc w:val="right"/>
              <w:spacing w:after="0"/>
              <w:rPr>
                <w:sz w:val="20"/>
                <w:szCs w:val="20"/>
                <w:color w:val="auto"/>
              </w:rPr>
            </w:pPr>
            <w:r>
              <w:rPr>
                <w:rFonts w:ascii="Arial" w:cs="Arial" w:eastAsia="Arial" w:hAnsi="Arial"/>
                <w:sz w:val="13"/>
                <w:szCs w:val="13"/>
                <w:color w:val="auto"/>
              </w:rPr>
              <w:t>(0.1)%</w:t>
            </w:r>
          </w:p>
        </w:tc>
        <w:tc>
          <w:tcPr>
            <w:tcW w:w="940" w:type="dxa"/>
            <w:vAlign w:val="bottom"/>
          </w:tcPr>
          <w:p>
            <w:pPr>
              <w:jc w:val="right"/>
              <w:spacing w:after="0"/>
              <w:rPr>
                <w:sz w:val="20"/>
                <w:szCs w:val="20"/>
                <w:color w:val="auto"/>
              </w:rPr>
            </w:pPr>
            <w:r>
              <w:rPr>
                <w:rFonts w:ascii="Arial" w:cs="Arial" w:eastAsia="Arial" w:hAnsi="Arial"/>
                <w:sz w:val="13"/>
                <w:szCs w:val="13"/>
                <w:color w:val="auto"/>
              </w:rPr>
              <w:t>2.6 %</w:t>
            </w:r>
          </w:p>
        </w:tc>
        <w:tc>
          <w:tcPr>
            <w:tcW w:w="780" w:type="dxa"/>
            <w:vAlign w:val="bottom"/>
          </w:tcPr>
          <w:p>
            <w:pPr>
              <w:jc w:val="right"/>
              <w:spacing w:after="0"/>
              <w:rPr>
                <w:sz w:val="20"/>
                <w:szCs w:val="20"/>
                <w:color w:val="auto"/>
              </w:rPr>
            </w:pPr>
            <w:r>
              <w:rPr>
                <w:rFonts w:ascii="Arial" w:cs="Arial" w:eastAsia="Arial" w:hAnsi="Arial"/>
                <w:sz w:val="13"/>
                <w:szCs w:val="13"/>
                <w:color w:val="auto"/>
              </w:rPr>
              <w:t>14.3 %</w:t>
            </w:r>
          </w:p>
        </w:tc>
        <w:tc>
          <w:tcPr>
            <w:tcW w:w="0" w:type="dxa"/>
            <w:vAlign w:val="bottom"/>
          </w:tcPr>
          <w:p>
            <w:pPr>
              <w:spacing w:after="0"/>
              <w:rPr>
                <w:sz w:val="1"/>
                <w:szCs w:val="1"/>
                <w:color w:val="auto"/>
              </w:rPr>
            </w:pPr>
          </w:p>
        </w:tc>
      </w:tr>
      <w:tr>
        <w:trPr>
          <w:trHeight w:val="193"/>
        </w:trPr>
        <w:tc>
          <w:tcPr>
            <w:tcW w:w="12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$0.02</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$0.12</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$0.03</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$0.05</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$0.32</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$0.11</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($0.01)</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$0.14</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$0.78</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three months ended June 30, 2023 include:</w:t>
      </w:r>
    </w:p>
    <w:p>
      <w:pPr>
        <w:spacing w:after="0" w:line="10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Merger and integration expenses related to the acquisition of ALung Technologies, Inc.</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 for the 2025 Notes conversion option feature and associated capped call derivatives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acquisitions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costs related to the SNIA matter, and MDR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Discrete tax items, R&amp;D tax credits,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16" w:lineRule="auto"/>
        <w:tabs>
          <w:tab w:leader="none" w:pos="333"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Non-cash interest expense on the 2025 Notes and Revolving Credit Facility, interest expense on the Term Facilities, and interest income on the collateral for the SNIA litigation guarantee and delayed draw on Term Facilities</w:t>
      </w:r>
    </w:p>
    <w:tbl>
      <w:tblPr>
        <w:tblLayout w:type="fixed"/>
        <w:tblInd w:w="0" w:type="dxa"/>
        <w:tblCellMar>
          <w:top w:w="0" w:type="dxa"/>
          <w:left w:w="0" w:type="dxa"/>
          <w:bottom w:w="0" w:type="dxa"/>
          <w:right w:w="0" w:type="dxa"/>
        </w:tblCellMar>
      </w:tblPr>
      <w:tr>
        <w:trPr>
          <w:trHeight w:val="283"/>
        </w:trPr>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vMerge w:val="restart"/>
          </w:tcPr>
          <w:p>
            <w:pPr>
              <w:ind w:left="100"/>
              <w:spacing w:after="0"/>
              <w:rPr>
                <w:sz w:val="20"/>
                <w:szCs w:val="20"/>
                <w:color w:val="auto"/>
              </w:rPr>
            </w:pPr>
            <w:r>
              <w:rPr>
                <w:rFonts w:ascii="Arial" w:cs="Arial" w:eastAsia="Arial" w:hAnsi="Arial"/>
                <w:sz w:val="16"/>
                <w:szCs w:val="16"/>
                <w:color w:val="auto"/>
              </w:rPr>
              <w:t>Numbers may not add precisely due to rounding.</w:t>
            </w:r>
          </w:p>
        </w:tc>
        <w:tc>
          <w:tcPr>
            <w:tcW w:w="112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61"/>
        </w:trPr>
        <w:tc>
          <w:tcPr>
            <w:tcW w:w="160" w:type="dxa"/>
            <w:vAlign w:val="bottom"/>
            <w:vMerge w:val="continue"/>
          </w:tcPr>
          <w:p>
            <w:pPr>
              <w:spacing w:after="0"/>
              <w:rPr>
                <w:sz w:val="5"/>
                <w:szCs w:val="5"/>
                <w:color w:val="auto"/>
              </w:rPr>
            </w:pPr>
          </w:p>
        </w:tc>
        <w:tc>
          <w:tcPr>
            <w:tcW w:w="44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8" w:name="page19"/>
    <w:bookmarkEnd w:id="18"/>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10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8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3"/>
                <w:szCs w:val="13"/>
                <w:b w:val="1"/>
                <w:bCs w:val="1"/>
                <w:color w:val="auto"/>
              </w:rPr>
              <w:t>Certain</w:t>
            </w:r>
          </w:p>
        </w:tc>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Restructuring</w:t>
            </w:r>
          </w:p>
        </w:tc>
        <w:tc>
          <w:tcPr>
            <w:tcW w:w="9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and</w:t>
            </w:r>
          </w:p>
        </w:tc>
        <w:tc>
          <w:tcPr>
            <w:tcW w:w="840" w:type="dxa"/>
            <w:vAlign w:val="bottom"/>
          </w:tcPr>
          <w:p>
            <w:pPr>
              <w:spacing w:after="0"/>
              <w:rPr>
                <w:sz w:val="10"/>
                <w:szCs w:val="10"/>
                <w:color w:val="auto"/>
              </w:rPr>
            </w:pP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Contingent</w:t>
            </w: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Certain Tax</w:t>
            </w:r>
          </w:p>
        </w:tc>
        <w:tc>
          <w:tcPr>
            <w:tcW w:w="9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Ended</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Financial</w:t>
            </w:r>
          </w:p>
        </w:tc>
        <w:tc>
          <w:tcPr>
            <w:tcW w:w="100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 xml:space="preserve">Impairment </w:t>
            </w:r>
            <w:r>
              <w:rPr>
                <w:rFonts w:ascii="Arial" w:cs="Arial" w:eastAsia="Arial" w:hAnsi="Arial"/>
                <w:sz w:val="16"/>
                <w:szCs w:val="16"/>
                <w:b w:val="1"/>
                <w:bCs w:val="1"/>
                <w:color w:val="auto"/>
                <w:w w:val="92"/>
                <w:vertAlign w:val="superscript"/>
              </w:rPr>
              <w:t>(3)</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1"/>
                <w:szCs w:val="11"/>
                <w:color w:val="auto"/>
              </w:rPr>
            </w:pP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Interest</w:t>
            </w:r>
          </w:p>
        </w:tc>
        <w:tc>
          <w:tcPr>
            <w:tcW w:w="8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Measures</w:t>
            </w:r>
          </w:p>
        </w:tc>
        <w:tc>
          <w:tcPr>
            <w:tcW w:w="1000" w:type="dxa"/>
            <w:vAlign w:val="bottom"/>
            <w:tcBorders>
              <w:bottom w:val="single" w:sz="8" w:color="auto"/>
            </w:tcBorders>
          </w:tcPr>
          <w:p>
            <w:pPr>
              <w:jc w:val="right"/>
              <w:ind w:right="97"/>
              <w:spacing w:after="0" w:line="175" w:lineRule="exact"/>
              <w:rPr>
                <w:sz w:val="20"/>
                <w:szCs w:val="20"/>
                <w:color w:val="auto"/>
              </w:rPr>
            </w:pPr>
            <w:r>
              <w:rPr>
                <w:rFonts w:ascii="Arial" w:cs="Arial" w:eastAsia="Arial" w:hAnsi="Arial"/>
                <w:sz w:val="13"/>
                <w:szCs w:val="13"/>
                <w:b w:val="1"/>
                <w:bCs w:val="1"/>
                <w:color w:val="auto"/>
              </w:rPr>
              <w:t xml:space="preserve">Expenses </w:t>
            </w:r>
            <w:r>
              <w:rPr>
                <w:rFonts w:ascii="Arial" w:cs="Arial" w:eastAsia="Arial" w:hAnsi="Arial"/>
                <w:sz w:val="16"/>
                <w:szCs w:val="16"/>
                <w:b w:val="1"/>
                <w:bCs w:val="1"/>
                <w:color w:val="auto"/>
                <w:vertAlign w:val="superscript"/>
              </w:rPr>
              <w:t>(1)</w:t>
            </w:r>
          </w:p>
        </w:tc>
        <w:tc>
          <w:tcPr>
            <w:tcW w:w="92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(2)</w:t>
            </w:r>
          </w:p>
        </w:tc>
        <w:tc>
          <w:tcPr>
            <w:tcW w:w="8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Transactions </w:t>
            </w:r>
            <w:r>
              <w:rPr>
                <w:rFonts w:ascii="Arial" w:cs="Arial" w:eastAsia="Arial" w:hAnsi="Arial"/>
                <w:sz w:val="16"/>
                <w:szCs w:val="16"/>
                <w:b w:val="1"/>
                <w:bCs w:val="1"/>
                <w:color w:val="auto"/>
                <w:w w:val="94"/>
                <w:vertAlign w:val="superscript"/>
              </w:rPr>
              <w:t>(4)</w:t>
            </w: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(5)</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(7)</w:t>
            </w:r>
          </w:p>
        </w:tc>
        <w:tc>
          <w:tcPr>
            <w:tcW w:w="94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(8)</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(9)</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11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$187.2</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($3.4)</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($0.5)</w:t>
            </w:r>
          </w:p>
        </w:tc>
        <w:tc>
          <w:tcPr>
            <w:tcW w:w="940" w:type="dxa"/>
            <w:vAlign w:val="bottom"/>
          </w:tcPr>
          <w:p>
            <w:pPr>
              <w:ind w:left="58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$183.4</w:t>
            </w:r>
          </w:p>
        </w:tc>
        <w:tc>
          <w:tcPr>
            <w:tcW w:w="0" w:type="dxa"/>
            <w:vAlign w:val="bottom"/>
          </w:tcPr>
          <w:p>
            <w:pPr>
              <w:spacing w:after="0"/>
              <w:rPr>
                <w:sz w:val="1"/>
                <w:szCs w:val="1"/>
                <w:color w:val="auto"/>
              </w:rPr>
            </w:pPr>
          </w:p>
        </w:tc>
      </w:tr>
      <w:tr>
        <w:trPr>
          <w:trHeight w:val="161"/>
        </w:trPr>
        <w:tc>
          <w:tcPr>
            <w:tcW w:w="11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percent</w:t>
            </w:r>
          </w:p>
        </w:tc>
        <w:tc>
          <w:tcPr>
            <w:tcW w:w="760" w:type="dxa"/>
            <w:vAlign w:val="bottom"/>
          </w:tcPr>
          <w:p>
            <w:pPr>
              <w:jc w:val="right"/>
              <w:spacing w:after="0"/>
              <w:rPr>
                <w:sz w:val="20"/>
                <w:szCs w:val="20"/>
                <w:color w:val="auto"/>
              </w:rPr>
            </w:pPr>
            <w:r>
              <w:rPr>
                <w:rFonts w:ascii="Arial" w:cs="Arial" w:eastAsia="Arial" w:hAnsi="Arial"/>
                <w:sz w:val="13"/>
                <w:szCs w:val="13"/>
                <w:color w:val="auto"/>
              </w:rPr>
              <w:t>69.5 %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0.6 %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70.1 %</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Selling, general,</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259.0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(5.3)</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(13.8)</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(13.9)</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226.0</w:t>
            </w:r>
          </w:p>
        </w:tc>
        <w:tc>
          <w:tcPr>
            <w:tcW w:w="0" w:type="dxa"/>
            <w:vAlign w:val="bottom"/>
          </w:tcPr>
          <w:p>
            <w:pPr>
              <w:spacing w:after="0"/>
              <w:rPr>
                <w:sz w:val="1"/>
                <w:szCs w:val="1"/>
                <w:color w:val="auto"/>
              </w:rPr>
            </w:pPr>
          </w:p>
        </w:tc>
      </w:tr>
      <w:tr>
        <w:trPr>
          <w:trHeight w:val="152"/>
        </w:trPr>
        <w:tc>
          <w:tcPr>
            <w:tcW w:w="1140" w:type="dxa"/>
            <w:vAlign w:val="bottom"/>
          </w:tcPr>
          <w:p>
            <w:pPr>
              <w:ind w:left="20"/>
              <w:spacing w:after="0" w:line="151" w:lineRule="exact"/>
              <w:rPr>
                <w:sz w:val="20"/>
                <w:szCs w:val="20"/>
                <w:color w:val="auto"/>
              </w:rPr>
            </w:pPr>
            <w:r>
              <w:rPr>
                <w:rFonts w:ascii="Arial" w:cs="Arial" w:eastAsia="Arial" w:hAnsi="Arial"/>
                <w:sz w:val="14"/>
                <w:szCs w:val="14"/>
                <w:color w:val="auto"/>
              </w:rPr>
              <w:t>Selling, general,</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4"/>
                <w:szCs w:val="14"/>
                <w:color w:val="auto"/>
              </w:rPr>
              <w:t>administrative</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as a percent of</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42.2 %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(0.9)%</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(2.3)%</w:t>
            </w:r>
          </w:p>
        </w:tc>
        <w:tc>
          <w:tcPr>
            <w:tcW w:w="1000" w:type="dxa"/>
            <w:vAlign w:val="bottom"/>
          </w:tcPr>
          <w:p>
            <w:pPr>
              <w:jc w:val="right"/>
              <w:spacing w:after="0"/>
              <w:rPr>
                <w:sz w:val="20"/>
                <w:szCs w:val="20"/>
                <w:color w:val="auto"/>
              </w:rPr>
            </w:pPr>
            <w:r>
              <w:rPr>
                <w:rFonts w:ascii="Arial" w:cs="Arial" w:eastAsia="Arial" w:hAnsi="Arial"/>
                <w:sz w:val="13"/>
                <w:szCs w:val="13"/>
                <w:color w:val="auto"/>
              </w:rPr>
              <w:t>(2.3)%</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36.8 %</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90.4</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(0.4)</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(4.0)</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84.1</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development as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4"/>
                <w:szCs w:val="14"/>
                <w:color w:val="auto"/>
              </w:rPr>
              <w:t>a percent of net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4"/>
                <w:szCs w:val="14"/>
                <w:color w:val="auto"/>
              </w:rPr>
              <w:t>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14.7 %</w:t>
            </w:r>
          </w:p>
        </w:tc>
        <w:tc>
          <w:tcPr>
            <w:tcW w:w="1000" w:type="dxa"/>
            <w:vAlign w:val="bottom"/>
          </w:tcPr>
          <w:p>
            <w:pPr>
              <w:jc w:val="right"/>
              <w:spacing w:after="0"/>
              <w:rPr>
                <w:sz w:val="20"/>
                <w:szCs w:val="20"/>
                <w:color w:val="auto"/>
              </w:rPr>
            </w:pPr>
            <w:r>
              <w:rPr>
                <w:rFonts w:ascii="Arial" w:cs="Arial" w:eastAsia="Arial" w:hAnsi="Arial"/>
                <w:sz w:val="13"/>
                <w:szCs w:val="13"/>
                <w:color w:val="auto"/>
              </w:rPr>
              <w:t>— %</w:t>
            </w:r>
          </w:p>
        </w:tc>
        <w:tc>
          <w:tcPr>
            <w:tcW w:w="920" w:type="dxa"/>
            <w:vAlign w:val="bottom"/>
          </w:tcPr>
          <w:p>
            <w:pPr>
              <w:jc w:val="right"/>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1000" w:type="dxa"/>
            <w:vAlign w:val="bottom"/>
          </w:tcPr>
          <w:p>
            <w:pPr>
              <w:jc w:val="right"/>
              <w:spacing w:after="0"/>
              <w:rPr>
                <w:sz w:val="20"/>
                <w:szCs w:val="20"/>
                <w:color w:val="auto"/>
              </w:rPr>
            </w:pPr>
            <w:r>
              <w:rPr>
                <w:rFonts w:ascii="Arial" w:cs="Arial" w:eastAsia="Arial" w:hAnsi="Arial"/>
                <w:sz w:val="13"/>
                <w:szCs w:val="13"/>
                <w:color w:val="auto"/>
              </w:rPr>
              <w:t>(0.6)%</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161"/>
        </w:trPr>
        <w:tc>
          <w:tcPr>
            <w:tcW w:w="11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20.5</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(11.4)</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(9.1)</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Operating</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income</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56.4</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11.4</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8.6</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0.3</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24.9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18.4</w:t>
            </w:r>
          </w:p>
        </w:tc>
        <w:tc>
          <w:tcPr>
            <w:tcW w:w="940" w:type="dxa"/>
            <w:vAlign w:val="bottom"/>
          </w:tcPr>
          <w:p>
            <w:pPr>
              <w:ind w:left="6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Operating</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margin percent</w:t>
            </w:r>
          </w:p>
        </w:tc>
        <w:tc>
          <w:tcPr>
            <w:tcW w:w="760" w:type="dxa"/>
            <w:vAlign w:val="bottom"/>
          </w:tcPr>
          <w:p>
            <w:pPr>
              <w:jc w:val="right"/>
              <w:spacing w:after="0"/>
              <w:rPr>
                <w:sz w:val="20"/>
                <w:szCs w:val="20"/>
                <w:color w:val="auto"/>
              </w:rPr>
            </w:pPr>
            <w:r>
              <w:rPr>
                <w:rFonts w:ascii="Arial" w:cs="Arial" w:eastAsia="Arial" w:hAnsi="Arial"/>
                <w:sz w:val="13"/>
                <w:szCs w:val="13"/>
                <w:color w:val="auto"/>
              </w:rPr>
              <w:t>9.2 %</w:t>
            </w:r>
          </w:p>
        </w:tc>
        <w:tc>
          <w:tcPr>
            <w:tcW w:w="1000" w:type="dxa"/>
            <w:vAlign w:val="bottom"/>
          </w:tcPr>
          <w:p>
            <w:pPr>
              <w:jc w:val="right"/>
              <w:spacing w:after="0"/>
              <w:rPr>
                <w:sz w:val="20"/>
                <w:szCs w:val="20"/>
                <w:color w:val="auto"/>
              </w:rPr>
            </w:pPr>
            <w:r>
              <w:rPr>
                <w:rFonts w:ascii="Arial" w:cs="Arial" w:eastAsia="Arial" w:hAnsi="Arial"/>
                <w:sz w:val="13"/>
                <w:szCs w:val="13"/>
                <w:color w:val="auto"/>
              </w:rPr>
              <w:t>1.9 %</w:t>
            </w:r>
          </w:p>
        </w:tc>
        <w:tc>
          <w:tcPr>
            <w:tcW w:w="920" w:type="dxa"/>
            <w:vAlign w:val="bottom"/>
          </w:tcPr>
          <w:p>
            <w:pPr>
              <w:jc w:val="right"/>
              <w:spacing w:after="0"/>
              <w:rPr>
                <w:sz w:val="20"/>
                <w:szCs w:val="20"/>
                <w:color w:val="auto"/>
              </w:rPr>
            </w:pPr>
            <w:r>
              <w:rPr>
                <w:rFonts w:ascii="Arial" w:cs="Arial" w:eastAsia="Arial" w:hAnsi="Arial"/>
                <w:sz w:val="13"/>
                <w:szCs w:val="13"/>
                <w:color w:val="auto"/>
              </w:rPr>
              <w:t>1.4 %</w:t>
            </w:r>
          </w:p>
        </w:tc>
        <w:tc>
          <w:tcPr>
            <w:tcW w:w="84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4.1 %</w:t>
            </w:r>
          </w:p>
        </w:tc>
        <w:tc>
          <w:tcPr>
            <w:tcW w:w="1000" w:type="dxa"/>
            <w:vAlign w:val="bottom"/>
          </w:tcPr>
          <w:p>
            <w:pPr>
              <w:jc w:val="right"/>
              <w:spacing w:after="0"/>
              <w:rPr>
                <w:sz w:val="20"/>
                <w:szCs w:val="20"/>
                <w:color w:val="auto"/>
              </w:rPr>
            </w:pPr>
            <w:r>
              <w:rPr>
                <w:rFonts w:ascii="Arial" w:cs="Arial" w:eastAsia="Arial" w:hAnsi="Arial"/>
                <w:sz w:val="13"/>
                <w:szCs w:val="13"/>
                <w:color w:val="auto"/>
              </w:rPr>
              <w:t>3.0 %</w:t>
            </w:r>
          </w:p>
        </w:tc>
        <w:tc>
          <w:tcPr>
            <w:tcW w:w="940" w:type="dxa"/>
            <w:vAlign w:val="bottom"/>
          </w:tcPr>
          <w:p>
            <w:pPr>
              <w:ind w:left="640"/>
              <w:spacing w:after="0"/>
              <w:rPr>
                <w:sz w:val="20"/>
                <w:szCs w:val="20"/>
                <w:color w:val="auto"/>
              </w:rPr>
            </w:pPr>
            <w:r>
              <w:rPr>
                <w:rFonts w:ascii="Arial" w:cs="Arial" w:eastAsia="Arial" w:hAnsi="Arial"/>
                <w:sz w:val="13"/>
                <w:szCs w:val="13"/>
                <w:color w:val="auto"/>
                <w:w w:val="99"/>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820" w:type="dxa"/>
            <w:vAlign w:val="bottom"/>
          </w:tcPr>
          <w:p>
            <w:pPr>
              <w:jc w:val="right"/>
              <w:spacing w:after="0"/>
              <w:rPr>
                <w:sz w:val="20"/>
                <w:szCs w:val="20"/>
                <w:color w:val="auto"/>
              </w:rPr>
            </w:pPr>
            <w:r>
              <w:rPr>
                <w:rFonts w:ascii="Arial" w:cs="Arial" w:eastAsia="Arial" w:hAnsi="Arial"/>
                <w:sz w:val="13"/>
                <w:szCs w:val="13"/>
                <w:color w:val="auto"/>
              </w:rPr>
              <w:t>19.6 %</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Arial" w:cs="Arial" w:eastAsia="Arial" w:hAnsi="Arial"/>
                <w:sz w:val="14"/>
                <w:szCs w:val="14"/>
                <w:color w:val="auto"/>
              </w:rPr>
              <w:t>income</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(25.6)</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11.4</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8.6</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5.8</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42.8</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0.3</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24.9</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18.4</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15.1</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90.8</w:t>
            </w:r>
          </w:p>
        </w:tc>
        <w:tc>
          <w:tcPr>
            <w:tcW w:w="0" w:type="dxa"/>
            <w:vAlign w:val="bottom"/>
          </w:tcPr>
          <w:p>
            <w:pPr>
              <w:spacing w:after="0"/>
              <w:rPr>
                <w:sz w:val="1"/>
                <w:szCs w:val="1"/>
                <w:color w:val="auto"/>
              </w:rPr>
            </w:pPr>
          </w:p>
        </w:tc>
      </w:tr>
      <w:tr>
        <w:trPr>
          <w:trHeight w:val="148"/>
        </w:trPr>
        <w:tc>
          <w:tcPr>
            <w:tcW w:w="114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tcPr>
          <w:p>
            <w:pPr>
              <w:ind w:left="20"/>
              <w:spacing w:after="0" w:line="145" w:lineRule="exact"/>
              <w:rPr>
                <w:sz w:val="20"/>
                <w:szCs w:val="20"/>
                <w:color w:val="auto"/>
              </w:rPr>
            </w:pPr>
            <w:r>
              <w:rPr>
                <w:rFonts w:ascii="Arial" w:cs="Arial" w:eastAsia="Arial" w:hAnsi="Arial"/>
                <w:sz w:val="14"/>
                <w:szCs w:val="14"/>
                <w:color w:val="auto"/>
              </w:rPr>
              <w:t>income as a</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
              <w:spacing w:after="0" w:line="139" w:lineRule="exact"/>
              <w:rPr>
                <w:sz w:val="20"/>
                <w:szCs w:val="20"/>
                <w:color w:val="auto"/>
              </w:rPr>
            </w:pPr>
            <w:r>
              <w:rPr>
                <w:rFonts w:ascii="Arial" w:cs="Arial" w:eastAsia="Arial" w:hAnsi="Arial"/>
                <w:sz w:val="14"/>
                <w:szCs w:val="14"/>
                <w:color w:val="auto"/>
              </w:rPr>
              <w:t>percent of net</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20"/>
              <w:spacing w:after="0"/>
              <w:rPr>
                <w:sz w:val="20"/>
                <w:szCs w:val="20"/>
                <w:color w:val="auto"/>
              </w:rPr>
            </w:pPr>
            <w:r>
              <w:rPr>
                <w:rFonts w:ascii="Arial" w:cs="Arial" w:eastAsia="Arial" w:hAnsi="Arial"/>
                <w:sz w:val="14"/>
                <w:szCs w:val="14"/>
                <w:color w:val="auto"/>
              </w:rPr>
              <w:t>revenue</w:t>
            </w:r>
          </w:p>
        </w:tc>
        <w:tc>
          <w:tcPr>
            <w:tcW w:w="760" w:type="dxa"/>
            <w:vAlign w:val="bottom"/>
          </w:tcPr>
          <w:p>
            <w:pPr>
              <w:jc w:val="right"/>
              <w:spacing w:after="0"/>
              <w:rPr>
                <w:sz w:val="20"/>
                <w:szCs w:val="20"/>
                <w:color w:val="auto"/>
              </w:rPr>
            </w:pPr>
            <w:r>
              <w:rPr>
                <w:rFonts w:ascii="Arial" w:cs="Arial" w:eastAsia="Arial" w:hAnsi="Arial"/>
                <w:sz w:val="13"/>
                <w:szCs w:val="13"/>
                <w:color w:val="auto"/>
              </w:rPr>
              <w:t>(4.2)%</w:t>
            </w:r>
          </w:p>
        </w:tc>
        <w:tc>
          <w:tcPr>
            <w:tcW w:w="1000" w:type="dxa"/>
            <w:vAlign w:val="bottom"/>
          </w:tcPr>
          <w:p>
            <w:pPr>
              <w:jc w:val="right"/>
              <w:spacing w:after="0"/>
              <w:rPr>
                <w:sz w:val="20"/>
                <w:szCs w:val="20"/>
                <w:color w:val="auto"/>
              </w:rPr>
            </w:pPr>
            <w:r>
              <w:rPr>
                <w:rFonts w:ascii="Arial" w:cs="Arial" w:eastAsia="Arial" w:hAnsi="Arial"/>
                <w:sz w:val="13"/>
                <w:szCs w:val="13"/>
                <w:color w:val="auto"/>
              </w:rPr>
              <w:t>1.9 %</w:t>
            </w:r>
          </w:p>
        </w:tc>
        <w:tc>
          <w:tcPr>
            <w:tcW w:w="920" w:type="dxa"/>
            <w:vAlign w:val="bottom"/>
          </w:tcPr>
          <w:p>
            <w:pPr>
              <w:jc w:val="right"/>
              <w:spacing w:after="0"/>
              <w:rPr>
                <w:sz w:val="20"/>
                <w:szCs w:val="20"/>
                <w:color w:val="auto"/>
              </w:rPr>
            </w:pPr>
            <w:r>
              <w:rPr>
                <w:rFonts w:ascii="Arial" w:cs="Arial" w:eastAsia="Arial" w:hAnsi="Arial"/>
                <w:sz w:val="13"/>
                <w:szCs w:val="13"/>
                <w:color w:val="auto"/>
              </w:rPr>
              <w:t>1.4 %</w:t>
            </w:r>
          </w:p>
        </w:tc>
        <w:tc>
          <w:tcPr>
            <w:tcW w:w="840" w:type="dxa"/>
            <w:vAlign w:val="bottom"/>
          </w:tcPr>
          <w:p>
            <w:pPr>
              <w:jc w:val="right"/>
              <w:spacing w:after="0"/>
              <w:rPr>
                <w:sz w:val="20"/>
                <w:szCs w:val="20"/>
                <w:color w:val="auto"/>
              </w:rPr>
            </w:pPr>
            <w:r>
              <w:rPr>
                <w:rFonts w:ascii="Arial" w:cs="Arial" w:eastAsia="Arial" w:hAnsi="Arial"/>
                <w:sz w:val="13"/>
                <w:szCs w:val="13"/>
                <w:color w:val="auto"/>
              </w:rPr>
              <w:t>0.9 %</w:t>
            </w:r>
          </w:p>
        </w:tc>
        <w:tc>
          <w:tcPr>
            <w:tcW w:w="960" w:type="dxa"/>
            <w:vAlign w:val="bottom"/>
          </w:tcPr>
          <w:p>
            <w:pPr>
              <w:jc w:val="right"/>
              <w:spacing w:after="0"/>
              <w:rPr>
                <w:sz w:val="20"/>
                <w:szCs w:val="20"/>
                <w:color w:val="auto"/>
              </w:rPr>
            </w:pPr>
            <w:r>
              <w:rPr>
                <w:rFonts w:ascii="Arial" w:cs="Arial" w:eastAsia="Arial" w:hAnsi="Arial"/>
                <w:sz w:val="13"/>
                <w:szCs w:val="13"/>
                <w:color w:val="auto"/>
              </w:rPr>
              <w:t>7.0 %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4.1 %</w:t>
            </w:r>
          </w:p>
        </w:tc>
        <w:tc>
          <w:tcPr>
            <w:tcW w:w="1000" w:type="dxa"/>
            <w:vAlign w:val="bottom"/>
          </w:tcPr>
          <w:p>
            <w:pPr>
              <w:jc w:val="right"/>
              <w:spacing w:after="0"/>
              <w:rPr>
                <w:sz w:val="20"/>
                <w:szCs w:val="20"/>
                <w:color w:val="auto"/>
              </w:rPr>
            </w:pPr>
            <w:r>
              <w:rPr>
                <w:rFonts w:ascii="Arial" w:cs="Arial" w:eastAsia="Arial" w:hAnsi="Arial"/>
                <w:sz w:val="13"/>
                <w:szCs w:val="13"/>
                <w:color w:val="auto"/>
              </w:rPr>
              <w:t>3.0 %</w:t>
            </w:r>
          </w:p>
        </w:tc>
        <w:tc>
          <w:tcPr>
            <w:tcW w:w="940" w:type="dxa"/>
            <w:vAlign w:val="bottom"/>
          </w:tcPr>
          <w:p>
            <w:pPr>
              <w:jc w:val="right"/>
              <w:spacing w:after="0"/>
              <w:rPr>
                <w:sz w:val="20"/>
                <w:szCs w:val="20"/>
                <w:color w:val="auto"/>
              </w:rPr>
            </w:pPr>
            <w:r>
              <w:rPr>
                <w:rFonts w:ascii="Arial" w:cs="Arial" w:eastAsia="Arial" w:hAnsi="Arial"/>
                <w:sz w:val="13"/>
                <w:szCs w:val="13"/>
                <w:color w:val="auto"/>
              </w:rPr>
              <w:t>(1.8)%</w:t>
            </w:r>
          </w:p>
        </w:tc>
        <w:tc>
          <w:tcPr>
            <w:tcW w:w="940" w:type="dxa"/>
            <w:vAlign w:val="bottom"/>
          </w:tcPr>
          <w:p>
            <w:pPr>
              <w:jc w:val="right"/>
              <w:spacing w:after="0"/>
              <w:rPr>
                <w:sz w:val="20"/>
                <w:szCs w:val="20"/>
                <w:color w:val="auto"/>
              </w:rPr>
            </w:pPr>
            <w:r>
              <w:rPr>
                <w:rFonts w:ascii="Arial" w:cs="Arial" w:eastAsia="Arial" w:hAnsi="Arial"/>
                <w:sz w:val="13"/>
                <w:szCs w:val="13"/>
                <w:color w:val="auto"/>
              </w:rPr>
              <w:t>2.5 %</w:t>
            </w:r>
          </w:p>
        </w:tc>
        <w:tc>
          <w:tcPr>
            <w:tcW w:w="820" w:type="dxa"/>
            <w:vAlign w:val="bottom"/>
          </w:tcPr>
          <w:p>
            <w:pPr>
              <w:jc w:val="right"/>
              <w:spacing w:after="0"/>
              <w:rPr>
                <w:sz w:val="20"/>
                <w:szCs w:val="20"/>
                <w:color w:val="auto"/>
              </w:rPr>
            </w:pPr>
            <w:r>
              <w:rPr>
                <w:rFonts w:ascii="Arial" w:cs="Arial" w:eastAsia="Arial" w:hAnsi="Arial"/>
                <w:sz w:val="13"/>
                <w:szCs w:val="13"/>
                <w:color w:val="auto"/>
              </w:rPr>
              <w:t>14.8 %</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($0.47)</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$0.21</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$0.16</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$0.11</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$0.78</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$0.46</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$0.34</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($0.20)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$0.28</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six months ended June 30, 2024 include:</w:t>
      </w:r>
    </w:p>
    <w:p>
      <w:pPr>
        <w:spacing w:after="0" w:line="10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Impairment of investment in ShiraTronics, Inc.</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Loss on debt extinguishment, as well as mark-to-market adjustments for the 2025 &amp; 2029 Notes embedded derivative features and associated capped call derivatives</w:t>
      </w:r>
    </w:p>
    <w:p>
      <w:pPr>
        <w:ind w:left="320" w:hanging="312"/>
        <w:spacing w:after="0" w:line="201"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ImThera acquisition</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cybersecurity incident costs, MDR costs, and costs related to the SNIA matter</w:t>
      </w:r>
    </w:p>
    <w:p>
      <w:pPr>
        <w:ind w:left="320" w:hanging="312"/>
        <w:spacing w:after="0" w:line="201"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impact of valuation allowances, discrete tax items,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Interest expense on the Term Facilities, non-cash interest expense on the 2025 &amp; 2029 Notes and Revolving Credit Facility, and interest income on the collateral for the SNIA litigation guarantee and delayed draw on Term Facilities</w:t>
      </w:r>
    </w:p>
    <w:p>
      <w:pPr>
        <w:spacing w:after="0" w:line="110"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05" w:right="339" w:bottom="1440" w:gutter="0" w:footer="0" w:header="0"/>
        </w:sectPr>
      </w:pPr>
    </w:p>
    <w:bookmarkStart w:id="19" w:name="page20"/>
    <w:bookmarkEnd w:id="19"/>
    <w:p>
      <w:pPr>
        <w:ind w:left="20" w:right="5580"/>
        <w:spacing w:after="0" w:line="261"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Six Months</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6"/>
              </w:rPr>
              <w:t>Depreciation</w:t>
            </w: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3"/>
                <w:szCs w:val="13"/>
                <w:b w:val="1"/>
                <w:bCs w:val="1"/>
                <w:color w:val="auto"/>
              </w:rPr>
              <w:t>Certain</w:t>
            </w:r>
          </w:p>
        </w:tc>
        <w:tc>
          <w:tcPr>
            <w:tcW w:w="78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8"/>
              </w:rPr>
              <w:t>Restructuring</w:t>
            </w: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and</w:t>
            </w:r>
          </w:p>
        </w:tc>
        <w:tc>
          <w:tcPr>
            <w:tcW w:w="96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Financing</w:t>
            </w:r>
          </w:p>
        </w:tc>
        <w:tc>
          <w:tcPr>
            <w:tcW w:w="104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Contingent</w:t>
            </w:r>
          </w:p>
        </w:tc>
        <w:tc>
          <w:tcPr>
            <w:tcW w:w="8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Certain Tax</w:t>
            </w:r>
          </w:p>
        </w:tc>
        <w:tc>
          <w:tcPr>
            <w:tcW w:w="9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Ended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Financial</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Integration</w:t>
            </w:r>
          </w:p>
        </w:tc>
        <w:tc>
          <w:tcPr>
            <w:tcW w:w="960" w:type="dxa"/>
            <w:vAlign w:val="bottom"/>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Amortization</w:t>
            </w:r>
          </w:p>
        </w:tc>
        <w:tc>
          <w:tcPr>
            <w:tcW w:w="9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&amp; Regulatory</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1"/>
                <w:szCs w:val="11"/>
                <w:color w:val="auto"/>
              </w:rPr>
            </w:pPr>
          </w:p>
        </w:tc>
        <w:tc>
          <w:tcPr>
            <w:tcW w:w="94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Interest</w:t>
            </w:r>
          </w:p>
        </w:tc>
        <w:tc>
          <w:tcPr>
            <w:tcW w:w="78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5"/>
              </w:rPr>
              <w:t xml:space="preserve">Expenses </w:t>
            </w:r>
            <w:r>
              <w:rPr>
                <w:rFonts w:ascii="Arial" w:cs="Arial" w:eastAsia="Arial" w:hAnsi="Arial"/>
                <w:sz w:val="16"/>
                <w:szCs w:val="16"/>
                <w:b w:val="1"/>
                <w:bCs w:val="1"/>
                <w:color w:val="auto"/>
                <w:w w:val="95"/>
                <w:vertAlign w:val="superscript"/>
              </w:rPr>
              <w:t>(1)</w:t>
            </w:r>
          </w:p>
        </w:tc>
        <w:tc>
          <w:tcPr>
            <w:tcW w:w="960" w:type="dxa"/>
            <w:vAlign w:val="bottom"/>
            <w:tcBorders>
              <w:bottom w:val="single" w:sz="8" w:color="auto"/>
            </w:tcBorders>
          </w:tcPr>
          <w:p>
            <w:pPr>
              <w:jc w:val="right"/>
              <w:ind w:right="97"/>
              <w:spacing w:after="0" w:line="175" w:lineRule="exact"/>
              <w:rPr>
                <w:sz w:val="20"/>
                <w:szCs w:val="20"/>
                <w:color w:val="auto"/>
              </w:rPr>
            </w:pPr>
            <w:r>
              <w:rPr>
                <w:rFonts w:ascii="Arial" w:cs="Arial" w:eastAsia="Arial" w:hAnsi="Arial"/>
                <w:sz w:val="13"/>
                <w:szCs w:val="13"/>
                <w:b w:val="1"/>
                <w:bCs w:val="1"/>
                <w:color w:val="auto"/>
              </w:rPr>
              <w:t xml:space="preserve">Expenses </w:t>
            </w:r>
            <w:r>
              <w:rPr>
                <w:rFonts w:ascii="Arial" w:cs="Arial" w:eastAsia="Arial" w:hAnsi="Arial"/>
                <w:sz w:val="16"/>
                <w:szCs w:val="16"/>
                <w:b w:val="1"/>
                <w:bCs w:val="1"/>
                <w:color w:val="auto"/>
                <w:vertAlign w:val="superscript"/>
              </w:rPr>
              <w:t>(2)</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3"/>
              </w:rPr>
              <w:t xml:space="preserve">Expenses </w:t>
            </w:r>
            <w:r>
              <w:rPr>
                <w:rFonts w:ascii="Arial" w:cs="Arial" w:eastAsia="Arial" w:hAnsi="Arial"/>
                <w:sz w:val="16"/>
                <w:szCs w:val="16"/>
                <w:b w:val="1"/>
                <w:bCs w:val="1"/>
                <w:color w:val="auto"/>
                <w:w w:val="93"/>
                <w:vertAlign w:val="superscript"/>
              </w:rPr>
              <w:t>(3)</w:t>
            </w:r>
          </w:p>
        </w:tc>
        <w:tc>
          <w:tcPr>
            <w:tcW w:w="96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b w:val="1"/>
                <w:bCs w:val="1"/>
                <w:color w:val="auto"/>
                <w:w w:val="94"/>
              </w:rPr>
              <w:t xml:space="preserve">Transactions </w:t>
            </w:r>
            <w:r>
              <w:rPr>
                <w:rFonts w:ascii="Arial" w:cs="Arial" w:eastAsia="Arial" w:hAnsi="Arial"/>
                <w:sz w:val="16"/>
                <w:szCs w:val="16"/>
                <w:b w:val="1"/>
                <w:bCs w:val="1"/>
                <w:color w:val="auto"/>
                <w:w w:val="94"/>
                <w:vertAlign w:val="superscript"/>
              </w:rPr>
              <w:t>(4)</w:t>
            </w:r>
          </w:p>
        </w:tc>
        <w:tc>
          <w:tcPr>
            <w:tcW w:w="10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Consideration </w:t>
            </w:r>
            <w:r>
              <w:rPr>
                <w:rFonts w:ascii="Arial" w:cs="Arial" w:eastAsia="Arial" w:hAnsi="Arial"/>
                <w:sz w:val="16"/>
                <w:szCs w:val="16"/>
                <w:b w:val="1"/>
                <w:bCs w:val="1"/>
                <w:color w:val="auto"/>
                <w:w w:val="94"/>
                <w:vertAlign w:val="superscript"/>
              </w:rPr>
              <w:t>(5)</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(6)</w:t>
            </w:r>
          </w:p>
        </w:tc>
        <w:tc>
          <w:tcPr>
            <w:tcW w:w="10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90"/>
              </w:rPr>
              <w:t xml:space="preserve">Costs </w:t>
            </w:r>
            <w:r>
              <w:rPr>
                <w:rFonts w:ascii="Arial" w:cs="Arial" w:eastAsia="Arial" w:hAnsi="Arial"/>
                <w:sz w:val="16"/>
                <w:szCs w:val="16"/>
                <w:b w:val="1"/>
                <w:bCs w:val="1"/>
                <w:color w:val="auto"/>
                <w:w w:val="90"/>
                <w:vertAlign w:val="superscript"/>
              </w:rPr>
              <w:t>(7)</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2"/>
              </w:rPr>
              <w:t xml:space="preserve">Adjustments </w:t>
            </w:r>
            <w:r>
              <w:rPr>
                <w:rFonts w:ascii="Arial" w:cs="Arial" w:eastAsia="Arial" w:hAnsi="Arial"/>
                <w:sz w:val="16"/>
                <w:szCs w:val="16"/>
                <w:b w:val="1"/>
                <w:bCs w:val="1"/>
                <w:color w:val="auto"/>
                <w:w w:val="92"/>
                <w:vertAlign w:val="superscript"/>
              </w:rPr>
              <w:t>(8)</w:t>
            </w: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(9)</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8"/>
        </w:trPr>
        <w:tc>
          <w:tcPr>
            <w:tcW w:w="12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$178.0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960" w:type="dxa"/>
            <w:vAlign w:val="bottom"/>
          </w:tcPr>
          <w:p>
            <w:pPr>
              <w:ind w:left="6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($4.6)</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($0.5)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$165.6</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68.1 %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1.3 %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0.8 %</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70.3 %</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Selling, general,</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250.0</w:t>
            </w:r>
          </w:p>
        </w:tc>
        <w:tc>
          <w:tcPr>
            <w:tcW w:w="860" w:type="dxa"/>
            <w:vAlign w:val="bottom"/>
          </w:tcPr>
          <w:p>
            <w:pPr>
              <w:ind w:left="5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(5.8)</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(9.8)</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(13.1)</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221.4</w:t>
            </w:r>
          </w:p>
        </w:tc>
        <w:tc>
          <w:tcPr>
            <w:tcW w:w="0" w:type="dxa"/>
            <w:vAlign w:val="bottom"/>
          </w:tcPr>
          <w:p>
            <w:pPr>
              <w:spacing w:after="0"/>
              <w:rPr>
                <w:sz w:val="1"/>
                <w:szCs w:val="1"/>
                <w:color w:val="auto"/>
              </w:rPr>
            </w:pPr>
          </w:p>
        </w:tc>
      </w:tr>
      <w:tr>
        <w:trPr>
          <w:trHeight w:val="152"/>
        </w:trPr>
        <w:tc>
          <w:tcPr>
            <w:tcW w:w="1240" w:type="dxa"/>
            <w:vAlign w:val="bottom"/>
          </w:tcPr>
          <w:p>
            <w:pPr>
              <w:ind w:left="20"/>
              <w:spacing w:after="0" w:line="151" w:lineRule="exact"/>
              <w:rPr>
                <w:sz w:val="20"/>
                <w:szCs w:val="20"/>
                <w:color w:val="auto"/>
              </w:rPr>
            </w:pPr>
            <w:r>
              <w:rPr>
                <w:rFonts w:ascii="Arial" w:cs="Arial" w:eastAsia="Arial" w:hAnsi="Arial"/>
                <w:sz w:val="14"/>
                <w:szCs w:val="14"/>
                <w:color w:val="auto"/>
              </w:rPr>
              <w:t>Selling, general,</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20"/>
              <w:spacing w:after="0" w:line="139" w:lineRule="exact"/>
              <w:rPr>
                <w:sz w:val="20"/>
                <w:szCs w:val="20"/>
                <w:color w:val="auto"/>
              </w:rPr>
            </w:pPr>
            <w:r>
              <w:rPr>
                <w:rFonts w:ascii="Arial" w:cs="Arial" w:eastAsia="Arial" w:hAnsi="Arial"/>
                <w:sz w:val="14"/>
                <w:szCs w:val="14"/>
                <w:color w:val="auto"/>
              </w:rPr>
              <w:t>administrative as</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a 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44.9 %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(1.8)%</w:t>
            </w:r>
          </w:p>
        </w:tc>
        <w:tc>
          <w:tcPr>
            <w:tcW w:w="1000" w:type="dxa"/>
            <w:vAlign w:val="bottom"/>
          </w:tcPr>
          <w:p>
            <w:pPr>
              <w:jc w:val="right"/>
              <w:spacing w:after="0"/>
              <w:rPr>
                <w:sz w:val="20"/>
                <w:szCs w:val="20"/>
                <w:color w:val="auto"/>
              </w:rPr>
            </w:pPr>
            <w:r>
              <w:rPr>
                <w:rFonts w:ascii="Arial" w:cs="Arial" w:eastAsia="Arial" w:hAnsi="Arial"/>
                <w:sz w:val="13"/>
                <w:szCs w:val="13"/>
                <w:color w:val="auto"/>
              </w:rPr>
              <w:t>(2.4)%</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39.7 %</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101.1</w:t>
            </w:r>
          </w:p>
        </w:tc>
        <w:tc>
          <w:tcPr>
            <w:tcW w:w="860" w:type="dxa"/>
            <w:vAlign w:val="bottom"/>
          </w:tcPr>
          <w:p>
            <w:pPr>
              <w:ind w:left="5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(1.7)</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(2.7)</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line="149" w:lineRule="exact"/>
              <w:rPr>
                <w:sz w:val="20"/>
                <w:szCs w:val="20"/>
                <w:color w:val="auto"/>
              </w:rPr>
            </w:pPr>
            <w:r>
              <w:rPr>
                <w:rFonts w:ascii="Arial" w:cs="Arial" w:eastAsia="Arial" w:hAnsi="Arial"/>
                <w:sz w:val="14"/>
                <w:szCs w:val="14"/>
                <w:color w:val="auto"/>
              </w:rPr>
              <w:t>Research and</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development as a</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40" w:type="dxa"/>
            <w:vAlign w:val="bottom"/>
          </w:tcPr>
          <w:p>
            <w:pPr>
              <w:ind w:left="20"/>
              <w:spacing w:after="0" w:line="139" w:lineRule="exact"/>
              <w:rPr>
                <w:sz w:val="20"/>
                <w:szCs w:val="20"/>
                <w:color w:val="auto"/>
              </w:rPr>
            </w:pPr>
            <w:r>
              <w:rPr>
                <w:rFonts w:ascii="Arial" w:cs="Arial" w:eastAsia="Arial" w:hAnsi="Arial"/>
                <w:sz w:val="14"/>
                <w:szCs w:val="14"/>
                <w:color w:val="auto"/>
              </w:rPr>
              <w:t>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18.1 %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900" w:type="dxa"/>
            <w:vAlign w:val="bottom"/>
          </w:tcPr>
          <w:p>
            <w:pPr>
              <w:jc w:val="right"/>
              <w:spacing w:after="0"/>
              <w:rPr>
                <w:sz w:val="20"/>
                <w:szCs w:val="20"/>
                <w:color w:val="auto"/>
              </w:rPr>
            </w:pPr>
            <w:r>
              <w:rPr>
                <w:rFonts w:ascii="Arial" w:cs="Arial" w:eastAsia="Arial" w:hAnsi="Arial"/>
                <w:sz w:val="13"/>
                <w:szCs w:val="13"/>
                <w:color w:val="auto"/>
              </w:rPr>
              <w:t>—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(0.5)%</w:t>
            </w: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1000" w:type="dxa"/>
            <w:vAlign w:val="bottom"/>
          </w:tcPr>
          <w:p>
            <w:pPr>
              <w:jc w:val="right"/>
              <w:spacing w:after="0"/>
              <w:rPr>
                <w:sz w:val="20"/>
                <w:szCs w:val="20"/>
                <w:color w:val="auto"/>
              </w:rPr>
            </w:pPr>
            <w:r>
              <w:rPr>
                <w:rFonts w:ascii="Arial" w:cs="Arial" w:eastAsia="Arial" w:hAnsi="Arial"/>
                <w:sz w:val="13"/>
                <w:szCs w:val="13"/>
                <w:color w:val="auto"/>
              </w:rPr>
              <w:t>(0.5)%</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16.9 %</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Other operating</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expense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13.1</w:t>
            </w: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97"/>
              <w:spacing w:after="0"/>
              <w:rPr>
                <w:sz w:val="20"/>
                <w:szCs w:val="20"/>
                <w:color w:val="auto"/>
              </w:rPr>
            </w:pPr>
            <w:r>
              <w:rPr>
                <w:rFonts w:ascii="Arial" w:cs="Arial" w:eastAsia="Arial" w:hAnsi="Arial"/>
                <w:sz w:val="13"/>
                <w:szCs w:val="13"/>
                <w:color w:val="auto"/>
              </w:rPr>
              <w:t>(0.9)</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(12.2)</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15.0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0.9</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13.0</w:t>
            </w:r>
          </w:p>
        </w:tc>
        <w:tc>
          <w:tcPr>
            <w:tcW w:w="960" w:type="dxa"/>
            <w:vAlign w:val="bottom"/>
          </w:tcPr>
          <w:p>
            <w:pPr>
              <w:ind w:left="66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23.6</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16.3</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Operating margin</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Pr>
          <w:p>
            <w:pPr>
              <w:ind w:left="20"/>
              <w:spacing w:after="0"/>
              <w:rPr>
                <w:sz w:val="20"/>
                <w:szCs w:val="20"/>
                <w:color w:val="auto"/>
              </w:rPr>
            </w:pPr>
            <w:r>
              <w:rPr>
                <w:rFonts w:ascii="Arial" w:cs="Arial" w:eastAsia="Arial" w:hAnsi="Arial"/>
                <w:sz w:val="14"/>
                <w:szCs w:val="14"/>
                <w:color w:val="auto"/>
              </w:rPr>
              <w:t>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2.7 %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0.2 %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960" w:type="dxa"/>
            <w:vAlign w:val="bottom"/>
          </w:tcPr>
          <w:p>
            <w:pPr>
              <w:ind w:left="660"/>
              <w:spacing w:after="0"/>
              <w:rPr>
                <w:sz w:val="20"/>
                <w:szCs w:val="20"/>
                <w:color w:val="auto"/>
              </w:rPr>
            </w:pPr>
            <w:r>
              <w:rPr>
                <w:rFonts w:ascii="Arial" w:cs="Arial" w:eastAsia="Arial" w:hAnsi="Arial"/>
                <w:sz w:val="13"/>
                <w:szCs w:val="13"/>
                <w:color w:val="auto"/>
                <w:w w:val="99"/>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1.3 %</w:t>
            </w:r>
          </w:p>
        </w:tc>
        <w:tc>
          <w:tcPr>
            <w:tcW w:w="880" w:type="dxa"/>
            <w:vAlign w:val="bottom"/>
          </w:tcPr>
          <w:p>
            <w:pPr>
              <w:jc w:val="right"/>
              <w:spacing w:after="0"/>
              <w:rPr>
                <w:sz w:val="20"/>
                <w:szCs w:val="20"/>
                <w:color w:val="auto"/>
              </w:rPr>
            </w:pPr>
            <w:r>
              <w:rPr>
                <w:rFonts w:ascii="Arial" w:cs="Arial" w:eastAsia="Arial" w:hAnsi="Arial"/>
                <w:sz w:val="13"/>
                <w:szCs w:val="13"/>
                <w:color w:val="auto"/>
              </w:rPr>
              <w:t>4.2 %</w:t>
            </w:r>
          </w:p>
        </w:tc>
        <w:tc>
          <w:tcPr>
            <w:tcW w:w="1000" w:type="dxa"/>
            <w:vAlign w:val="bottom"/>
          </w:tcPr>
          <w:p>
            <w:pPr>
              <w:jc w:val="right"/>
              <w:spacing w:after="0"/>
              <w:rPr>
                <w:sz w:val="20"/>
                <w:szCs w:val="20"/>
                <w:color w:val="auto"/>
              </w:rPr>
            </w:pPr>
            <w:r>
              <w:rPr>
                <w:rFonts w:ascii="Arial" w:cs="Arial" w:eastAsia="Arial" w:hAnsi="Arial"/>
                <w:sz w:val="13"/>
                <w:szCs w:val="13"/>
                <w:color w:val="auto"/>
              </w:rPr>
              <w:t>2.9 %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940" w:type="dxa"/>
            <w:vAlign w:val="bottom"/>
          </w:tcPr>
          <w:p>
            <w:pPr>
              <w:jc w:val="right"/>
              <w:spacing w:after="0"/>
              <w:rPr>
                <w:sz w:val="20"/>
                <w:szCs w:val="20"/>
                <w:color w:val="auto"/>
              </w:rPr>
            </w:pPr>
            <w:r>
              <w:rPr>
                <w:rFonts w:ascii="Arial" w:cs="Arial" w:eastAsia="Arial" w:hAnsi="Arial"/>
                <w:sz w:val="13"/>
                <w:szCs w:val="13"/>
                <w:color w:val="auto"/>
              </w:rPr>
              <w:t>— %</w:t>
            </w:r>
          </w:p>
        </w:tc>
        <w:tc>
          <w:tcPr>
            <w:tcW w:w="780" w:type="dxa"/>
            <w:vAlign w:val="bottom"/>
          </w:tcPr>
          <w:p>
            <w:pPr>
              <w:jc w:val="right"/>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8.5</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0.1</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0.9</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13.0</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(19.6)</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23.6</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16.3</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0.5</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14.6</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61"/>
        </w:trPr>
        <w:tc>
          <w:tcPr>
            <w:tcW w:w="1240" w:type="dxa"/>
            <w:vAlign w:val="bottom"/>
          </w:tcPr>
          <w:p>
            <w:pPr>
              <w:ind w:left="20"/>
              <w:spacing w:after="0"/>
              <w:rPr>
                <w:sz w:val="20"/>
                <w:szCs w:val="20"/>
                <w:color w:val="auto"/>
              </w:rPr>
            </w:pPr>
            <w:r>
              <w:rPr>
                <w:rFonts w:ascii="Arial" w:cs="Arial" w:eastAsia="Arial" w:hAnsi="Arial"/>
                <w:sz w:val="14"/>
                <w:szCs w:val="14"/>
                <w:color w:val="auto"/>
              </w:rPr>
              <w:t>Net income as a</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
              <w:spacing w:after="0" w:line="145" w:lineRule="exact"/>
              <w:rPr>
                <w:sz w:val="20"/>
                <w:szCs w:val="20"/>
                <w:color w:val="auto"/>
              </w:rPr>
            </w:pPr>
            <w:r>
              <w:rPr>
                <w:rFonts w:ascii="Arial" w:cs="Arial" w:eastAsia="Arial" w:hAnsi="Arial"/>
                <w:sz w:val="14"/>
                <w:szCs w:val="14"/>
                <w:color w:val="auto"/>
              </w:rPr>
              <w:t>percent of net</w:t>
            </w: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740" w:type="dxa"/>
            <w:vAlign w:val="bottom"/>
          </w:tcPr>
          <w:p>
            <w:pPr>
              <w:jc w:val="right"/>
              <w:spacing w:after="0"/>
              <w:rPr>
                <w:sz w:val="20"/>
                <w:szCs w:val="20"/>
                <w:color w:val="auto"/>
              </w:rPr>
            </w:pPr>
            <w:r>
              <w:rPr>
                <w:rFonts w:ascii="Arial" w:cs="Arial" w:eastAsia="Arial" w:hAnsi="Arial"/>
                <w:sz w:val="13"/>
                <w:szCs w:val="13"/>
                <w:color w:val="auto"/>
              </w:rPr>
              <w:t>1.5 %</w:t>
            </w:r>
          </w:p>
        </w:tc>
        <w:tc>
          <w:tcPr>
            <w:tcW w:w="860" w:type="dxa"/>
            <w:vAlign w:val="bottom"/>
          </w:tcPr>
          <w:p>
            <w:pPr>
              <w:ind w:left="520"/>
              <w:spacing w:after="0"/>
              <w:rPr>
                <w:sz w:val="20"/>
                <w:szCs w:val="20"/>
                <w:color w:val="auto"/>
              </w:rPr>
            </w:pPr>
            <w:r>
              <w:rPr>
                <w:rFonts w:ascii="Arial" w:cs="Arial" w:eastAsia="Arial" w:hAnsi="Arial"/>
                <w:sz w:val="13"/>
                <w:szCs w:val="13"/>
                <w:color w:val="auto"/>
              </w:rPr>
              <w:t>— %</w:t>
            </w:r>
          </w:p>
        </w:tc>
        <w:tc>
          <w:tcPr>
            <w:tcW w:w="960" w:type="dxa"/>
            <w:vAlign w:val="bottom"/>
          </w:tcPr>
          <w:p>
            <w:pPr>
              <w:jc w:val="right"/>
              <w:spacing w:after="0"/>
              <w:rPr>
                <w:sz w:val="20"/>
                <w:szCs w:val="20"/>
                <w:color w:val="auto"/>
              </w:rPr>
            </w:pPr>
            <w:r>
              <w:rPr>
                <w:rFonts w:ascii="Arial" w:cs="Arial" w:eastAsia="Arial" w:hAnsi="Arial"/>
                <w:sz w:val="13"/>
                <w:szCs w:val="13"/>
                <w:color w:val="auto"/>
              </w:rPr>
              <w:t>0.2 %</w:t>
            </w:r>
          </w:p>
        </w:tc>
        <w:tc>
          <w:tcPr>
            <w:tcW w:w="900" w:type="dxa"/>
            <w:vAlign w:val="bottom"/>
          </w:tcPr>
          <w:p>
            <w:pPr>
              <w:jc w:val="right"/>
              <w:spacing w:after="0"/>
              <w:rPr>
                <w:sz w:val="20"/>
                <w:szCs w:val="20"/>
                <w:color w:val="auto"/>
              </w:rPr>
            </w:pPr>
            <w:r>
              <w:rPr>
                <w:rFonts w:ascii="Arial" w:cs="Arial" w:eastAsia="Arial" w:hAnsi="Arial"/>
                <w:sz w:val="13"/>
                <w:szCs w:val="13"/>
                <w:color w:val="auto"/>
              </w:rPr>
              <w:t>2.3 %</w:t>
            </w:r>
          </w:p>
        </w:tc>
        <w:tc>
          <w:tcPr>
            <w:tcW w:w="960" w:type="dxa"/>
            <w:vAlign w:val="bottom"/>
          </w:tcPr>
          <w:p>
            <w:pPr>
              <w:jc w:val="right"/>
              <w:spacing w:after="0"/>
              <w:rPr>
                <w:sz w:val="20"/>
                <w:szCs w:val="20"/>
                <w:color w:val="auto"/>
              </w:rPr>
            </w:pPr>
            <w:r>
              <w:rPr>
                <w:rFonts w:ascii="Arial" w:cs="Arial" w:eastAsia="Arial" w:hAnsi="Arial"/>
                <w:sz w:val="13"/>
                <w:szCs w:val="13"/>
                <w:color w:val="auto"/>
              </w:rPr>
              <w:t>(3.5)%</w:t>
            </w:r>
          </w:p>
        </w:tc>
        <w:tc>
          <w:tcPr>
            <w:tcW w:w="1040" w:type="dxa"/>
            <w:vAlign w:val="bottom"/>
          </w:tcPr>
          <w:p>
            <w:pPr>
              <w:jc w:val="right"/>
              <w:spacing w:after="0"/>
              <w:rPr>
                <w:sz w:val="20"/>
                <w:szCs w:val="20"/>
                <w:color w:val="auto"/>
              </w:rPr>
            </w:pPr>
            <w:r>
              <w:rPr>
                <w:rFonts w:ascii="Arial" w:cs="Arial" w:eastAsia="Arial" w:hAnsi="Arial"/>
                <w:sz w:val="13"/>
                <w:szCs w:val="13"/>
                <w:color w:val="auto"/>
              </w:rPr>
              <w:t>1.3 %</w:t>
            </w:r>
          </w:p>
        </w:tc>
        <w:tc>
          <w:tcPr>
            <w:tcW w:w="880" w:type="dxa"/>
            <w:vAlign w:val="bottom"/>
          </w:tcPr>
          <w:p>
            <w:pPr>
              <w:jc w:val="right"/>
              <w:spacing w:after="0"/>
              <w:rPr>
                <w:sz w:val="20"/>
                <w:szCs w:val="20"/>
                <w:color w:val="auto"/>
              </w:rPr>
            </w:pPr>
            <w:r>
              <w:rPr>
                <w:rFonts w:ascii="Arial" w:cs="Arial" w:eastAsia="Arial" w:hAnsi="Arial"/>
                <w:sz w:val="13"/>
                <w:szCs w:val="13"/>
                <w:color w:val="auto"/>
              </w:rPr>
              <w:t>4.2 %</w:t>
            </w:r>
          </w:p>
        </w:tc>
        <w:tc>
          <w:tcPr>
            <w:tcW w:w="1000" w:type="dxa"/>
            <w:vAlign w:val="bottom"/>
          </w:tcPr>
          <w:p>
            <w:pPr>
              <w:jc w:val="right"/>
              <w:spacing w:after="0"/>
              <w:rPr>
                <w:sz w:val="20"/>
                <w:szCs w:val="20"/>
                <w:color w:val="auto"/>
              </w:rPr>
            </w:pPr>
            <w:r>
              <w:rPr>
                <w:rFonts w:ascii="Arial" w:cs="Arial" w:eastAsia="Arial" w:hAnsi="Arial"/>
                <w:sz w:val="13"/>
                <w:szCs w:val="13"/>
                <w:color w:val="auto"/>
              </w:rPr>
              <w:t>2.9 %</w:t>
            </w:r>
          </w:p>
        </w:tc>
        <w:tc>
          <w:tcPr>
            <w:tcW w:w="940" w:type="dxa"/>
            <w:vAlign w:val="bottom"/>
          </w:tcPr>
          <w:p>
            <w:pPr>
              <w:jc w:val="right"/>
              <w:spacing w:after="0"/>
              <w:rPr>
                <w:sz w:val="20"/>
                <w:szCs w:val="20"/>
                <w:color w:val="auto"/>
              </w:rPr>
            </w:pPr>
            <w:r>
              <w:rPr>
                <w:rFonts w:ascii="Arial" w:cs="Arial" w:eastAsia="Arial" w:hAnsi="Arial"/>
                <w:sz w:val="13"/>
                <w:szCs w:val="13"/>
                <w:color w:val="auto"/>
              </w:rPr>
              <w:t>0.1 %</w:t>
            </w:r>
          </w:p>
        </w:tc>
        <w:tc>
          <w:tcPr>
            <w:tcW w:w="940" w:type="dxa"/>
            <w:vAlign w:val="bottom"/>
          </w:tcPr>
          <w:p>
            <w:pPr>
              <w:jc w:val="right"/>
              <w:spacing w:after="0"/>
              <w:rPr>
                <w:sz w:val="20"/>
                <w:szCs w:val="20"/>
                <w:color w:val="auto"/>
              </w:rPr>
            </w:pPr>
            <w:r>
              <w:rPr>
                <w:rFonts w:ascii="Arial" w:cs="Arial" w:eastAsia="Arial" w:hAnsi="Arial"/>
                <w:sz w:val="13"/>
                <w:szCs w:val="13"/>
                <w:color w:val="auto"/>
              </w:rPr>
              <w:t>2.6 %</w:t>
            </w:r>
          </w:p>
        </w:tc>
        <w:tc>
          <w:tcPr>
            <w:tcW w:w="780" w:type="dxa"/>
            <w:vAlign w:val="bottom"/>
          </w:tcPr>
          <w:p>
            <w:pPr>
              <w:jc w:val="right"/>
              <w:spacing w:after="0"/>
              <w:rPr>
                <w:sz w:val="20"/>
                <w:szCs w:val="20"/>
                <w:color w:val="auto"/>
              </w:rPr>
            </w:pPr>
            <w:r>
              <w:rPr>
                <w:rFonts w:ascii="Arial" w:cs="Arial" w:eastAsia="Arial" w:hAnsi="Arial"/>
                <w:sz w:val="13"/>
                <w:szCs w:val="13"/>
                <w:color w:val="auto"/>
              </w:rPr>
              <w:t>11.7 %</w:t>
            </w:r>
          </w:p>
        </w:tc>
        <w:tc>
          <w:tcPr>
            <w:tcW w:w="0" w:type="dxa"/>
            <w:vAlign w:val="bottom"/>
          </w:tcPr>
          <w:p>
            <w:pPr>
              <w:spacing w:after="0"/>
              <w:rPr>
                <w:sz w:val="1"/>
                <w:szCs w:val="1"/>
                <w:color w:val="auto"/>
              </w:rPr>
            </w:pPr>
          </w:p>
        </w:tc>
      </w:tr>
      <w:tr>
        <w:trPr>
          <w:trHeight w:val="193"/>
        </w:trPr>
        <w:tc>
          <w:tcPr>
            <w:tcW w:w="12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740" w:type="dxa"/>
            <w:vAlign w:val="bottom"/>
          </w:tcPr>
          <w:p>
            <w:pPr>
              <w:jc w:val="right"/>
              <w:ind w:right="117"/>
              <w:spacing w:after="0"/>
              <w:rPr>
                <w:sz w:val="20"/>
                <w:szCs w:val="20"/>
                <w:color w:val="auto"/>
              </w:rPr>
            </w:pPr>
            <w:r>
              <w:rPr>
                <w:rFonts w:ascii="Arial" w:cs="Arial" w:eastAsia="Arial" w:hAnsi="Arial"/>
                <w:sz w:val="13"/>
                <w:szCs w:val="13"/>
                <w:color w:val="auto"/>
              </w:rPr>
              <w:t>$0.16</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$0.02</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$0.24</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($0.36)</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$0.14</w:t>
            </w:r>
          </w:p>
        </w:tc>
        <w:tc>
          <w:tcPr>
            <w:tcW w:w="880" w:type="dxa"/>
            <w:vAlign w:val="bottom"/>
          </w:tcPr>
          <w:p>
            <w:pPr>
              <w:jc w:val="right"/>
              <w:ind w:right="137"/>
              <w:spacing w:after="0"/>
              <w:rPr>
                <w:sz w:val="20"/>
                <w:szCs w:val="20"/>
                <w:color w:val="auto"/>
              </w:rPr>
            </w:pPr>
            <w:r>
              <w:rPr>
                <w:rFonts w:ascii="Arial" w:cs="Arial" w:eastAsia="Arial" w:hAnsi="Arial"/>
                <w:sz w:val="13"/>
                <w:szCs w:val="13"/>
                <w:color w:val="auto"/>
              </w:rPr>
              <w:t>$0.44</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$0.30</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$0.01</w:t>
            </w:r>
          </w:p>
        </w:tc>
        <w:tc>
          <w:tcPr>
            <w:tcW w:w="940" w:type="dxa"/>
            <w:vAlign w:val="bottom"/>
          </w:tcPr>
          <w:p>
            <w:pPr>
              <w:jc w:val="right"/>
              <w:ind w:right="117"/>
              <w:spacing w:after="0"/>
              <w:rPr>
                <w:sz w:val="20"/>
                <w:szCs w:val="20"/>
                <w:color w:val="auto"/>
              </w:rPr>
            </w:pPr>
            <w:r>
              <w:rPr>
                <w:rFonts w:ascii="Arial" w:cs="Arial" w:eastAsia="Arial" w:hAnsi="Arial"/>
                <w:sz w:val="13"/>
                <w:szCs w:val="13"/>
                <w:color w:val="auto"/>
              </w:rPr>
              <w:t>$0.27</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GAAP results for the six months ended June 30, 2023 include:</w:t>
      </w:r>
    </w:p>
    <w:p>
      <w:pPr>
        <w:spacing w:after="0" w:line="10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Merger and integration expenses related to the acquisition of ALung Technologies, Inc.</w:t>
      </w:r>
    </w:p>
    <w:p>
      <w:pPr>
        <w:spacing w:after="0" w:line="3"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Restructuring expenses related to organizational changes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Depreciation and amortization associated with purchase price accounting</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Mark-to-market adjustment for the 2025 Notes embedded derivative feature and associated capped call derivatives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Remeasurement of contingent consideration related to acquisitions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3T Heater-Cooler litigation provision, legal expenses primarily related to 3T Heater-Cooler defense, costs related to the SNIA matter, and MDR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Non-cash expenses associated with stock-based compensation costs</w:t>
      </w:r>
    </w:p>
    <w:p>
      <w:pPr>
        <w:spacing w:after="0" w:line="4" w:lineRule="exact"/>
        <w:rPr>
          <w:rFonts w:ascii="Arial" w:cs="Arial" w:eastAsia="Arial" w:hAnsi="Arial"/>
          <w:sz w:val="21"/>
          <w:szCs w:val="21"/>
          <w:color w:val="auto"/>
          <w:vertAlign w:val="superscript"/>
        </w:rPr>
      </w:pPr>
    </w:p>
    <w:p>
      <w:pPr>
        <w:ind w:left="320" w:hanging="312"/>
        <w:spacing w:after="0" w:line="197" w:lineRule="auto"/>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Discrete tax items, R&amp;D tax credits, the tax impact of intercompany transactions, and the tax impact on non-GAAP adjustments</w:t>
      </w:r>
    </w:p>
    <w:p>
      <w:pPr>
        <w:spacing w:after="0" w:line="4" w:lineRule="exact"/>
        <w:rPr>
          <w:rFonts w:ascii="Arial" w:cs="Arial" w:eastAsia="Arial" w:hAnsi="Arial"/>
          <w:sz w:val="21"/>
          <w:szCs w:val="21"/>
          <w:color w:val="auto"/>
          <w:vertAlign w:val="superscript"/>
        </w:rPr>
      </w:pPr>
    </w:p>
    <w:p>
      <w:pPr>
        <w:ind w:left="340" w:hanging="332"/>
        <w:spacing w:after="0" w:line="226" w:lineRule="auto"/>
        <w:tabs>
          <w:tab w:leader="none" w:pos="33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Non-cash interest expense on the 2025 Notes and Revolving Credit Facility, interest expense on the Term Facilities, and interest income on the collateral for the SNIA litigation guarantee and delayed draw on Term Facilities</w:t>
      </w:r>
    </w:p>
    <w:p>
      <w:pPr>
        <w:spacing w:after="0" w:line="1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6"/>
          <w:szCs w:val="16"/>
          <w:color w:val="auto"/>
        </w:rPr>
        <w:t>Numbers may not add precisely due to rounding.</w:t>
      </w: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819" w:right="339" w:bottom="1440" w:gutter="0" w:footer="0" w:header="0"/>
        </w:sectPr>
      </w:pPr>
    </w:p>
    <w:bookmarkStart w:id="20" w:name="page21"/>
    <w:bookmarkEnd w:id="20"/>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 UNAUDITED</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2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June 30, 2024</w:t>
            </w:r>
          </w:p>
        </w:tc>
        <w:tc>
          <w:tcPr>
            <w:tcW w:w="2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18"/>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40" w:type="dxa"/>
            <w:vAlign w:val="bottom"/>
            <w:gridSpan w:val="2"/>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20" w:type="dxa"/>
            <w:vAlign w:val="bottom"/>
            <w:vMerge w:val="continue"/>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160" w:type="dxa"/>
            <w:vAlign w:val="bottom"/>
          </w:tcPr>
          <w:p>
            <w:pPr>
              <w:jc w:val="right"/>
              <w:spacing w:after="0"/>
              <w:rPr>
                <w:sz w:val="20"/>
                <w:szCs w:val="20"/>
                <w:color w:val="auto"/>
              </w:rPr>
            </w:pPr>
            <w:r>
              <w:rPr>
                <w:rFonts w:ascii="Arial" w:cs="Arial" w:eastAsia="Arial" w:hAnsi="Arial"/>
                <w:sz w:val="18"/>
                <w:szCs w:val="18"/>
                <w:color w:val="auto"/>
              </w:rPr>
              <w:t>$329.2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160" w:type="dxa"/>
            <w:vAlign w:val="bottom"/>
          </w:tcPr>
          <w:p>
            <w:pPr>
              <w:jc w:val="right"/>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Accounts receivable, net of allowance</w:t>
            </w:r>
          </w:p>
        </w:tc>
        <w:tc>
          <w:tcPr>
            <w:tcW w:w="2160" w:type="dxa"/>
            <w:vAlign w:val="bottom"/>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160" w:type="dxa"/>
            <w:vAlign w:val="bottom"/>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Prepaid and refundable taxes</w:t>
            </w:r>
          </w:p>
        </w:tc>
        <w:tc>
          <w:tcPr>
            <w:tcW w:w="216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1,046.7</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988.2</w:t>
            </w:r>
          </w:p>
        </w:tc>
        <w:tc>
          <w:tcPr>
            <w:tcW w:w="0" w:type="dxa"/>
            <w:vAlign w:val="bottom"/>
          </w:tcPr>
          <w:p>
            <w:pPr>
              <w:spacing w:after="0"/>
              <w:rPr>
                <w:sz w:val="1"/>
                <w:szCs w:val="1"/>
                <w:color w:val="auto"/>
              </w:rPr>
            </w:pPr>
          </w:p>
        </w:tc>
      </w:tr>
      <w:tr>
        <w:trPr>
          <w:trHeight w:val="218"/>
        </w:trPr>
        <w:tc>
          <w:tcPr>
            <w:tcW w:w="682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160" w:type="dxa"/>
            <w:vAlign w:val="bottom"/>
          </w:tcPr>
          <w:p>
            <w:pPr>
              <w:jc w:val="right"/>
              <w:spacing w:after="0"/>
              <w:rPr>
                <w:sz w:val="20"/>
                <w:szCs w:val="20"/>
                <w:color w:val="auto"/>
              </w:rPr>
            </w:pPr>
            <w:r>
              <w:rPr>
                <w:rFonts w:ascii="Arial" w:cs="Arial" w:eastAsia="Arial" w:hAnsi="Arial"/>
                <w:sz w:val="18"/>
                <w:szCs w:val="18"/>
                <w:color w:val="auto"/>
              </w:rPr>
              <w:t>766.4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160" w:type="dxa"/>
            <w:vAlign w:val="bottom"/>
          </w:tcPr>
          <w:p>
            <w:pPr>
              <w:jc w:val="right"/>
              <w:spacing w:after="0"/>
              <w:rPr>
                <w:sz w:val="20"/>
                <w:szCs w:val="20"/>
                <w:color w:val="auto"/>
              </w:rPr>
            </w:pPr>
            <w:r>
              <w:rPr>
                <w:rFonts w:ascii="Arial" w:cs="Arial" w:eastAsia="Arial" w:hAnsi="Arial"/>
                <w:sz w:val="18"/>
                <w:szCs w:val="18"/>
                <w:color w:val="auto"/>
              </w:rPr>
              <w:t>248.2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Long-term derivative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$2,453.2</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$2,429.6</w:t>
            </w:r>
          </w:p>
        </w:tc>
        <w:tc>
          <w:tcPr>
            <w:tcW w:w="0" w:type="dxa"/>
            <w:vAlign w:val="bottom"/>
          </w:tcPr>
          <w:p>
            <w:pPr>
              <w:spacing w:after="0"/>
              <w:rPr>
                <w:sz w:val="1"/>
                <w:szCs w:val="1"/>
                <w:color w:val="auto"/>
              </w:rPr>
            </w:pPr>
          </w:p>
        </w:tc>
      </w:tr>
      <w:tr>
        <w:trPr>
          <w:trHeight w:val="21"/>
        </w:trPr>
        <w:tc>
          <w:tcPr>
            <w:tcW w:w="6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82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Current debt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160" w:type="dxa"/>
            <w:vAlign w:val="bottom"/>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Accrued liabilities and other</w:t>
            </w:r>
          </w:p>
        </w:tc>
        <w:tc>
          <w:tcPr>
            <w:tcW w:w="216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Current litigation provision liability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216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Accrued employee compensation and related benefits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303.0</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335.0</w:t>
            </w:r>
          </w:p>
        </w:tc>
        <w:tc>
          <w:tcPr>
            <w:tcW w:w="0" w:type="dxa"/>
            <w:vAlign w:val="bottom"/>
          </w:tcPr>
          <w:p>
            <w:pPr>
              <w:spacing w:after="0"/>
              <w:rPr>
                <w:sz w:val="1"/>
                <w:szCs w:val="1"/>
                <w:color w:val="auto"/>
              </w:rPr>
            </w:pPr>
          </w:p>
        </w:tc>
      </w:tr>
      <w:tr>
        <w:trPr>
          <w:trHeight w:val="218"/>
        </w:trPr>
        <w:tc>
          <w:tcPr>
            <w:tcW w:w="6820" w:type="dxa"/>
            <w:vAlign w:val="bottom"/>
          </w:tcPr>
          <w:p>
            <w:pPr>
              <w:ind w:left="220"/>
              <w:spacing w:after="0"/>
              <w:rPr>
                <w:sz w:val="20"/>
                <w:szCs w:val="20"/>
                <w:color w:val="auto"/>
              </w:rPr>
            </w:pPr>
            <w:r>
              <w:rPr>
                <w:rFonts w:ascii="Arial" w:cs="Arial" w:eastAsia="Arial" w:hAnsi="Arial"/>
                <w:sz w:val="18"/>
                <w:szCs w:val="18"/>
                <w:color w:val="auto"/>
              </w:rPr>
              <w:t>Long-term debt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605.4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Long-term operating lease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Long-term employee compensation and related benefits</w:t>
            </w:r>
          </w:p>
        </w:tc>
        <w:tc>
          <w:tcPr>
            <w:tcW w:w="216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Arial" w:cs="Arial" w:eastAsia="Arial" w:hAnsi="Arial"/>
                <w:sz w:val="18"/>
                <w:szCs w:val="18"/>
                <w:color w:val="auto"/>
              </w:rPr>
              <w:t>Long-term derivative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5"/>
        </w:trPr>
        <w:tc>
          <w:tcPr>
            <w:tcW w:w="6820" w:type="dxa"/>
            <w:vAlign w:val="bottom"/>
          </w:tcPr>
          <w:p>
            <w:pPr>
              <w:ind w:left="220"/>
              <w:spacing w:after="0"/>
              <w:rPr>
                <w:sz w:val="20"/>
                <w:szCs w:val="20"/>
                <w:color w:val="auto"/>
              </w:rPr>
            </w:pPr>
            <w:r>
              <w:rPr>
                <w:rFonts w:ascii="Arial" w:cs="Arial" w:eastAsia="Arial" w:hAnsi="Arial"/>
                <w:sz w:val="18"/>
                <w:szCs w:val="18"/>
                <w:color w:val="auto"/>
              </w:rPr>
              <w:t>Other long-term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$2,453.2</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$2,429.6</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1" w:name="page22"/>
    <w:bookmarkEnd w:id="21"/>
    <w:tbl>
      <w:tblPr>
        <w:tblLayout w:type="fixed"/>
        <w:tblInd w:w="12" w:type="dxa"/>
        <w:tblCellMar>
          <w:top w:w="0" w:type="dxa"/>
          <w:left w:w="0" w:type="dxa"/>
          <w:bottom w:w="0" w:type="dxa"/>
          <w:right w:w="0" w:type="dxa"/>
        </w:tblCellMar>
      </w:tblPr>
      <w:tr>
        <w:trPr>
          <w:trHeight w:val="229"/>
        </w:trPr>
        <w:tc>
          <w:tcPr>
            <w:tcW w:w="542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 - UNAUDITED</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340" w:type="dxa"/>
            <w:vAlign w:val="bottom"/>
          </w:tcPr>
          <w:p>
            <w:pPr>
              <w:spacing w:after="0"/>
              <w:rPr>
                <w:sz w:val="20"/>
                <w:szCs w:val="20"/>
                <w:color w:val="auto"/>
              </w:rPr>
            </w:pPr>
          </w:p>
        </w:tc>
        <w:tc>
          <w:tcPr>
            <w:tcW w:w="34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2340" w:type="dxa"/>
            <w:vAlign w:val="bottom"/>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542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Remeasurement of derivative instruments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Impairment of investment in ShiraTronics, Inc.</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Deferred income tax expense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Amortization of operating lease assets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420" w:type="dxa"/>
            <w:vAlign w:val="bottom"/>
          </w:tcPr>
          <w:p>
            <w:pPr>
              <w:ind w:left="220"/>
              <w:spacing w:after="0"/>
              <w:rPr>
                <w:sz w:val="20"/>
                <w:szCs w:val="20"/>
                <w:color w:val="auto"/>
              </w:rPr>
            </w:pPr>
            <w:r>
              <w:rPr>
                <w:rFonts w:ascii="Arial" w:cs="Arial" w:eastAsia="Arial" w:hAnsi="Arial"/>
                <w:sz w:val="18"/>
                <w:szCs w:val="18"/>
                <w:color w:val="auto"/>
              </w:rPr>
              <w:t>Remeasurement of contingent consideration to fair value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420" w:type="dxa"/>
            <w:vAlign w:val="bottom"/>
          </w:tcPr>
          <w:p>
            <w:pPr>
              <w:ind w:left="22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Other current and non-current assets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Accounts payable and accrued current and non-current liabilities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Taxes payable</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8"/>
                <w:szCs w:val="18"/>
                <w:color w:val="auto"/>
              </w:rPr>
              <w:t>Litigation provision liability</w:t>
            </w:r>
          </w:p>
        </w:tc>
        <w:tc>
          <w:tcPr>
            <w:tcW w:w="2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23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4"/>
        </w:trPr>
        <w:tc>
          <w:tcPr>
            <w:tcW w:w="5420" w:type="dxa"/>
            <w:vAlign w:val="bottom"/>
          </w:tcPr>
          <w:p>
            <w:pPr>
              <w:spacing w:after="0" w:line="204" w:lineRule="exact"/>
              <w:rPr>
                <w:sz w:val="20"/>
                <w:szCs w:val="20"/>
                <w:color w:val="auto"/>
              </w:rPr>
            </w:pPr>
            <w:r>
              <w:rPr>
                <w:rFonts w:ascii="Arial" w:cs="Arial" w:eastAsia="Arial" w:hAnsi="Arial"/>
                <w:sz w:val="18"/>
                <w:szCs w:val="18"/>
                <w:b w:val="1"/>
                <w:bCs w:val="1"/>
                <w:color w:val="auto"/>
              </w:rPr>
              <w:t>Investing Activities:</w:t>
            </w:r>
          </w:p>
        </w:tc>
        <w:tc>
          <w:tcPr>
            <w:tcW w:w="2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Purchase of investments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234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4"/>
        </w:trPr>
        <w:tc>
          <w:tcPr>
            <w:tcW w:w="5420" w:type="dxa"/>
            <w:vAlign w:val="bottom"/>
          </w:tcPr>
          <w:p>
            <w:pPr>
              <w:spacing w:after="0" w:line="204" w:lineRule="exact"/>
              <w:rPr>
                <w:sz w:val="20"/>
                <w:szCs w:val="20"/>
                <w:color w:val="auto"/>
              </w:rPr>
            </w:pPr>
            <w:r>
              <w:rPr>
                <w:rFonts w:ascii="Arial" w:cs="Arial" w:eastAsia="Arial" w:hAnsi="Arial"/>
                <w:sz w:val="18"/>
                <w:szCs w:val="18"/>
                <w:b w:val="1"/>
                <w:bCs w:val="1"/>
                <w:color w:val="auto"/>
              </w:rPr>
              <w:t>Financing Activities:</w:t>
            </w:r>
          </w:p>
        </w:tc>
        <w:tc>
          <w:tcPr>
            <w:tcW w:w="2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Proceeds from long-term debt obligations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Repayment of long-term debt obligations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Payment of debt extinguishment costs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Purchase of capped calls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Proceeds from unwind of capped calls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Payment of contingent consideration</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Shares repurchased from employees for minimum tax withholding</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Payment of debt issuance costs</w:t>
            </w:r>
          </w:p>
        </w:tc>
        <w:tc>
          <w:tcPr>
            <w:tcW w:w="2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20"/>
              <w:spacing w:after="0"/>
              <w:rPr>
                <w:sz w:val="20"/>
                <w:szCs w:val="20"/>
                <w:color w:val="auto"/>
              </w:rPr>
            </w:pPr>
            <w:r>
              <w:rPr>
                <w:rFonts w:ascii="Arial" w:cs="Arial" w:eastAsia="Arial" w:hAnsi="Arial"/>
                <w:sz w:val="18"/>
                <w:szCs w:val="18"/>
                <w:color w:val="auto"/>
              </w:rPr>
              <w:t>Repayments of short-term borrowings (maturities greater than 90 days)</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5"/>
        </w:trPr>
        <w:tc>
          <w:tcPr>
            <w:tcW w:w="5420" w:type="dxa"/>
            <w:vAlign w:val="bottom"/>
          </w:tcPr>
          <w:p>
            <w:pPr>
              <w:ind w:left="120"/>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b w:val="1"/>
                <w:bCs w:val="1"/>
                <w:color w:val="auto"/>
              </w:rPr>
              <w:t>Net cash provided by financing activities</w:t>
            </w:r>
          </w:p>
        </w:tc>
        <w:tc>
          <w:tcPr>
            <w:tcW w:w="23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8"/>
        </w:trPr>
        <w:tc>
          <w:tcPr>
            <w:tcW w:w="5420" w:type="dxa"/>
            <w:vAlign w:val="bottom"/>
          </w:tcPr>
          <w:p>
            <w:pPr>
              <w:ind w:left="34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340" w:type="dxa"/>
            <w:vAlign w:val="bottom"/>
            <w:vMerge w:val="restart"/>
          </w:tcPr>
          <w:p>
            <w:pPr>
              <w:jc w:val="right"/>
              <w:ind w:right="1932"/>
              <w:spacing w:after="0"/>
              <w:rPr>
                <w:sz w:val="20"/>
                <w:szCs w:val="20"/>
                <w:color w:val="auto"/>
              </w:rPr>
            </w:pPr>
            <w:r>
              <w:rPr>
                <w:rFonts w:ascii="Arial" w:cs="Arial" w:eastAsia="Arial" w:hAnsi="Arial"/>
                <w:sz w:val="22"/>
                <w:szCs w:val="22"/>
                <w:color w:val="auto"/>
              </w:rPr>
              <w:t>19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2340" w:type="dxa"/>
            <w:vAlign w:val="bottom"/>
            <w:vMerge w:val="continue"/>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52" w:hanging="252"/>
        <w:spacing w:after="0"/>
        <w:tabs>
          <w:tab w:leader="none" w:pos="252"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ectPr>
          <w:pgSz w:w="11900" w:h="16838" w:orient="portrait"/>
          <w:cols w:equalWidth="0" w:num="1">
            <w:col w:w="11232"/>
          </w:cols>
          <w:pgMar w:left="328" w:top="647" w:right="339" w:bottom="1440" w:gutter="0" w:footer="0" w:header="0"/>
        </w:sectPr>
      </w:pPr>
    </w:p>
    <w:bookmarkStart w:id="22" w:name="page23"/>
    <w:bookmarkEnd w:id="22"/>
    <w:p>
      <w:pPr>
        <w:spacing w:after="0" w:line="27" w:lineRule="exact"/>
        <w:rPr>
          <w:sz w:val="20"/>
          <w:szCs w:val="20"/>
          <w:color w:val="auto"/>
        </w:rPr>
      </w:pPr>
    </w:p>
    <w:p>
      <w:pPr>
        <w:ind w:left="20" w:right="5580"/>
        <w:spacing w:after="0" w:line="256"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w:t>
      </w:r>
    </w:p>
    <w:tbl>
      <w:tblPr>
        <w:tblLayout w:type="fixed"/>
        <w:tblInd w:w="0" w:type="dxa"/>
        <w:tblCellMar>
          <w:top w:w="0" w:type="dxa"/>
          <w:left w:w="0" w:type="dxa"/>
          <w:bottom w:w="0" w:type="dxa"/>
          <w:right w:w="0" w:type="dxa"/>
        </w:tblCellMar>
      </w:tblPr>
      <w:tr>
        <w:trPr>
          <w:trHeight w:val="186"/>
        </w:trPr>
        <w:tc>
          <w:tcPr>
            <w:tcW w:w="3200" w:type="dxa"/>
            <w:vAlign w:val="bottom"/>
            <w:tcBorders>
              <w:top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780" w:type="dxa"/>
            <w:vAlign w:val="bottom"/>
            <w:tcBorders>
              <w:top w:val="single" w:sz="8" w:color="auto"/>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GAAP Financial</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Certain Tax</w:t>
            </w:r>
          </w:p>
        </w:tc>
        <w:tc>
          <w:tcPr>
            <w:tcW w:w="13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Adjusted</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GAAP Financial</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Certain Tax</w:t>
            </w: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Financial</w:t>
            </w:r>
          </w:p>
        </w:tc>
        <w:tc>
          <w:tcPr>
            <w:tcW w:w="14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4"/>
                <w:szCs w:val="14"/>
                <w:color w:val="auto"/>
              </w:rPr>
              <w:t>Income before tax</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$64.1</w:t>
            </w:r>
          </w:p>
        </w:tc>
        <w:tc>
          <w:tcPr>
            <w:tcW w:w="80" w:type="dxa"/>
            <w:vAlign w:val="bottom"/>
          </w:tcPr>
          <w:p>
            <w:pPr>
              <w:spacing w:after="0"/>
              <w:rPr>
                <w:sz w:val="16"/>
                <w:szCs w:val="16"/>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7"/>
        </w:trPr>
        <w:tc>
          <w:tcPr>
            <w:tcW w:w="3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1"/>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24.2 %</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20.8 %</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77.6 %</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479"/>
        </w:trPr>
        <w:tc>
          <w:tcPr>
            <w:tcW w:w="32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00" w:type="dxa"/>
            <w:vAlign w:val="bottom"/>
          </w:tcPr>
          <w:p>
            <w:pPr>
              <w:spacing w:after="0"/>
              <w:rPr>
                <w:sz w:val="12"/>
                <w:szCs w:val="1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GAAP Financial</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Certain Tax</w:t>
            </w:r>
          </w:p>
        </w:tc>
        <w:tc>
          <w:tcPr>
            <w:tcW w:w="13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rPr>
              <w:t>Adjusted</w:t>
            </w: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GAAP Financial</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Certain Tax</w:t>
            </w: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rPr>
              <w:t>Financial</w:t>
            </w:r>
          </w:p>
        </w:tc>
        <w:tc>
          <w:tcPr>
            <w:tcW w:w="14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Measures</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4"/>
                <w:szCs w:val="14"/>
                <w:color w:val="auto"/>
              </w:rPr>
              <w:t>(Loss) income before tax</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$114.7</w:t>
            </w:r>
          </w:p>
        </w:tc>
        <w:tc>
          <w:tcPr>
            <w:tcW w:w="80" w:type="dxa"/>
            <w:vAlign w:val="bottom"/>
          </w:tcPr>
          <w:p>
            <w:pPr>
              <w:spacing w:after="0"/>
              <w:rPr>
                <w:sz w:val="16"/>
                <w:szCs w:val="16"/>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7"/>
                <w:szCs w:val="17"/>
                <w:color w:val="auto"/>
              </w:rPr>
            </w:pP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3200" w:type="dxa"/>
            <w:vAlign w:val="bottom"/>
          </w:tcPr>
          <w:p>
            <w:pPr>
              <w:ind w:left="20"/>
              <w:spacing w:after="0"/>
              <w:rPr>
                <w:sz w:val="20"/>
                <w:szCs w:val="20"/>
                <w:color w:val="auto"/>
              </w:rPr>
            </w:pPr>
            <w:r>
              <w:rPr>
                <w:rFonts w:ascii="Arial" w:cs="Arial" w:eastAsia="Arial" w:hAnsi="Arial"/>
                <w:sz w:val="14"/>
                <w:szCs w:val="14"/>
                <w:color w:val="auto"/>
              </w:rPr>
              <w:t>Loss from equity method investments</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2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$90.8</w:t>
            </w:r>
          </w:p>
        </w:tc>
        <w:tc>
          <w:tcPr>
            <w:tcW w:w="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4"/>
                <w:szCs w:val="14"/>
                <w:color w:val="auto"/>
              </w:rPr>
              <w:t>Income tax rate</w:t>
            </w: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20.8 %</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43.0 %</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8.4 %</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38" w:lineRule="exact"/>
        <w:rPr>
          <w:sz w:val="20"/>
          <w:szCs w:val="20"/>
          <w:color w:val="auto"/>
        </w:rPr>
      </w:pPr>
    </w:p>
    <w:p>
      <w:pPr>
        <w:ind w:left="20" w:right="5580"/>
        <w:spacing w:after="0" w:line="273"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98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Constant-Currency</w:t>
            </w:r>
          </w:p>
        </w:tc>
      </w:tr>
      <w:tr>
        <w:trPr>
          <w:trHeight w:val="197"/>
        </w:trPr>
        <w:tc>
          <w:tcPr>
            <w:tcW w:w="5140" w:type="dxa"/>
            <w:vAlign w:val="bottom"/>
          </w:tcPr>
          <w:p>
            <w:pPr>
              <w:spacing w:after="0"/>
              <w:rPr>
                <w:sz w:val="17"/>
                <w:szCs w:val="17"/>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060" w:type="dxa"/>
            <w:vAlign w:val="bottom"/>
            <w:gridSpan w:val="2"/>
          </w:tcPr>
          <w:p>
            <w:pPr>
              <w:spacing w:after="0"/>
              <w:rPr>
                <w:sz w:val="20"/>
                <w:szCs w:val="20"/>
                <w:color w:val="auto"/>
              </w:rPr>
            </w:pPr>
            <w:r>
              <w:rPr>
                <w:rFonts w:ascii="Arial" w:cs="Arial" w:eastAsia="Arial" w:hAnsi="Arial"/>
                <w:sz w:val="14"/>
                <w:szCs w:val="14"/>
                <w:color w:val="auto"/>
              </w:rPr>
              <w:t>GAAP net revenue</w:t>
            </w:r>
          </w:p>
        </w:tc>
        <w:tc>
          <w:tcPr>
            <w:tcW w:w="520" w:type="dxa"/>
            <w:vAlign w:val="bottom"/>
          </w:tcPr>
          <w:p>
            <w:pPr>
              <w:jc w:val="right"/>
              <w:spacing w:after="0"/>
              <w:rPr>
                <w:sz w:val="20"/>
                <w:szCs w:val="20"/>
                <w:color w:val="auto"/>
              </w:rPr>
            </w:pPr>
            <w:r>
              <w:rPr>
                <w:rFonts w:ascii="Arial" w:cs="Arial" w:eastAsia="Arial" w:hAnsi="Arial"/>
                <w:sz w:val="14"/>
                <w:szCs w:val="14"/>
                <w:color w:val="auto"/>
              </w:rPr>
              <w:t>$318.6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$293.9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8.4 %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9.6 %</w:t>
            </w:r>
          </w:p>
        </w:tc>
      </w:tr>
      <w:tr>
        <w:trPr>
          <w:trHeight w:val="207"/>
        </w:trPr>
        <w:tc>
          <w:tcPr>
            <w:tcW w:w="5140" w:type="dxa"/>
            <w:vAlign w:val="bottom"/>
          </w:tcPr>
          <w:p>
            <w:pPr>
              <w:spacing w:after="0"/>
              <w:rPr>
                <w:sz w:val="20"/>
                <w:szCs w:val="20"/>
                <w:color w:val="auto"/>
              </w:rPr>
            </w:pPr>
            <w:r>
              <w:rPr>
                <w:rFonts w:ascii="Arial" w:cs="Arial" w:eastAsia="Arial" w:hAnsi="Arial"/>
                <w:sz w:val="14"/>
                <w:szCs w:val="14"/>
                <w:color w:val="auto"/>
              </w:rPr>
              <w:t xml:space="preserve">Less: ACS </w:t>
            </w:r>
            <w:r>
              <w:rPr>
                <w:rFonts w:ascii="Arial" w:cs="Arial" w:eastAsia="Arial" w:hAnsi="Arial"/>
                <w:sz w:val="9"/>
                <w:szCs w:val="9"/>
                <w:color w:val="auto"/>
              </w:rPr>
              <w:t>(1)</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200"/>
        </w:trPr>
        <w:tc>
          <w:tcPr>
            <w:tcW w:w="5140" w:type="dxa"/>
            <w:vAlign w:val="bottom"/>
          </w:tcPr>
          <w:p>
            <w:pPr>
              <w:spacing w:after="0"/>
              <w:rPr>
                <w:sz w:val="20"/>
                <w:szCs w:val="20"/>
                <w:color w:val="auto"/>
              </w:rPr>
            </w:pPr>
            <w:r>
              <w:rPr>
                <w:rFonts w:ascii="Arial" w:cs="Arial" w:eastAsia="Arial" w:hAnsi="Arial"/>
                <w:sz w:val="14"/>
                <w:szCs w:val="14"/>
                <w:color w:val="auto"/>
              </w:rPr>
              <w:t>Net revenue excluding ACS</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$288.0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9.6 %</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10.8 %</w:t>
            </w:r>
          </w:p>
        </w:tc>
      </w:tr>
      <w:tr>
        <w:trPr>
          <w:trHeight w:val="20"/>
        </w:trPr>
        <w:tc>
          <w:tcPr>
            <w:tcW w:w="5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46"/>
        </w:trPr>
        <w:tc>
          <w:tcPr>
            <w:tcW w:w="5140" w:type="dxa"/>
            <w:vAlign w:val="bottom"/>
          </w:tcPr>
          <w:p>
            <w:pPr>
              <w:spacing w:after="0"/>
              <w:rPr>
                <w:sz w:val="24"/>
                <w:szCs w:val="24"/>
                <w:color w:val="auto"/>
              </w:rPr>
            </w:pPr>
          </w:p>
        </w:tc>
        <w:tc>
          <w:tcPr>
            <w:tcW w:w="2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Constant-Currency</w:t>
            </w:r>
          </w:p>
        </w:tc>
      </w:tr>
      <w:tr>
        <w:trPr>
          <w:trHeight w:val="197"/>
        </w:trPr>
        <w:tc>
          <w:tcPr>
            <w:tcW w:w="5140" w:type="dxa"/>
            <w:vAlign w:val="bottom"/>
          </w:tcPr>
          <w:p>
            <w:pPr>
              <w:spacing w:after="0"/>
              <w:rPr>
                <w:sz w:val="17"/>
                <w:szCs w:val="17"/>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060" w:type="dxa"/>
            <w:vAlign w:val="bottom"/>
            <w:gridSpan w:val="2"/>
          </w:tcPr>
          <w:p>
            <w:pPr>
              <w:spacing w:after="0"/>
              <w:rPr>
                <w:sz w:val="20"/>
                <w:szCs w:val="20"/>
                <w:color w:val="auto"/>
              </w:rPr>
            </w:pPr>
            <w:r>
              <w:rPr>
                <w:rFonts w:ascii="Arial" w:cs="Arial" w:eastAsia="Arial" w:hAnsi="Arial"/>
                <w:sz w:val="14"/>
                <w:szCs w:val="14"/>
                <w:color w:val="auto"/>
              </w:rPr>
              <w:t>GAAP net revenue</w:t>
            </w:r>
          </w:p>
        </w:tc>
        <w:tc>
          <w:tcPr>
            <w:tcW w:w="520" w:type="dxa"/>
            <w:vAlign w:val="bottom"/>
          </w:tcPr>
          <w:p>
            <w:pPr>
              <w:jc w:val="right"/>
              <w:spacing w:after="0"/>
              <w:rPr>
                <w:sz w:val="20"/>
                <w:szCs w:val="20"/>
                <w:color w:val="auto"/>
              </w:rPr>
            </w:pPr>
            <w:r>
              <w:rPr>
                <w:rFonts w:ascii="Arial" w:cs="Arial" w:eastAsia="Arial" w:hAnsi="Arial"/>
                <w:sz w:val="14"/>
                <w:szCs w:val="14"/>
                <w:color w:val="auto"/>
              </w:rPr>
              <w:t>$613.5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$557.3</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10.1 %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10.9 %</w:t>
            </w:r>
          </w:p>
        </w:tc>
      </w:tr>
      <w:tr>
        <w:trPr>
          <w:trHeight w:val="207"/>
        </w:trPr>
        <w:tc>
          <w:tcPr>
            <w:tcW w:w="5140" w:type="dxa"/>
            <w:vAlign w:val="bottom"/>
          </w:tcPr>
          <w:p>
            <w:pPr>
              <w:spacing w:after="0"/>
              <w:rPr>
                <w:sz w:val="20"/>
                <w:szCs w:val="20"/>
                <w:color w:val="auto"/>
              </w:rPr>
            </w:pPr>
            <w:r>
              <w:rPr>
                <w:rFonts w:ascii="Arial" w:cs="Arial" w:eastAsia="Arial" w:hAnsi="Arial"/>
                <w:sz w:val="14"/>
                <w:szCs w:val="14"/>
                <w:color w:val="auto"/>
              </w:rPr>
              <w:t xml:space="preserve">Less: ACS </w:t>
            </w:r>
            <w:r>
              <w:rPr>
                <w:rFonts w:ascii="Arial" w:cs="Arial" w:eastAsia="Arial" w:hAnsi="Arial"/>
                <w:sz w:val="9"/>
                <w:szCs w:val="9"/>
                <w:color w:val="auto"/>
              </w:rPr>
              <w:t>(1)</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(41.2)%</w:t>
            </w:r>
          </w:p>
        </w:tc>
      </w:tr>
      <w:tr>
        <w:trPr>
          <w:trHeight w:val="200"/>
        </w:trPr>
        <w:tc>
          <w:tcPr>
            <w:tcW w:w="6060" w:type="dxa"/>
            <w:vAlign w:val="bottom"/>
            <w:gridSpan w:val="2"/>
          </w:tcPr>
          <w:p>
            <w:pPr>
              <w:spacing w:after="0"/>
              <w:rPr>
                <w:sz w:val="20"/>
                <w:szCs w:val="20"/>
                <w:color w:val="auto"/>
              </w:rPr>
            </w:pPr>
            <w:r>
              <w:rPr>
                <w:rFonts w:ascii="Arial" w:cs="Arial" w:eastAsia="Arial" w:hAnsi="Arial"/>
                <w:sz w:val="14"/>
                <w:szCs w:val="14"/>
                <w:color w:val="auto"/>
              </w:rPr>
              <w:t>Net revenue excluding ACS</w:t>
            </w:r>
          </w:p>
        </w:tc>
        <w:tc>
          <w:tcPr>
            <w:tcW w:w="520" w:type="dxa"/>
            <w:vAlign w:val="bottom"/>
          </w:tcPr>
          <w:p>
            <w:pPr>
              <w:jc w:val="right"/>
              <w:spacing w:after="0"/>
              <w:rPr>
                <w:sz w:val="20"/>
                <w:szCs w:val="20"/>
                <w:color w:val="auto"/>
              </w:rPr>
            </w:pPr>
            <w:r>
              <w:rPr>
                <w:rFonts w:ascii="Arial" w:cs="Arial" w:eastAsia="Arial" w:hAnsi="Arial"/>
                <w:sz w:val="14"/>
                <w:szCs w:val="14"/>
                <w:color w:val="auto"/>
              </w:rPr>
              <w:t>$606.4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$545.2</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11.2 %</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12.1 %</w:t>
            </w:r>
          </w:p>
        </w:tc>
      </w:tr>
      <w:tr>
        <w:trPr>
          <w:trHeight w:val="20"/>
        </w:trPr>
        <w:tc>
          <w:tcPr>
            <w:tcW w:w="5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97"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net revenue from the Company's former ACS reportable segment.</w:t>
      </w:r>
    </w:p>
    <w:p>
      <w:pPr>
        <w:spacing w:after="0" w:line="3" w:lineRule="exact"/>
        <w:rPr>
          <w:rFonts w:ascii="Arial" w:cs="Arial" w:eastAsia="Arial" w:hAnsi="Arial"/>
          <w:sz w:val="21"/>
          <w:szCs w:val="21"/>
          <w:color w:val="auto"/>
          <w:vertAlign w:val="superscript"/>
        </w:rPr>
      </w:pPr>
    </w:p>
    <w:p>
      <w:pPr>
        <w:spacing w:after="0" w:line="232" w:lineRule="auto"/>
        <w:rPr>
          <w:rFonts w:ascii="Arial" w:cs="Arial" w:eastAsia="Arial" w:hAnsi="Arial"/>
          <w:sz w:val="21"/>
          <w:szCs w:val="21"/>
          <w:color w:val="auto"/>
          <w:vertAlign w:val="superscript"/>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42" w:lineRule="exact"/>
        <w:rPr>
          <w:sz w:val="20"/>
          <w:szCs w:val="20"/>
          <w:color w:val="auto"/>
        </w:rPr>
      </w:pPr>
    </w:p>
    <w:p>
      <w:pPr>
        <w:jc w:val="both"/>
        <w:ind w:right="60"/>
        <w:spacing w:after="0" w:line="365" w:lineRule="auto"/>
        <w:rPr>
          <w:sz w:val="20"/>
          <w:szCs w:val="20"/>
          <w:color w:val="auto"/>
        </w:rPr>
      </w:pPr>
      <w:r>
        <w:rPr>
          <w:rFonts w:ascii="Arial" w:cs="Arial" w:eastAsia="Arial" w:hAnsi="Arial"/>
          <w:sz w:val="20"/>
          <w:szCs w:val="20"/>
          <w:color w:val="auto"/>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sectPr>
          <w:pgSz w:w="11900" w:h="16838" w:orient="portrait"/>
          <w:cols w:equalWidth="0" w:num="1">
            <w:col w:w="11180"/>
          </w:cols>
          <w:pgMar w:left="320" w:top="1440" w:right="399" w:bottom="1440" w:gutter="0" w:footer="0" w:header="0"/>
        </w:sectPr>
      </w:pPr>
    </w:p>
    <w:p>
      <w:pPr>
        <w:spacing w:after="0" w:line="3" w:lineRule="exact"/>
        <w:rPr>
          <w:sz w:val="20"/>
          <w:szCs w:val="20"/>
          <w:color w:val="auto"/>
        </w:rPr>
      </w:pPr>
    </w:p>
    <w:p>
      <w:pPr>
        <w:ind w:left="20" w:right="3300"/>
        <w:spacing w:after="0" w:line="273" w:lineRule="auto"/>
        <w:rPr>
          <w:sz w:val="20"/>
          <w:szCs w:val="20"/>
          <w:color w:val="auto"/>
        </w:rPr>
      </w:pPr>
      <w:r>
        <w:rPr>
          <w:rFonts w:ascii="Arial" w:cs="Arial" w:eastAsia="Arial" w:hAnsi="Arial"/>
          <w:sz w:val="14"/>
          <w:szCs w:val="14"/>
          <w:b w:val="1"/>
          <w:bCs w:val="1"/>
          <w:color w:val="auto"/>
        </w:rPr>
        <w:t>RECONCILIATION OF GAAP TO NON-GAAP FINANCIAL MEASURES - UNAUDITED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diluted weighted average shares outstanding</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Effects of stock-based compensation instruments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diluted weighted average shares outstanding</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6350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23495</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23495</wp:posOffset>
            </wp:positionV>
            <wp:extent cx="1165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49530</wp:posOffset>
            </wp:positionV>
            <wp:extent cx="1165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960" w:space="720"/>
            <w:col w:w="1500"/>
          </w:cols>
          <w:pgMar w:left="320" w:top="1440" w:right="399" w:bottom="1440" w:gutter="0" w:footer="0" w:header="0"/>
          <w:type w:val="continuous"/>
        </w:sectPr>
      </w:pPr>
    </w:p>
    <w:p>
      <w:pPr>
        <w:spacing w:after="0" w:line="201"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6"/>
          <w:szCs w:val="16"/>
          <w:color w:val="auto"/>
        </w:rPr>
        <w:t>Numbers may not add precisely due to rounding.</w:t>
      </w: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21</w:t>
      </w:r>
    </w:p>
    <w:sectPr>
      <w:pgSz w:w="11900" w:h="16838" w:orient="portrait"/>
      <w:cols w:equalWidth="0" w:num="1">
        <w:col w:w="11180"/>
      </w:cols>
      <w:pgMar w:left="320" w:top="1440"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2024-07-31T05:15:41Z</dcterms:created>
  <dcterms:modified xsi:type="dcterms:W3CDTF">2024-07-31T05:15:41Z</dcterms:modified>
</cp:coreProperties>
</file>