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5315585</wp:posOffset>
            </wp:positionH>
            <wp:positionV relativeFrom="paragraph">
              <wp:posOffset>-610870</wp:posOffset>
            </wp:positionV>
            <wp:extent cx="8255" cy="6115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1505"/>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-619125</wp:posOffset>
            </wp:positionV>
            <wp:extent cx="8255" cy="6197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976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-594360</wp:posOffset>
            </wp:positionV>
            <wp:extent cx="1264285" cy="5702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4285" cy="57023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29210</wp:posOffset>
            </wp:positionV>
            <wp:extent cx="6967220" cy="16281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814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Novak Alfred J</w:t>
        </w:r>
      </w:hyperlink>
    </w:p>
    <w:p>
      <w:pPr>
        <w:spacing w:after="0" w:line="30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LivaNova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LIVN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06/29/2020</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5" w:right="600" w:hanging="5"/>
        <w:spacing w:after="0" w:line="239"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85"/>
        <w:spacing w:after="0"/>
        <w:tabs>
          <w:tab w:leader="none" w:pos="504" w:val="left"/>
          <w:tab w:leader="none" w:pos="208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3" w:lineRule="exact"/>
        <w:rPr>
          <w:sz w:val="24"/>
          <w:szCs w:val="24"/>
          <w:color w:val="auto"/>
        </w:rPr>
      </w:pPr>
    </w:p>
    <w:p>
      <w:pPr>
        <w:sectPr>
          <w:pgSz w:w="11900" w:h="16838" w:orient="portrait"/>
          <w:cols w:equalWidth="0" w:num="3">
            <w:col w:w="3180" w:space="720"/>
            <w:col w:w="3115" w:space="720"/>
            <w:col w:w="3345"/>
          </w:cols>
          <w:pgMar w:left="460" w:top="222" w:right="359" w:bottom="1440" w:gutter="0" w:footer="0" w:header="0"/>
          <w:type w:val="continuous"/>
        </w:sectPr>
      </w:pPr>
    </w:p>
    <w:p>
      <w:pPr>
        <w:spacing w:after="0" w:line="241"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LONDON</w:t>
            </w:r>
          </w:p>
        </w:tc>
        <w:tc>
          <w:tcPr>
            <w:tcW w:w="1060" w:type="dxa"/>
            <w:vAlign w:val="bottom"/>
          </w:tcPr>
          <w:p>
            <w:pPr>
              <w:ind w:left="240"/>
              <w:spacing w:after="0"/>
              <w:rPr>
                <w:sz w:val="20"/>
                <w:szCs w:val="20"/>
                <w:color w:val="auto"/>
              </w:rPr>
            </w:pPr>
            <w:r>
              <w:rPr>
                <w:rFonts w:ascii="Arial" w:cs="Arial" w:eastAsia="Arial" w:hAnsi="Arial"/>
                <w:sz w:val="17"/>
                <w:szCs w:val="17"/>
                <w:color w:val="0000FF"/>
              </w:rPr>
              <w:t>X0</w:t>
            </w:r>
          </w:p>
        </w:tc>
        <w:tc>
          <w:tcPr>
            <w:tcW w:w="1600" w:type="dxa"/>
            <w:vAlign w:val="bottom"/>
          </w:tcPr>
          <w:p>
            <w:pPr>
              <w:ind w:left="400"/>
              <w:spacing w:after="0"/>
              <w:rPr>
                <w:sz w:val="20"/>
                <w:szCs w:val="20"/>
                <w:color w:val="auto"/>
              </w:rPr>
            </w:pPr>
            <w:r>
              <w:rPr>
                <w:rFonts w:ascii="Arial" w:cs="Arial" w:eastAsia="Arial" w:hAnsi="Arial"/>
                <w:sz w:val="17"/>
                <w:szCs w:val="17"/>
                <w:color w:val="0000FF"/>
              </w:rPr>
              <w:t>W2 6LG</w:t>
            </w:r>
          </w:p>
        </w:tc>
      </w:tr>
      <w:tr>
        <w:trPr>
          <w:trHeight w:val="151"/>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21"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-2473325</wp:posOffset>
            </wp:positionH>
            <wp:positionV relativeFrom="paragraph">
              <wp:posOffset>203200</wp:posOffset>
            </wp:positionV>
            <wp:extent cx="6967220" cy="8845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884555"/>
                    </a:xfrm>
                    <a:prstGeom prst="rect">
                      <a:avLst/>
                    </a:prstGeom>
                    <a:noFill/>
                  </pic:spPr>
                </pic:pic>
              </a:graphicData>
            </a:graphic>
          </wp:anchor>
        </w:drawing>
      </w:r>
    </w:p>
    <w:p>
      <w:pPr>
        <w:spacing w:after="0" w:line="380" w:lineRule="exact"/>
        <w:rPr>
          <w:sz w:val="24"/>
          <w:szCs w:val="24"/>
          <w:color w:val="auto"/>
        </w:rPr>
      </w:pPr>
    </w:p>
    <w:p>
      <w:pPr>
        <w:sectPr>
          <w:pgSz w:w="11900" w:h="16838" w:orient="portrait"/>
          <w:cols w:equalWidth="0" w:num="2">
            <w:col w:w="3760" w:space="140"/>
            <w:col w:w="718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20" w:type="dxa"/>
            <w:vAlign w:val="bottom"/>
            <w:tcBorders>
              <w:bottom w:val="single" w:sz="8" w:color="2C2C2C"/>
            </w:tcBorders>
          </w:tcPr>
          <w:p>
            <w:pPr>
              <w:spacing w:after="0"/>
              <w:rPr>
                <w:sz w:val="6"/>
                <w:szCs w:val="6"/>
                <w:color w:val="auto"/>
              </w:rPr>
            </w:pPr>
          </w:p>
        </w:tc>
        <w:tc>
          <w:tcPr>
            <w:tcW w:w="250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033260" cy="21075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107565"/>
                    </a:xfrm>
                    <a:prstGeom prst="rect">
                      <a:avLst/>
                    </a:prstGeom>
                    <a:noFill/>
                  </pic:spPr>
                </pic:pic>
              </a:graphicData>
            </a:graphic>
          </wp:anchor>
        </w:drawing>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3"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right"/>
              <w:ind w:right="223"/>
              <w:spacing w:after="0"/>
              <w:rPr>
                <w:sz w:val="20"/>
                <w:szCs w:val="20"/>
                <w:color w:val="auto"/>
              </w:rPr>
            </w:pPr>
            <w:r>
              <w:rPr>
                <w:rFonts w:ascii="Arial" w:cs="Arial" w:eastAsia="Arial" w:hAnsi="Arial"/>
                <w:sz w:val="11"/>
                <w:szCs w:val="11"/>
                <w:color w:val="008000"/>
              </w:rPr>
              <w:t>(2)</w:t>
            </w: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2,337</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200"/>
              <w:spacing w:after="0" w:line="143" w:lineRule="exact"/>
              <w:rPr>
                <w:sz w:val="20"/>
                <w:szCs w:val="20"/>
                <w:color w:val="auto"/>
              </w:rPr>
            </w:pPr>
            <w:r>
              <w:rPr>
                <w:rFonts w:ascii="Arial" w:cs="Arial" w:eastAsia="Arial" w:hAnsi="Arial"/>
                <w:sz w:val="13"/>
                <w:szCs w:val="13"/>
                <w:color w:val="0000FF"/>
              </w:rPr>
              <w:t>06/29/2020</w:t>
            </w:r>
          </w:p>
        </w:tc>
        <w:tc>
          <w:tcPr>
            <w:tcW w:w="1080" w:type="dxa"/>
            <w:vAlign w:val="bottom"/>
          </w:tcPr>
          <w:p>
            <w:pPr>
              <w:spacing w:after="0"/>
              <w:rPr>
                <w:sz w:val="5"/>
                <w:szCs w:val="5"/>
                <w:color w:val="auto"/>
              </w:rPr>
            </w:pPr>
          </w:p>
        </w:tc>
        <w:tc>
          <w:tcPr>
            <w:tcW w:w="820" w:type="dxa"/>
            <w:vAlign w:val="bottom"/>
            <w:vMerge w:val="restart"/>
          </w:tcPr>
          <w:p>
            <w:pPr>
              <w:ind w:left="180"/>
              <w:spacing w:after="0" w:line="143" w:lineRule="exact"/>
              <w:rPr>
                <w:sz w:val="20"/>
                <w:szCs w:val="20"/>
                <w:color w:val="auto"/>
              </w:rPr>
            </w:pPr>
            <w:r>
              <w:rPr>
                <w:rFonts w:ascii="Arial" w:cs="Arial" w:eastAsia="Arial" w:hAnsi="Arial"/>
                <w:sz w:val="13"/>
                <w:szCs w:val="13"/>
                <w:color w:val="0000FF"/>
              </w:rPr>
              <w:t>A</w:t>
            </w:r>
          </w:p>
        </w:tc>
        <w:tc>
          <w:tcPr>
            <w:tcW w:w="46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rPr>
              <w:t>2,337</w:t>
            </w:r>
          </w:p>
        </w:tc>
        <w:tc>
          <w:tcPr>
            <w:tcW w:w="2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280"/>
              <w:spacing w:after="0" w:line="14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2,337</w:t>
            </w:r>
          </w:p>
        </w:tc>
        <w:tc>
          <w:tcPr>
            <w:tcW w:w="74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restart"/>
          </w:tcPr>
          <w:p>
            <w:pPr>
              <w:ind w:left="14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40" w:right="480" w:firstLine="3"/>
        <w:spacing w:after="0" w:line="253"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(RSU) represents a contingent right to receive one ordinary share (Ordinary Share) of LivaNova PLC (the Company), GBP 1.00 par value, in accordance with the terms of the LivaNova PLC 2015 Incentive Award Plan (the Plan) and the award agreement.</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was granted RSUs to vest and forfeiture restrictions thereon to lapse on June 29, 2021, subject to continued service during the vesting period and the RSU Agreement.</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/s/ Sarah K. Mohr, POA</w:t>
            </w:r>
          </w:p>
        </w:tc>
        <w:tc>
          <w:tcPr>
            <w:tcW w:w="56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07/01/2020</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1"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388862" TargetMode="External"/><Relationship Id="rId14"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2020-07-01T15:34:38Z</dcterms:created>
  <dcterms:modified xsi:type="dcterms:W3CDTF">2020-07-01T15:34:38Z</dcterms:modified>
</cp:coreProperties>
</file>