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Sehgal Vivid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03/11/2017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13"/>
              <w:spacing w:after="0"/>
              <w:rPr>
                <w:sz w:val="20"/>
                <w:szCs w:val="20"/>
                <w:color w:val="auto"/>
              </w:rPr>
            </w:pPr>
            <w:r>
              <w:rPr>
                <w:rFonts w:ascii="Arial" w:cs="Arial" w:eastAsia="Arial" w:hAnsi="Arial"/>
                <w:sz w:val="18"/>
                <w:szCs w:val="18"/>
                <w:color w:val="0000FF"/>
              </w:rPr>
              <w:t>5,209</w:t>
            </w:r>
          </w:p>
        </w:tc>
        <w:tc>
          <w:tcPr>
            <w:tcW w:w="620" w:type="dxa"/>
            <w:vAlign w:val="bottom"/>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3"/>
                <w:szCs w:val="23"/>
                <w:color w:val="auto"/>
              </w:rPr>
            </w:pPr>
          </w:p>
        </w:tc>
        <w:tc>
          <w:tcPr>
            <w:tcW w:w="1300" w:type="dxa"/>
            <w:vAlign w:val="bottom"/>
            <w:gridSpan w:val="3"/>
          </w:tcPr>
          <w:p>
            <w:pPr>
              <w:jc w:val="right"/>
              <w:ind w:right="399"/>
              <w:spacing w:after="0"/>
              <w:rPr>
                <w:sz w:val="20"/>
                <w:szCs w:val="20"/>
                <w:color w:val="auto"/>
              </w:rPr>
            </w:pPr>
            <w:r>
              <w:rPr>
                <w:rFonts w:ascii="Arial" w:cs="Arial" w:eastAsia="Arial" w:hAnsi="Arial"/>
                <w:sz w:val="18"/>
                <w:szCs w:val="18"/>
                <w:color w:val="0000FF"/>
              </w:rPr>
              <w:t>5,209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03/11/2017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2,448</w:t>
            </w:r>
            <w:r>
              <w:rPr>
                <w:rFonts w:ascii="Arial" w:cs="Arial" w:eastAsia="Arial" w:hAnsi="Arial"/>
                <w:sz w:val="22"/>
                <w:szCs w:val="22"/>
                <w:color w:val="008000"/>
                <w:vertAlign w:val="superscript"/>
              </w:rPr>
              <w:t>(3)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49.215</w:t>
            </w:r>
          </w:p>
        </w:tc>
        <w:tc>
          <w:tcPr>
            <w:tcW w:w="130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8"/>
                <w:szCs w:val="18"/>
                <w:color w:val="0000FF"/>
              </w:rPr>
              <w:t>2,761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5,209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03/11/2017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5,209</w:t>
            </w: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20,832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LivaNova PLC's ("Company") ordinary shares, ?1.00 par value.</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20% on, each, March 11, 2017, March 11, 2018 and March 11, 2019, and 40% on March 11, 2020. Each RSU represents a contingent right to receive one ordinary share of the Company in accordance with the terms of the LivaNova PLC 2015 Incentive Award Plan.</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March 11, 2017 vesting of 5,209 RSUs.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7"/>
              </w:rPr>
              <w:t>/s/ Sarah Mohr as POA</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03/14/2017</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3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2019-12-04T02:36:48Z</dcterms:created>
  <dcterms:modified xsi:type="dcterms:W3CDTF">2019-12-04T02:36:48Z</dcterms:modified>
</cp:coreProperties>
</file>