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1,859,775.00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1,859,775.00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1,859,775.00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2,065,023.00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1.00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See response to Item 9 on each cover page. As of the date of this filing, some of the reporting persons remained beneficial owners of more than 5% of the outstanding Ordinary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67"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40"/>
          </w:cols>
          <w:pgMar w:left="360" w:top="112" w:right="399" w:bottom="67"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See Exhibit I</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May 12, 2025,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par value £1.00 per share, of LivaNova PLC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2025-05-13T15:11:27Z</dcterms:created>
  <dcterms:modified xsi:type="dcterms:W3CDTF">2025-05-13T15:11:27Z</dcterms:modified>
</cp:coreProperties>
</file>