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August 3, 2022</w:t>
      </w:r>
    </w:p>
    <w:p>
      <w:pPr>
        <w:spacing w:after="0" w:line="287" w:lineRule="exact"/>
        <w:rPr>
          <w:sz w:val="24"/>
          <w:szCs w:val="24"/>
          <w:color w:val="auto"/>
        </w:rPr>
      </w:pPr>
    </w:p>
    <w:p>
      <w:pPr>
        <w:ind w:right="52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2022, which was filed with the Securities and Exchange Commission on August 3, 2022.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2022-08-03T14:48:56Z</dcterms:created>
  <dcterms:modified xsi:type="dcterms:W3CDTF">2022-08-03T14:48:56Z</dcterms:modified>
</cp:coreProperties>
</file>