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LIVANOVA PLC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#G5509L101</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9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#G5509L101</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59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284,248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3,068,495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3,068,495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6.302%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#G5509L101</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3,068,495</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3,068,495</w:t>
      </w:r>
    </w:p>
    <w:p>
      <w:pPr>
        <w:spacing w:after="0" w:line="237" w:lineRule="auto"/>
        <w:rPr>
          <w:sz w:val="20"/>
          <w:szCs w:val="20"/>
          <w:color w:val="auto"/>
        </w:rPr>
      </w:pPr>
      <w:r>
        <w:rPr>
          <w:rFonts w:ascii="Courier New" w:cs="Courier New" w:eastAsia="Courier New" w:hAnsi="Courier New"/>
          <w:sz w:val="18"/>
          <w:szCs w:val="18"/>
          <w:color w:val="auto"/>
        </w:rPr>
        <w:t>Item 11: 6.302%</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 Eastbourne Terrace</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London,</w:t>
        <w:tab/>
        <w:t>X0 W2 6LG</w:t>
      </w:r>
    </w:p>
    <w:p>
      <w:pPr>
        <w:spacing w:after="0" w:line="238" w:lineRule="auto"/>
        <w:rPr>
          <w:sz w:val="20"/>
          <w:szCs w:val="20"/>
          <w:color w:val="auto"/>
        </w:rPr>
      </w:pPr>
      <w:r>
        <w:rPr>
          <w:rFonts w:ascii="Courier New" w:cs="Courier New" w:eastAsia="Courier New" w:hAnsi="Courier New"/>
          <w:sz w:val="18"/>
          <w:szCs w:val="18"/>
          <w:color w:val="auto"/>
        </w:rPr>
        <w:t>UNITED KINGDOM</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G5509L101</w:t>
      </w:r>
    </w:p>
    <w:p>
      <w:pPr>
        <w:spacing w:after="0" w:line="207" w:lineRule="exact"/>
        <w:rPr>
          <w:sz w:val="24"/>
          <w:szCs w:val="24"/>
          <w:color w:val="auto"/>
        </w:rPr>
      </w:pPr>
    </w:p>
    <w:p>
      <w:pPr>
        <w:ind w:right="207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3,068,495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6.302%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299"/>
          </w:cols>
          <w:pgMar w:left="160" w:top="164" w:right="1440" w:bottom="0" w:gutter="0" w:footer="0" w:header="0"/>
        </w:sectPr>
      </w:pPr>
    </w:p>
    <w:bookmarkStart w:id="1" w:name="page2"/>
    <w:bookmarkEnd w:id="1"/>
    <w:p>
      <w:pPr>
        <w:spacing w:after="0" w:line="24"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284,248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3,068,495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LIVANOVA PLC. No one other person's interest in the COMMON STOCK of LIVANOVA PLC is more than five percent of the total outstanding COMMON STOCK.</w:t>
      </w:r>
    </w:p>
    <w:p>
      <w:pPr>
        <w:spacing w:after="0" w:line="208"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17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17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ITEM</w:t>
            </w:r>
          </w:p>
        </w:tc>
        <w:tc>
          <w:tcPr>
            <w:tcW w:w="4600" w:type="dxa"/>
            <w:vAlign w:val="bottom"/>
          </w:tcPr>
          <w:p>
            <w:pPr>
              <w:ind w:left="60"/>
              <w:spacing w:after="0"/>
              <w:rPr>
                <w:sz w:val="20"/>
                <w:szCs w:val="20"/>
                <w:color w:val="auto"/>
              </w:rPr>
            </w:pPr>
            <w:r>
              <w:rPr>
                <w:rFonts w:ascii="Courier New" w:cs="Courier New" w:eastAsia="Courier New" w:hAnsi="Courier New"/>
                <w:sz w:val="18"/>
                <w:szCs w:val="18"/>
                <w:color w:val="auto"/>
              </w:rPr>
              <w:t>3 Classification</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52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4600" w:type="dxa"/>
            <w:vAlign w:val="bottom"/>
          </w:tcPr>
          <w:p>
            <w:pPr>
              <w:spacing w:after="0"/>
              <w:rPr>
                <w:sz w:val="24"/>
                <w:szCs w:val="24"/>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r>
      <w:tr>
        <w:trPr>
          <w:trHeight w:val="202"/>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(JAPAN) LIMITED  IA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FMR CO.,</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IA</w:t>
            </w:r>
          </w:p>
        </w:tc>
      </w:tr>
    </w:tbl>
    <w:p>
      <w:pPr>
        <w:spacing w:after="0" w:line="238" w:lineRule="auto"/>
        <w:tabs>
          <w:tab w:leader="none" w:pos="4200" w:val="left"/>
        </w:tabs>
        <w:rPr>
          <w:sz w:val="20"/>
          <w:szCs w:val="20"/>
          <w:color w:val="auto"/>
        </w:rPr>
      </w:pPr>
      <w:r>
        <w:rPr>
          <w:rFonts w:ascii="Courier New" w:cs="Courier New" w:eastAsia="Courier New" w:hAnsi="Courier New"/>
          <w:sz w:val="18"/>
          <w:szCs w:val="18"/>
          <w:color w:val="auto"/>
        </w:rPr>
        <w:t>FMR INVESTMENT MANAGEMENT (UK) LIMITED</w:t>
        <w:tab/>
        <w:t>FI</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62" w:orient="portrait"/>
          <w:cols w:equalWidth="0" w:num="1">
            <w:col w:w="10299"/>
          </w:cols>
          <w:pgMar w:left="160" w:top="259" w:right="1440" w:bottom="0" w:gutter="0" w:footer="0" w:header="0"/>
        </w:sectPr>
      </w:pPr>
    </w:p>
    <w:bookmarkStart w:id="2" w:name="page3"/>
    <w:bookmarkEnd w:id="2"/>
    <w:p>
      <w:pPr>
        <w:ind w:right="207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27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0"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79"/>
        <w:spacing w:after="0" w:line="279" w:lineRule="auto"/>
        <w:rPr>
          <w:sz w:val="20"/>
          <w:szCs w:val="20"/>
          <w:color w:val="auto"/>
        </w:rPr>
      </w:pPr>
      <w:r>
        <w:rPr>
          <w:rFonts w:ascii="Courier New" w:cs="Courier New" w:eastAsia="Courier New" w:hAnsi="Courier New"/>
          <w:sz w:val="16"/>
          <w:szCs w:val="16"/>
          <w:color w:val="auto"/>
        </w:rPr>
        <w:t>The undersigned persons, on February 13, 2019, agree and consent to the joint filing on their behalf of this Schedule 13G in connection with their beneficial ownership of the COMMON STOCK of LIVANOVA PLC at December 31, 2018.</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17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99"/>
      </w:cols>
      <w:pgMar w:left="160" w:top="4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2019-12-19T21:23:44Z</dcterms:created>
  <dcterms:modified xsi:type="dcterms:W3CDTF">2019-12-19T21:23:44Z</dcterms:modified>
</cp:coreProperties>
</file>