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37"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15, 2022, the Board of Directors (the “Board”) of LivaNova PLC (the “Company” or “LivaNova”) appointed Brooke Story to the Board.</w:t>
      </w:r>
    </w:p>
    <w:p>
      <w:pPr>
        <w:spacing w:after="0" w:line="22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Ms. Story has over 20 years of experience in the global medical technology industry. She currently serves as Worldwide President, Integrated Diagnostic Solutions at BD (Becton, Dickinson and Company), a position she assumed in April 2021. Prior to that, she spent 15 years at Medtronic, where she held a variety of roles in finance, sales and business unit leadership, culminating in her tenure as President, Pelvic Health and Gastric Therapies. Story also spent a portion of her early career in sales at Johnson &amp; Johnson.</w:t>
      </w:r>
    </w:p>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Consistent with the Company’s other non-employee directors, Ms. Story will be compensated in accordance with the Company’s Remuneration Policy (the “Policy”). In connection with this appointment and pursuant to the Policy, Ms. Story will receive a prorated, annual board retainer fee of $110,000; a prorated, Nominating and Corporate Governance Committee annual member fee of $8,000; and an annual, service-based restricted stock award grant with a fair market value of $130,000, prorated.</w:t>
      </w:r>
    </w:p>
    <w:p>
      <w:pPr>
        <w:spacing w:after="0" w:line="19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There is no arrangement or understanding between Ms. Story and any other person pursuant to which Ms. Story was selected as a director. Ms. Story is not, and has not been since January 1, 2021, a participant in any transaction involving the Company, and Ms. Story is not a participant in any proposed transaction with the Company, in each case, required to be disclosed pursuant to Item 404(a) of Regulation S-K.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September 15, 2022</w:t>
      </w:r>
      <w:r>
        <w:rPr>
          <w:sz w:val="20"/>
          <w:szCs w:val="20"/>
          <w:color w:val="auto"/>
        </w:rPr>
        <w:tab/>
      </w:r>
      <w:r>
        <w:rPr>
          <w:rFonts w:ascii="Times New Roman" w:cs="Times New Roman" w:eastAsia="Times New Roman" w:hAnsi="Times New Roman"/>
          <w:sz w:val="17"/>
          <w:szCs w:val="17"/>
          <w:color w:val="auto"/>
        </w:rPr>
        <w:t>By: /s/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0</wp:posOffset>
            </wp:positionV>
            <wp:extent cx="1029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Keyna Skeffington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Senior Vice President &amp; General Counsel</w:t>
      </w:r>
    </w:p>
    <w:sectPr>
      <w:pgSz w:w="11900" w:h="16838" w:orient="portrait"/>
      <w:cols w:equalWidth="0" w:num="1">
        <w:col w:w="10980"/>
      </w:cols>
      <w:pgMar w:left="320" w:top="10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2022-09-15T08:08:53Z</dcterms:created>
  <dcterms:modified xsi:type="dcterms:W3CDTF">2022-09-15T08:08:53Z</dcterms:modified>
</cp:coreProperties>
</file>