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2706370</wp:posOffset>
            </wp:positionH>
            <wp:positionV relativeFrom="paragraph">
              <wp:posOffset>137795</wp:posOffset>
            </wp:positionV>
            <wp:extent cx="18522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18"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42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England and Wales</w:t>
            </w:r>
          </w:p>
        </w:tc>
        <w:tc>
          <w:tcPr>
            <w:tcW w:w="5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333-203510</w:t>
            </w:r>
          </w:p>
        </w:tc>
        <w:tc>
          <w:tcPr>
            <w:tcW w:w="1940" w:type="dxa"/>
            <w:vAlign w:val="bottom"/>
          </w:tcPr>
          <w:p>
            <w:pPr>
              <w:jc w:val="center"/>
              <w:ind w:left="510"/>
              <w:spacing w:after="0"/>
              <w:rPr>
                <w:sz w:val="20"/>
                <w:szCs w:val="20"/>
                <w:color w:val="auto"/>
              </w:rPr>
            </w:pPr>
            <w:r>
              <w:rPr>
                <w:rFonts w:ascii="Arial" w:cs="Arial" w:eastAsia="Arial" w:hAnsi="Arial"/>
                <w:sz w:val="18"/>
                <w:szCs w:val="18"/>
                <w:b w:val="1"/>
                <w:bCs w:val="1"/>
                <w:color w:val="auto"/>
                <w:w w:val="96"/>
              </w:rPr>
              <w:t>N/A</w:t>
            </w:r>
          </w:p>
        </w:tc>
      </w:tr>
      <w:tr>
        <w:trPr>
          <w:trHeight w:val="203"/>
        </w:trPr>
        <w:tc>
          <w:tcPr>
            <w:tcW w:w="2420" w:type="dxa"/>
            <w:vAlign w:val="bottom"/>
          </w:tcPr>
          <w:p>
            <w:pPr>
              <w:jc w:val="center"/>
              <w:ind w:right="370"/>
              <w:spacing w:after="0" w:line="202" w:lineRule="exact"/>
              <w:rPr>
                <w:sz w:val="20"/>
                <w:szCs w:val="20"/>
                <w:color w:val="auto"/>
              </w:rPr>
            </w:pPr>
            <w:r>
              <w:rPr>
                <w:rFonts w:ascii="Arial" w:cs="Arial" w:eastAsia="Arial" w:hAnsi="Arial"/>
                <w:sz w:val="18"/>
                <w:szCs w:val="18"/>
                <w:color w:val="auto"/>
                <w:w w:val="91"/>
              </w:rPr>
              <w:t>(State or Other Jurisdiction</w:t>
            </w:r>
          </w:p>
        </w:tc>
        <w:tc>
          <w:tcPr>
            <w:tcW w:w="506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1"/>
              </w:rPr>
              <w:t>(Commission</w:t>
            </w:r>
          </w:p>
        </w:tc>
        <w:tc>
          <w:tcPr>
            <w:tcW w:w="1940" w:type="dxa"/>
            <w:vAlign w:val="bottom"/>
          </w:tcPr>
          <w:p>
            <w:pPr>
              <w:jc w:val="center"/>
              <w:ind w:left="51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2420" w:type="dxa"/>
            <w:vAlign w:val="bottom"/>
          </w:tcPr>
          <w:p>
            <w:pPr>
              <w:jc w:val="center"/>
              <w:ind w:right="330"/>
              <w:spacing w:after="0"/>
              <w:rPr>
                <w:sz w:val="20"/>
                <w:szCs w:val="20"/>
                <w:color w:val="auto"/>
              </w:rPr>
            </w:pPr>
            <w:r>
              <w:rPr>
                <w:rFonts w:ascii="Arial" w:cs="Arial" w:eastAsia="Arial" w:hAnsi="Arial"/>
                <w:sz w:val="18"/>
                <w:szCs w:val="18"/>
                <w:color w:val="auto"/>
                <w:w w:val="94"/>
              </w:rPr>
              <w:t>of Incorporation)</w:t>
            </w:r>
          </w:p>
        </w:tc>
        <w:tc>
          <w:tcPr>
            <w:tcW w:w="5060" w:type="dxa"/>
            <w:vAlign w:val="bottom"/>
          </w:tcPr>
          <w:p>
            <w:pPr>
              <w:jc w:val="center"/>
              <w:ind w:right="90"/>
              <w:spacing w:after="0"/>
              <w:rPr>
                <w:sz w:val="20"/>
                <w:szCs w:val="20"/>
                <w:color w:val="auto"/>
              </w:rPr>
            </w:pPr>
            <w:r>
              <w:rPr>
                <w:rFonts w:ascii="Arial" w:cs="Arial" w:eastAsia="Arial" w:hAnsi="Arial"/>
                <w:sz w:val="18"/>
                <w:szCs w:val="18"/>
                <w:color w:val="auto"/>
                <w:w w:val="92"/>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20" w:type="dxa"/>
            <w:vAlign w:val="bottom"/>
          </w:tcPr>
          <w:p>
            <w:pPr>
              <w:spacing w:after="0"/>
              <w:rPr>
                <w:sz w:val="24"/>
                <w:szCs w:val="24"/>
                <w:color w:val="auto"/>
              </w:rPr>
            </w:pPr>
          </w:p>
        </w:tc>
        <w:tc>
          <w:tcPr>
            <w:tcW w:w="5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940" w:type="dxa"/>
            <w:vAlign w:val="bottom"/>
          </w:tcPr>
          <w:p>
            <w:pPr>
              <w:spacing w:after="0"/>
              <w:rPr>
                <w:sz w:val="24"/>
                <w:szCs w:val="24"/>
                <w:color w:val="auto"/>
              </w:rPr>
            </w:pPr>
          </w:p>
        </w:tc>
      </w:tr>
      <w:tr>
        <w:trPr>
          <w:trHeight w:val="203"/>
        </w:trPr>
        <w:tc>
          <w:tcPr>
            <w:tcW w:w="2420" w:type="dxa"/>
            <w:vAlign w:val="bottom"/>
          </w:tcPr>
          <w:p>
            <w:pPr>
              <w:spacing w:after="0"/>
              <w:rPr>
                <w:sz w:val="17"/>
                <w:szCs w:val="17"/>
                <w:color w:val="auto"/>
              </w:rPr>
            </w:pPr>
          </w:p>
        </w:tc>
        <w:tc>
          <w:tcPr>
            <w:tcW w:w="5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4"/>
              </w:rPr>
              <w:t>North Wharf Road</w:t>
            </w:r>
          </w:p>
        </w:tc>
        <w:tc>
          <w:tcPr>
            <w:tcW w:w="194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5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3"/>
              </w:rPr>
              <w:t>London, W2 1AY</w:t>
            </w:r>
          </w:p>
        </w:tc>
        <w:tc>
          <w:tcPr>
            <w:tcW w:w="1940" w:type="dxa"/>
            <w:vAlign w:val="bottom"/>
          </w:tcPr>
          <w:p>
            <w:pPr>
              <w:spacing w:after="0"/>
              <w:rPr>
                <w:sz w:val="17"/>
                <w:szCs w:val="17"/>
                <w:color w:val="auto"/>
              </w:rPr>
            </w:pPr>
          </w:p>
        </w:tc>
      </w:tr>
      <w:tr>
        <w:trPr>
          <w:trHeight w:val="234"/>
        </w:trPr>
        <w:tc>
          <w:tcPr>
            <w:tcW w:w="2420" w:type="dxa"/>
            <w:vAlign w:val="bottom"/>
          </w:tcPr>
          <w:p>
            <w:pPr>
              <w:spacing w:after="0"/>
              <w:rPr>
                <w:sz w:val="20"/>
                <w:szCs w:val="20"/>
                <w:color w:val="auto"/>
              </w:rPr>
            </w:pPr>
          </w:p>
        </w:tc>
        <w:tc>
          <w:tcPr>
            <w:tcW w:w="5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940" w:type="dxa"/>
            <w:vAlign w:val="bottom"/>
          </w:tcPr>
          <w:p>
            <w:pPr>
              <w:spacing w:after="0"/>
              <w:rPr>
                <w:sz w:val="20"/>
                <w:szCs w:val="20"/>
                <w:color w:val="auto"/>
              </w:rPr>
            </w:pPr>
          </w:p>
        </w:tc>
      </w:tr>
      <w:tr>
        <w:trPr>
          <w:trHeight w:val="405"/>
        </w:trPr>
        <w:tc>
          <w:tcPr>
            <w:tcW w:w="2420" w:type="dxa"/>
            <w:vAlign w:val="bottom"/>
          </w:tcPr>
          <w:p>
            <w:pPr>
              <w:spacing w:after="0"/>
              <w:rPr>
                <w:sz w:val="24"/>
                <w:szCs w:val="24"/>
                <w:color w:val="auto"/>
              </w:rPr>
            </w:pPr>
          </w:p>
        </w:tc>
        <w:tc>
          <w:tcPr>
            <w:tcW w:w="506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940" w:type="dxa"/>
            <w:vAlign w:val="bottom"/>
          </w:tcPr>
          <w:p>
            <w:pPr>
              <w:spacing w:after="0"/>
              <w:rPr>
                <w:sz w:val="24"/>
                <w:szCs w:val="24"/>
                <w:color w:val="auto"/>
              </w:rPr>
            </w:pPr>
          </w:p>
        </w:tc>
      </w:tr>
      <w:tr>
        <w:trPr>
          <w:trHeight w:val="377"/>
        </w:trPr>
        <w:tc>
          <w:tcPr>
            <w:tcW w:w="2420" w:type="dxa"/>
            <w:vAlign w:val="bottom"/>
          </w:tcPr>
          <w:p>
            <w:pPr>
              <w:spacing w:after="0"/>
              <w:rPr>
                <w:sz w:val="24"/>
                <w:szCs w:val="24"/>
                <w:color w:val="auto"/>
              </w:rPr>
            </w:pPr>
          </w:p>
        </w:tc>
        <w:tc>
          <w:tcPr>
            <w:tcW w:w="5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+44 20 37865275</w:t>
            </w:r>
          </w:p>
        </w:tc>
        <w:tc>
          <w:tcPr>
            <w:tcW w:w="194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p>
        </w:tc>
        <w:tc>
          <w:tcPr>
            <w:tcW w:w="506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940" w:type="dxa"/>
            <w:vAlign w:val="bottom"/>
          </w:tcPr>
          <w:p>
            <w:pPr>
              <w:spacing w:after="0"/>
              <w:rPr>
                <w:sz w:val="20"/>
                <w:szCs w:val="20"/>
                <w:color w:val="auto"/>
              </w:rPr>
            </w:pPr>
          </w:p>
        </w:tc>
      </w:tr>
    </w:tbl>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3"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13, 2016, LivaNova PLC (the “Company” or “LivaNova”) issued a press release announcing the appointment of Jason Richey as President of the Neuromodulation Business Unit and a member of the Executive Leadership Team of the Company. The full text of the press release is furnished herewith as Exhibit 99.1.</w:t>
      </w:r>
    </w:p>
    <w:p>
      <w:pPr>
        <w:spacing w:after="0" w:line="23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2380" w:hanging="706"/>
        <w:spacing w:after="0"/>
        <w:tabs>
          <w:tab w:leader="none" w:pos="2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issued by LivaNova PLC dated January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973455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13"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420" w:type="dxa"/>
            <w:vAlign w:val="bottom"/>
            <w:gridSpan w:val="2"/>
          </w:tcPr>
          <w:p>
            <w:pPr>
              <w:ind w:left="2260"/>
              <w:spacing w:after="0"/>
              <w:rPr>
                <w:sz w:val="20"/>
                <w:szCs w:val="20"/>
                <w:color w:val="auto"/>
              </w:rPr>
            </w:pPr>
            <w:r>
              <w:rPr>
                <w:rFonts w:ascii="Arial" w:cs="Arial" w:eastAsia="Arial" w:hAnsi="Arial"/>
                <w:sz w:val="18"/>
                <w:szCs w:val="18"/>
                <w:color w:val="auto"/>
              </w:rPr>
              <w:t>LivaNova PLC</w:t>
            </w: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Date: January 13, 2016</w:t>
            </w:r>
          </w:p>
        </w:tc>
        <w:tc>
          <w:tcPr>
            <w:tcW w:w="3000" w:type="dxa"/>
            <w:vAlign w:val="bottom"/>
          </w:tcPr>
          <w:p>
            <w:pPr>
              <w:ind w:left="232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02"/>
        </w:trPr>
        <w:tc>
          <w:tcPr>
            <w:tcW w:w="4000" w:type="dxa"/>
            <w:vAlign w:val="bottom"/>
          </w:tcPr>
          <w:p>
            <w:pPr>
              <w:spacing w:after="0"/>
              <w:rPr>
                <w:sz w:val="17"/>
                <w:szCs w:val="17"/>
                <w:color w:val="auto"/>
              </w:rPr>
            </w:pPr>
          </w:p>
        </w:tc>
        <w:tc>
          <w:tcPr>
            <w:tcW w:w="3000" w:type="dxa"/>
            <w:vAlign w:val="bottom"/>
          </w:tcPr>
          <w:p>
            <w:pPr>
              <w:ind w:left="2320"/>
              <w:spacing w:after="0" w:line="201"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Brian Sheridan</w:t>
            </w:r>
          </w:p>
        </w:tc>
      </w:tr>
      <w:tr>
        <w:trPr>
          <w:trHeight w:val="230"/>
        </w:trPr>
        <w:tc>
          <w:tcPr>
            <w:tcW w:w="4000" w:type="dxa"/>
            <w:vAlign w:val="bottom"/>
          </w:tcPr>
          <w:p>
            <w:pPr>
              <w:spacing w:after="0"/>
              <w:rPr>
                <w:sz w:val="20"/>
                <w:szCs w:val="20"/>
                <w:color w:val="auto"/>
              </w:rPr>
            </w:pPr>
          </w:p>
        </w:tc>
        <w:tc>
          <w:tcPr>
            <w:tcW w:w="3000" w:type="dxa"/>
            <w:vAlign w:val="bottom"/>
          </w:tcPr>
          <w:p>
            <w:pPr>
              <w:ind w:left="232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Company Secretary</w:t>
            </w:r>
          </w:p>
        </w:tc>
      </w:tr>
      <w:tr>
        <w:trPr>
          <w:trHeight w:val="1442"/>
        </w:trPr>
        <w:tc>
          <w:tcPr>
            <w:tcW w:w="400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08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Exhibit No.</w:t>
            </w:r>
          </w:p>
        </w:tc>
        <w:tc>
          <w:tcPr>
            <w:tcW w:w="10080" w:type="dxa"/>
            <w:vAlign w:val="bottom"/>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419"/>
        </w:trPr>
        <w:tc>
          <w:tcPr>
            <w:tcW w:w="1340" w:type="dxa"/>
            <w:vAlign w:val="bottom"/>
          </w:tcPr>
          <w:p>
            <w:pPr>
              <w:jc w:val="right"/>
              <w:ind w:right="470"/>
              <w:spacing w:after="0"/>
              <w:rPr>
                <w:sz w:val="20"/>
                <w:szCs w:val="20"/>
                <w:color w:val="auto"/>
              </w:rPr>
            </w:pPr>
            <w:r>
              <w:rPr>
                <w:rFonts w:ascii="Arial" w:cs="Arial" w:eastAsia="Arial" w:hAnsi="Arial"/>
                <w:sz w:val="18"/>
                <w:szCs w:val="18"/>
                <w:color w:val="auto"/>
              </w:rPr>
              <w:t>99.1</w:t>
            </w:r>
          </w:p>
        </w:tc>
        <w:tc>
          <w:tcPr>
            <w:tcW w:w="10080" w:type="dxa"/>
            <w:vAlign w:val="bottom"/>
          </w:tcPr>
          <w:p>
            <w:pPr>
              <w:ind w:left="280"/>
              <w:spacing w:after="0"/>
              <w:rPr>
                <w:sz w:val="20"/>
                <w:szCs w:val="20"/>
                <w:color w:val="auto"/>
              </w:rPr>
            </w:pPr>
            <w:r>
              <w:rPr>
                <w:rFonts w:ascii="Arial" w:cs="Arial" w:eastAsia="Arial" w:hAnsi="Arial"/>
                <w:sz w:val="18"/>
                <w:szCs w:val="18"/>
                <w:color w:val="auto"/>
              </w:rPr>
              <w:t>Press Release issued by LivaNova PLC dated January 13, 2016</w:t>
            </w:r>
          </w:p>
        </w:tc>
      </w:tr>
      <w:tr>
        <w:trPr>
          <w:trHeight w:val="861"/>
        </w:trPr>
        <w:tc>
          <w:tcPr>
            <w:tcW w:w="1340" w:type="dxa"/>
            <w:vAlign w:val="bottom"/>
            <w:tcBorders>
              <w:bottom w:val="single" w:sz="8" w:color="808080"/>
            </w:tcBorders>
          </w:tcPr>
          <w:p>
            <w:pPr>
              <w:spacing w:after="0"/>
              <w:rPr>
                <w:sz w:val="24"/>
                <w:szCs w:val="24"/>
                <w:color w:val="auto"/>
              </w:rPr>
            </w:pPr>
          </w:p>
        </w:tc>
        <w:tc>
          <w:tcPr>
            <w:tcW w:w="10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852295" cy="59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22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PRESS RELEASE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LivaNova PLC Announces Management Change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356" w:lineRule="auto"/>
        <w:rPr>
          <w:sz w:val="20"/>
          <w:szCs w:val="20"/>
          <w:color w:val="auto"/>
        </w:rPr>
      </w:pPr>
      <w:r>
        <w:rPr>
          <w:rFonts w:ascii="Arial" w:cs="Arial" w:eastAsia="Arial" w:hAnsi="Arial"/>
          <w:sz w:val="18"/>
          <w:szCs w:val="18"/>
          <w:color w:val="auto"/>
        </w:rPr>
        <w:t>LONDON, January 13, 2016 -- LivaNova, PLC (NASDAQ:LIVN; LSE:LIVN) (the “Company”), today announced a change to the leadership of the Neuromodulation Business Unit.</w:t>
      </w:r>
    </w:p>
    <w:p>
      <w:pPr>
        <w:spacing w:after="0" w:line="237" w:lineRule="exact"/>
        <w:rPr>
          <w:sz w:val="20"/>
          <w:szCs w:val="20"/>
          <w:color w:val="auto"/>
        </w:rPr>
      </w:pPr>
    </w:p>
    <w:p>
      <w:pPr>
        <w:jc w:val="both"/>
        <w:spacing w:after="0" w:line="356" w:lineRule="auto"/>
        <w:rPr>
          <w:sz w:val="20"/>
          <w:szCs w:val="20"/>
          <w:color w:val="auto"/>
        </w:rPr>
      </w:pPr>
      <w:r>
        <w:rPr>
          <w:rFonts w:ascii="Arial" w:cs="Arial" w:eastAsia="Arial" w:hAnsi="Arial"/>
          <w:sz w:val="18"/>
          <w:szCs w:val="18"/>
          <w:color w:val="auto"/>
        </w:rPr>
        <w:t>Effective immediately, Jason Richey has been appointed President of the Neuromodulation Business Unit and a member of the Executive Leadership Team of LivaNova.</w:t>
      </w:r>
    </w:p>
    <w:p>
      <w:pPr>
        <w:spacing w:after="0" w:line="237" w:lineRule="exact"/>
        <w:rPr>
          <w:sz w:val="20"/>
          <w:szCs w:val="20"/>
          <w:color w:val="auto"/>
        </w:rPr>
      </w:pPr>
    </w:p>
    <w:p>
      <w:pPr>
        <w:jc w:val="both"/>
        <w:spacing w:after="0" w:line="362" w:lineRule="auto"/>
        <w:rPr>
          <w:sz w:val="20"/>
          <w:szCs w:val="20"/>
          <w:color w:val="auto"/>
        </w:rPr>
      </w:pPr>
      <w:r>
        <w:rPr>
          <w:rFonts w:ascii="Arial" w:cs="Arial" w:eastAsia="Arial" w:hAnsi="Arial"/>
          <w:sz w:val="17"/>
          <w:szCs w:val="17"/>
          <w:color w:val="auto"/>
        </w:rPr>
        <w:t>Most recently the Vice President of Global Sales and Marketing for Neuromodulation, Mr. Richey has been with Cyberonics, Inc., the Company’s predecessor, since 2001 and brings substantial industry experience, knowledge of the business, and most importantly, success across his career. From 2011 to 2015, Mr. Richey was responsible for leadership of the International business of Cyberonics, achieving double-digit sales growth each year and substantial improvements in profitability. His responsibilities included sales, marketing, reimbursement, and quality, clinical and regulatory activities.</w:t>
      </w:r>
    </w:p>
    <w:p>
      <w:pPr>
        <w:spacing w:after="0" w:line="239" w:lineRule="exact"/>
        <w:rPr>
          <w:sz w:val="20"/>
          <w:szCs w:val="20"/>
          <w:color w:val="auto"/>
        </w:rPr>
      </w:pPr>
    </w:p>
    <w:p>
      <w:pPr>
        <w:jc w:val="both"/>
        <w:spacing w:after="0" w:line="407" w:lineRule="auto"/>
        <w:rPr>
          <w:sz w:val="20"/>
          <w:szCs w:val="20"/>
          <w:color w:val="auto"/>
        </w:rPr>
      </w:pPr>
      <w:r>
        <w:rPr>
          <w:rFonts w:ascii="Arial" w:cs="Arial" w:eastAsia="Arial" w:hAnsi="Arial"/>
          <w:sz w:val="16"/>
          <w:szCs w:val="16"/>
          <w:color w:val="auto"/>
        </w:rPr>
        <w:t>“Jason’s many years of experience and deep knowledge of the global Neuromodulation market will be essential in ensuring that LivaNova takes full advantage of the growth opportunity presented by the AspireSR</w:t>
      </w:r>
      <w:r>
        <w:rPr>
          <w:rFonts w:ascii="Arial" w:cs="Arial" w:eastAsia="Arial" w:hAnsi="Arial"/>
          <w:sz w:val="11"/>
          <w:szCs w:val="11"/>
          <w:color w:val="auto"/>
        </w:rPr>
        <w:t>®</w:t>
      </w:r>
      <w:r>
        <w:rPr>
          <w:rFonts w:ascii="Arial" w:cs="Arial" w:eastAsia="Arial" w:hAnsi="Arial"/>
          <w:sz w:val="16"/>
          <w:szCs w:val="16"/>
          <w:color w:val="auto"/>
        </w:rPr>
        <w:t xml:space="preserve"> generator in particular, and across all geographies,” commented André-Michel Ballester, LivaNova’s Chief Executive Officer. “I’d like to thank Rohan Hoare, who will step down from the leadership of the Neuromodulation Business Unit, for his many contributions to the Neuromodulation business. In his time as a leader, Rohan helped lay the groundwork to sustain the success of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Richey has a bachelor’s degree in Biology from Indiana University, Bloomington, Indiana.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LivaNova</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LivaNova PLC, headquartered in London, UK,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4,500 employees worldwide. With a presence in more than 100 countries, LivaNova operates as three business units: Cardiac Rhythm Management, Cardiac Surgery, and Neuromodulation, with operating headquarters in Clamart (France), Mirandola (Italy) and Houston (U.S.A.), respectively.</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LivaNova is listed on NASDAQ and listed on the Official List of the UK’s Financial Conduct Authority and traded on London Stock Exchange (LSE) under the ticker symbol “LIVN”.</w:t>
      </w:r>
    </w:p>
    <w:p>
      <w:pPr>
        <w:sectPr>
          <w:pgSz w:w="11900" w:h="16838" w:orient="portrait"/>
          <w:cols w:equalWidth="0" w:num="1">
            <w:col w:w="11420"/>
          </w:cols>
          <w:pgMar w:left="240" w:top="364"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please visit </w:t>
      </w:r>
      <w:r>
        <w:rPr>
          <w:rFonts w:ascii="Arial" w:cs="Arial" w:eastAsia="Arial" w:hAnsi="Arial"/>
          <w:sz w:val="16"/>
          <w:szCs w:val="16"/>
          <w:u w:val="single" w:color="auto"/>
          <w:color w:val="auto"/>
        </w:rPr>
        <w:t>www.livanova.com</w:t>
      </w:r>
      <w:r>
        <w:rPr>
          <w:rFonts w:ascii="Arial" w:cs="Arial" w:eastAsia="Arial" w:hAnsi="Arial"/>
          <w:sz w:val="16"/>
          <w:szCs w:val="16"/>
          <w:color w:val="auto"/>
        </w:rPr>
        <w:t>, or contact: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Vivid Sehgal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investor.relations@livanova.com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 Browne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Phone: +1 (281) 228-7262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Fax: +1 (281) 218-9332</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e-mail: corporate.communications@livanova.com</w:t>
      </w:r>
    </w:p>
    <w:p>
      <w:pPr>
        <w:spacing w:after="0" w:line="200" w:lineRule="exact"/>
        <w:rPr>
          <w:sz w:val="20"/>
          <w:szCs w:val="20"/>
          <w:color w:val="auto"/>
        </w:rPr>
      </w:pPr>
    </w:p>
    <w:p>
      <w:pPr>
        <w:sectPr>
          <w:pgSz w:w="11900" w:h="16838" w:orient="portrait"/>
          <w:cols w:equalWidth="0" w:num="2">
            <w:col w:w="4760" w:space="220"/>
            <w:col w:w="6440"/>
          </w:cols>
          <w:pgMar w:left="240" w:top="364" w:right="239" w:bottom="1440" w:gutter="0" w:footer="0" w:header="0"/>
          <w:type w:val="continuous"/>
        </w:sect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 End -M</w:t>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2019-12-09T02:08:39Z</dcterms:created>
  <dcterms:modified xsi:type="dcterms:W3CDTF">2019-12-09T02:08:39Z</dcterms:modified>
</cp:coreProperties>
</file>