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August 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152400</wp:posOffset>
            </wp:positionV>
            <wp:extent cx="1475105"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9"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England and Wales</w:t>
            </w:r>
          </w:p>
        </w:tc>
        <w:tc>
          <w:tcPr>
            <w:tcW w:w="54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001-37599</w:t>
            </w:r>
          </w:p>
        </w:tc>
        <w:tc>
          <w:tcPr>
            <w:tcW w:w="176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98-1268150</w:t>
            </w:r>
          </w:p>
        </w:tc>
      </w:tr>
      <w:tr>
        <w:trPr>
          <w:trHeight w:val="216"/>
        </w:trPr>
        <w:tc>
          <w:tcPr>
            <w:tcW w:w="2220" w:type="dxa"/>
            <w:vAlign w:val="bottom"/>
          </w:tcPr>
          <w:p>
            <w:pPr>
              <w:jc w:val="center"/>
              <w:ind w:right="170"/>
              <w:spacing w:after="0"/>
              <w:rPr>
                <w:sz w:val="20"/>
                <w:szCs w:val="20"/>
                <w:color w:val="auto"/>
              </w:rPr>
            </w:pPr>
            <w:r>
              <w:rPr>
                <w:rFonts w:ascii="Arial" w:cs="Arial" w:eastAsia="Arial" w:hAnsi="Arial"/>
                <w:sz w:val="18"/>
                <w:szCs w:val="18"/>
                <w:color w:val="auto"/>
                <w:w w:val="91"/>
              </w:rPr>
              <w:t>(State or Other Jurisdiction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3"/>
              </w:rPr>
              <w:t>(IRS Employer</w:t>
            </w:r>
          </w:p>
        </w:tc>
      </w:tr>
      <w:tr>
        <w:trPr>
          <w:trHeight w:val="230"/>
        </w:trPr>
        <w:tc>
          <w:tcPr>
            <w:tcW w:w="2220" w:type="dxa"/>
            <w:vAlign w:val="bottom"/>
          </w:tcPr>
          <w:p>
            <w:pPr>
              <w:jc w:val="center"/>
              <w:ind w:right="130"/>
              <w:spacing w:after="0"/>
              <w:rPr>
                <w:sz w:val="20"/>
                <w:szCs w:val="20"/>
                <w:color w:val="auto"/>
              </w:rPr>
            </w:pPr>
            <w:r>
              <w:rPr>
                <w:rFonts w:ascii="Arial" w:cs="Arial" w:eastAsia="Arial" w:hAnsi="Arial"/>
                <w:sz w:val="18"/>
                <w:szCs w:val="18"/>
                <w:color w:val="auto"/>
                <w:w w:val="94"/>
              </w:rPr>
              <w:t>of Incorporation)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760" w:type="dxa"/>
            <w:vAlign w:val="bottom"/>
          </w:tcPr>
          <w:p>
            <w:pPr>
              <w:spacing w:after="0"/>
              <w:rPr>
                <w:sz w:val="18"/>
                <w:szCs w:val="18"/>
                <w:color w:val="auto"/>
              </w:rPr>
            </w:pPr>
          </w:p>
        </w:tc>
      </w:tr>
      <w:tr>
        <w:trPr>
          <w:trHeight w:val="220"/>
        </w:trPr>
        <w:tc>
          <w:tcPr>
            <w:tcW w:w="2220" w:type="dxa"/>
            <w:vAlign w:val="bottom"/>
          </w:tcPr>
          <w:p>
            <w:pPr>
              <w:spacing w:after="0"/>
              <w:rPr>
                <w:sz w:val="19"/>
                <w:szCs w:val="19"/>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76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2"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7660"/>
        <w:spacing w:after="0"/>
        <w:tabs>
          <w:tab w:leader="none" w:pos="112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6"/>
          <w:szCs w:val="16"/>
          <w:color w:val="auto"/>
        </w:rPr>
        <w:t>o</w:t>
      </w:r>
    </w:p>
    <w:p>
      <w:pPr>
        <w:spacing w:after="0" w:line="26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4" w:lineRule="exact"/>
        <w:rPr>
          <w:sz w:val="24"/>
          <w:szCs w:val="24"/>
          <w:color w:val="auto"/>
        </w:rPr>
      </w:pPr>
    </w:p>
    <w:p>
      <w:pPr>
        <w:ind w:left="11260"/>
        <w:spacing w:after="0"/>
        <w:rPr>
          <w:sz w:val="20"/>
          <w:szCs w:val="20"/>
          <w:color w:val="auto"/>
        </w:rPr>
      </w:pPr>
      <w:r>
        <w:rPr>
          <w:rFonts w:ascii="Arial" w:cs="Arial" w:eastAsia="Arial" w:hAnsi="Arial"/>
          <w:sz w:val="20"/>
          <w:szCs w:val="20"/>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- 1 -</w:t>
      </w:r>
    </w:p>
    <w:p>
      <w:pPr>
        <w:sectPr>
          <w:pgSz w:w="11900" w:h="16838" w:orient="portrait"/>
          <w:cols w:equalWidth="0" w:num="1">
            <w:col w:w="11400"/>
          </w:cols>
          <w:pgMar w:left="240" w:top="715" w:right="259" w:bottom="1440" w:gutter="0" w:footer="0" w:header="0"/>
        </w:sectPr>
      </w:pPr>
    </w:p>
    <w:p>
      <w:pPr>
        <w:spacing w:after="0" w:line="187" w:lineRule="exact"/>
        <w:rPr>
          <w:sz w:val="24"/>
          <w:szCs w:val="24"/>
          <w:color w:val="auto"/>
        </w:rPr>
      </w:pPr>
    </w:p>
    <w:p>
      <w:pPr>
        <w:spacing w:after="0"/>
        <w:rPr>
          <w:sz w:val="20"/>
          <w:szCs w:val="20"/>
          <w:color w:val="auto"/>
        </w:rPr>
      </w:pPr>
      <w:r>
        <w:rPr>
          <w:rFonts w:ascii="Arial" w:cs="Arial" w:eastAsia="Arial" w:hAnsi="Arial"/>
          <w:sz w:val="13"/>
          <w:szCs w:val="13"/>
          <w:color w:val="auto"/>
        </w:rPr>
        <w:t>SC1:3824405.1B</w:t>
      </w:r>
    </w:p>
    <w:p>
      <w:pPr>
        <w:sectPr>
          <w:pgSz w:w="11900" w:h="16838" w:orient="portrait"/>
          <w:cols w:equalWidth="0" w:num="1">
            <w:col w:w="11400"/>
          </w:cols>
          <w:pgMar w:left="240" w:top="715"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On August 9, 2017, LivaNova PLC (the “Company”) issued a press release announcing financial results for the second quarter ended June 30, 2017. The purpose of the Form 8-K/A is to correct a typographical error in the table entitled LivaNova PLC and Subsidiaries Condensed Consolidated Balance Sheets. A copy of the Company’s amended press release is furnished as Exhibit 99.1 on this Current Report on Form 8-K/A.</w:t>
      </w:r>
    </w:p>
    <w:p>
      <w:pPr>
        <w:spacing w:after="0" w:line="166"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 information in Item 2.02 of this report is being furnished, not filed, for purposes of Section 18 of the Securities Exchange Act of 1934, as amended, and pursuant to General Instruction B.2 of Form 8-K, will not be incorporated by reference into any filing under the Securities Act of 1933, as amended, unless specifically identified therein as being incorporated therein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tab/>
        <w:t>Exhibits.</w:t>
      </w:r>
    </w:p>
    <w:p>
      <w:pPr>
        <w:spacing w:after="0" w:line="387" w:lineRule="exact"/>
        <w:rPr>
          <w:sz w:val="20"/>
          <w:szCs w:val="20"/>
          <w:color w:val="auto"/>
        </w:rPr>
      </w:pPr>
    </w:p>
    <w:p>
      <w:pPr>
        <w:ind w:left="40"/>
        <w:spacing w:after="0"/>
        <w:tabs>
          <w:tab w:leader="none" w:pos="16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color w:val="auto"/>
        </w:rPr>
        <w:t>Amended Press Release issued by LivaNova PLC dated August 9, 2017</w:t>
      </w:r>
    </w:p>
    <w:p>
      <w:pPr>
        <w:sectPr>
          <w:pgSz w:w="11900" w:h="16838" w:orient="portrait"/>
          <w:cols w:equalWidth="0" w:num="1">
            <w:col w:w="11340"/>
          </w:cols>
          <w:pgMar w:left="240" w:top="364" w:right="31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August 9, 2017</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Catherine Moroz</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Catherine Moroz</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Company Secretary</w:t>
      </w:r>
    </w:p>
    <w:p>
      <w:pPr>
        <w:sectPr>
          <w:pgSz w:w="11900" w:h="16838" w:orient="portrait"/>
          <w:cols w:equalWidth="0" w:num="1">
            <w:col w:w="11000"/>
          </w:cols>
          <w:pgMar w:left="240" w:top="364" w:right="659" w:bottom="1440" w:gutter="0" w:footer="0" w:header="0"/>
        </w:sectPr>
      </w:pPr>
    </w:p>
    <w:bookmarkStart w:id="3" w:name="page4"/>
    <w:bookmarkEnd w:id="3"/>
    <w:p>
      <w:pPr>
        <w:ind w:left="4980"/>
        <w:spacing w:after="0"/>
        <w:rPr>
          <w:sz w:val="20"/>
          <w:szCs w:val="20"/>
          <w:color w:val="auto"/>
        </w:rPr>
      </w:pPr>
      <w:r>
        <w:rPr>
          <w:rFonts w:ascii="Arial" w:cs="Arial" w:eastAsia="Arial" w:hAnsi="Arial"/>
          <w:sz w:val="18"/>
          <w:szCs w:val="18"/>
          <w:b w:val="1"/>
          <w:bCs w:val="1"/>
          <w:color w:val="auto"/>
        </w:rPr>
        <w:t>EXHIBIT INDEX</w:t>
      </w:r>
    </w:p>
    <w:p>
      <w:pPr>
        <w:spacing w:after="0" w:line="387" w:lineRule="exact"/>
        <w:rPr>
          <w:sz w:val="20"/>
          <w:szCs w:val="20"/>
          <w:color w:val="auto"/>
        </w:rPr>
      </w:pPr>
    </w:p>
    <w:p>
      <w:pPr>
        <w:ind w:left="200"/>
        <w:spacing w:after="0"/>
        <w:tabs>
          <w:tab w:leader="none" w:pos="14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364"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Amended Press Release issued by LivaNova PLC dated August 9, 2017</w:t>
      </w:r>
    </w:p>
    <w:p>
      <w:pPr>
        <w:sectPr>
          <w:pgSz w:w="11900" w:h="16838" w:orient="portrait"/>
          <w:cols w:equalWidth="0" w:num="1">
            <w:col w:w="10179"/>
          </w:cols>
          <w:pgMar w:left="280" w:top="364" w:right="1440" w:bottom="1440" w:gutter="0" w:footer="0" w:header="0"/>
        </w:sectPr>
      </w:pPr>
    </w:p>
    <w:bookmarkStart w:id="4" w:name="page5"/>
    <w:bookmarkEnd w:id="4"/>
    <w:p>
      <w:pPr>
        <w:spacing w:after="0"/>
        <w:rPr>
          <w:sz w:val="20"/>
          <w:szCs w:val="20"/>
          <w:color w:val="auto"/>
        </w:rPr>
      </w:pPr>
      <w:r>
        <w:rPr>
          <w:sz w:val="1"/>
          <w:szCs w:val="1"/>
          <w:color w:val="auto"/>
        </w:rPr>
        <w:drawing>
          <wp:inline distT="0" distB="0" distL="0" distR="0">
            <wp:extent cx="1680845" cy="4800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0845" cy="480060"/>
                    </a:xfrm>
                    <a:prstGeom prst="rect">
                      <a:avLst/>
                    </a:prstGeom>
                    <a:noFill/>
                    <a:ln>
                      <a:noFill/>
                    </a:ln>
                  </pic:spPr>
                </pic:pic>
              </a:graphicData>
            </a:graphic>
          </wp:inline>
        </w:drawing>
      </w:r>
      <w:r>
        <w:rPr>
          <w:rFonts w:ascii="Arial" w:cs="Arial" w:eastAsia="Arial" w:hAnsi="Arial"/>
          <w:sz w:val="20"/>
          <w:szCs w:val="20"/>
          <w:color w:val="FF5C39"/>
        </w:rPr>
        <w:t xml:space="preserve"> NEWS RELEASE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5C39"/>
        </w:rPr>
        <w:t>LivaNova Reports Second Quarter 2017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469" w:lineRule="auto"/>
        <w:rPr>
          <w:sz w:val="20"/>
          <w:szCs w:val="20"/>
          <w:color w:val="auto"/>
        </w:rPr>
      </w:pPr>
      <w:r>
        <w:rPr>
          <w:rFonts w:ascii="Arial" w:cs="Arial" w:eastAsia="Arial" w:hAnsi="Arial"/>
          <w:sz w:val="20"/>
          <w:szCs w:val="20"/>
          <w:b w:val="1"/>
          <w:bCs w:val="1"/>
          <w:color w:val="auto"/>
        </w:rPr>
        <w:t xml:space="preserve">London, August 9, 2017 – </w:t>
      </w:r>
      <w:r>
        <w:rPr>
          <w:rFonts w:ascii="Arial" w:cs="Arial" w:eastAsia="Arial" w:hAnsi="Arial"/>
          <w:sz w:val="20"/>
          <w:szCs w:val="20"/>
          <w:color w:val="auto"/>
        </w:rPr>
        <w:t>LivaNova PLC (NASDAQ:LIVN) (“LivaNova” or the “Company”), a market-leading medical technology</w:t>
      </w:r>
      <w:r>
        <w:rPr>
          <w:rFonts w:ascii="Arial" w:cs="Arial" w:eastAsia="Arial" w:hAnsi="Arial"/>
          <w:sz w:val="20"/>
          <w:szCs w:val="20"/>
          <w:b w:val="1"/>
          <w:bCs w:val="1"/>
          <w:color w:val="auto"/>
        </w:rPr>
        <w:t xml:space="preserve"> </w:t>
      </w:r>
      <w:r>
        <w:rPr>
          <w:rFonts w:ascii="Arial" w:cs="Arial" w:eastAsia="Arial" w:hAnsi="Arial"/>
          <w:sz w:val="20"/>
          <w:szCs w:val="20"/>
          <w:color w:val="auto"/>
        </w:rPr>
        <w:t>and innovation company, today reported results for the quarter ended June 30, 2017.</w:t>
      </w:r>
    </w:p>
    <w:p>
      <w:pPr>
        <w:spacing w:after="0" w:line="381" w:lineRule="exact"/>
        <w:rPr>
          <w:sz w:val="20"/>
          <w:szCs w:val="20"/>
          <w:color w:val="auto"/>
        </w:rPr>
      </w:pPr>
    </w:p>
    <w:p>
      <w:pPr>
        <w:jc w:val="both"/>
        <w:ind w:right="20"/>
        <w:spacing w:after="0" w:line="439" w:lineRule="auto"/>
        <w:rPr>
          <w:sz w:val="20"/>
          <w:szCs w:val="20"/>
          <w:color w:val="auto"/>
        </w:rPr>
      </w:pPr>
      <w:r>
        <w:rPr>
          <w:rFonts w:ascii="Arial" w:cs="Arial" w:eastAsia="Arial" w:hAnsi="Arial"/>
          <w:sz w:val="20"/>
          <w:szCs w:val="20"/>
          <w:color w:val="auto"/>
        </w:rPr>
        <w:t>For the second quarter of 2017, worldwide sales were $321.4 million, an increase of 0.1 percent on a reported basis and an increase of 1.4 percent on a constant currency basis, as compared to the same quarter of the previous year. On the basis of U.S. Generally Accepted Accounting Principles (GAAP), second quarter 2017 earnings per share were $0.98. Second quarter 2017 adjusted diluted earnings per share were $1.01.</w:t>
      </w:r>
    </w:p>
    <w:p>
      <w:pPr>
        <w:spacing w:after="0" w:line="200" w:lineRule="exact"/>
        <w:rPr>
          <w:sz w:val="20"/>
          <w:szCs w:val="20"/>
          <w:color w:val="auto"/>
        </w:rPr>
      </w:pPr>
    </w:p>
    <w:p>
      <w:pPr>
        <w:spacing w:after="0" w:line="211" w:lineRule="exact"/>
        <w:rPr>
          <w:sz w:val="20"/>
          <w:szCs w:val="20"/>
          <w:color w:val="auto"/>
        </w:rPr>
      </w:pPr>
    </w:p>
    <w:p>
      <w:pPr>
        <w:jc w:val="both"/>
        <w:spacing w:after="0" w:line="437" w:lineRule="auto"/>
        <w:rPr>
          <w:sz w:val="20"/>
          <w:szCs w:val="20"/>
          <w:color w:val="auto"/>
        </w:rPr>
      </w:pPr>
      <w:r>
        <w:rPr>
          <w:rFonts w:ascii="Arial" w:cs="Arial" w:eastAsia="Arial" w:hAnsi="Arial"/>
          <w:sz w:val="20"/>
          <w:szCs w:val="20"/>
          <w:color w:val="auto"/>
        </w:rPr>
        <w:t>“We made progress in many areas of our business during the second quarter, including strong margin and earnings performance,” said Damien McDonald, Chief Executive Officer. “We hired a new Chief Financial Officer and a new General Counsel, strengthening LivaNova's executive leadership team. In June, the U.S. FDA approved our VNS Therapy® device for use in patients as young as four years of age with partial onset seizures that are refractory to antiepileptic medications. This makes VNS Therapy the first and only device approved by the FDA for drug-resistant epilepsy for this pediatric population. This approval will allow us to reach a new patient pool and have a meaningful impact on their quality of life. We also advanced our efforts to integrate the Caisson acquisition, which is on schedule and going extremely well. These steps further enhance our competitive industry position, delivering both quality patient care and long-term shareholder value."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139"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Second Quarter 2017 Results</w:t>
      </w:r>
    </w:p>
    <w:p>
      <w:pPr>
        <w:spacing w:after="0" w:line="200" w:lineRule="exact"/>
        <w:rPr>
          <w:sz w:val="20"/>
          <w:szCs w:val="20"/>
          <w:color w:val="auto"/>
        </w:rPr>
      </w:pPr>
    </w:p>
    <w:p>
      <w:pPr>
        <w:spacing w:after="0" w:line="364" w:lineRule="exact"/>
        <w:rPr>
          <w:sz w:val="20"/>
          <w:szCs w:val="20"/>
          <w:color w:val="auto"/>
        </w:rPr>
      </w:pPr>
    </w:p>
    <w:p>
      <w:pPr>
        <w:jc w:val="both"/>
        <w:ind w:right="20"/>
        <w:spacing w:after="0" w:line="444" w:lineRule="auto"/>
        <w:rPr>
          <w:sz w:val="20"/>
          <w:szCs w:val="20"/>
          <w:color w:val="auto"/>
        </w:rPr>
      </w:pPr>
      <w:r>
        <w:rPr>
          <w:rFonts w:ascii="Arial" w:cs="Arial" w:eastAsia="Arial" w:hAnsi="Arial"/>
          <w:sz w:val="20"/>
          <w:szCs w:val="20"/>
          <w:color w:val="auto"/>
        </w:rPr>
        <w:t>Worldwide sales for the second quarter were $321.4 million, up 1.4 percent on a constant currency basis compared to the second quarter of 2016. The following table highlights worldwide sales for the second quarter of 2017 by Business Franchise:</w:t>
      </w:r>
    </w:p>
    <w:p>
      <w:pPr>
        <w:spacing w:after="0" w:line="348" w:lineRule="exact"/>
        <w:rPr>
          <w:sz w:val="20"/>
          <w:szCs w:val="20"/>
          <w:color w:val="auto"/>
        </w:rPr>
      </w:pPr>
    </w:p>
    <w:tbl>
      <w:tblPr>
        <w:tblLayout w:type="fixed"/>
        <w:tblInd w:w="50" w:type="dxa"/>
        <w:tblCellMar>
          <w:top w:w="0" w:type="dxa"/>
          <w:left w:w="0" w:type="dxa"/>
          <w:bottom w:w="0" w:type="dxa"/>
          <w:right w:w="0" w:type="dxa"/>
        </w:tblCellMar>
      </w:tblPr>
      <w:tr>
        <w:trPr>
          <w:trHeight w:val="256"/>
        </w:trPr>
        <w:tc>
          <w:tcPr>
            <w:tcW w:w="51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 in millions</w:t>
            </w:r>
          </w:p>
        </w:tc>
        <w:tc>
          <w:tcPr>
            <w:tcW w:w="160" w:type="dxa"/>
            <w:vAlign w:val="bottom"/>
            <w:tcBorders>
              <w:top w:val="single" w:sz="8" w:color="auto"/>
            </w:tcBorders>
          </w:tcPr>
          <w:p>
            <w:pPr>
              <w:spacing w:after="0"/>
              <w:rPr>
                <w:sz w:val="22"/>
                <w:szCs w:val="22"/>
                <w:color w:val="auto"/>
              </w:rPr>
            </w:pPr>
          </w:p>
        </w:tc>
        <w:tc>
          <w:tcPr>
            <w:tcW w:w="1520" w:type="dxa"/>
            <w:vAlign w:val="bottom"/>
            <w:tcBorders>
              <w:top w:val="single" w:sz="8" w:color="auto"/>
              <w:right w:val="single" w:sz="8" w:color="00000A"/>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420" w:type="dxa"/>
            <w:vAlign w:val="bottom"/>
            <w:tcBorders>
              <w:top w:val="single" w:sz="8" w:color="auto"/>
              <w:right w:val="single" w:sz="8" w:color="auto"/>
            </w:tcBorders>
          </w:tcPr>
          <w:p>
            <w:pPr>
              <w:spacing w:after="0"/>
              <w:rPr>
                <w:sz w:val="22"/>
                <w:szCs w:val="22"/>
                <w:color w:val="auto"/>
              </w:rPr>
            </w:pPr>
          </w:p>
        </w:tc>
        <w:tc>
          <w:tcPr>
            <w:tcW w:w="1160" w:type="dxa"/>
            <w:vAlign w:val="bottom"/>
            <w:tcBorders>
              <w:top w:val="single" w:sz="8" w:color="auto"/>
            </w:tcBorders>
          </w:tcPr>
          <w:p>
            <w:pPr>
              <w:jc w:val="center"/>
              <w:ind w:left="345"/>
              <w:spacing w:after="0"/>
              <w:rPr>
                <w:sz w:val="20"/>
                <w:szCs w:val="20"/>
                <w:color w:val="auto"/>
              </w:rPr>
            </w:pPr>
            <w:r>
              <w:rPr>
                <w:rFonts w:ascii="Arial" w:cs="Arial" w:eastAsia="Arial" w:hAnsi="Arial"/>
                <w:sz w:val="18"/>
                <w:szCs w:val="18"/>
                <w:color w:val="auto"/>
                <w:w w:val="99"/>
              </w:rPr>
              <w:t>Constant</w:t>
            </w:r>
          </w:p>
        </w:tc>
        <w:tc>
          <w:tcPr>
            <w:tcW w:w="4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51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Business Franchise / Product Line:</w:t>
            </w:r>
          </w:p>
        </w:tc>
        <w:tc>
          <w:tcPr>
            <w:tcW w:w="160" w:type="dxa"/>
            <w:vAlign w:val="bottom"/>
            <w:tcBorders>
              <w:bottom w:val="single" w:sz="8" w:color="00000A"/>
            </w:tcBorders>
          </w:tcPr>
          <w:p>
            <w:pPr>
              <w:spacing w:after="0"/>
              <w:rPr>
                <w:sz w:val="8"/>
                <w:szCs w:val="8"/>
                <w:color w:val="auto"/>
              </w:rPr>
            </w:pPr>
          </w:p>
        </w:tc>
        <w:tc>
          <w:tcPr>
            <w:tcW w:w="1520" w:type="dxa"/>
            <w:vAlign w:val="bottom"/>
            <w:tcBorders>
              <w:bottom w:val="single" w:sz="8" w:color="00000A"/>
              <w:right w:val="single" w:sz="8" w:color="00000A"/>
            </w:tcBorders>
          </w:tcPr>
          <w:p>
            <w:pPr>
              <w:spacing w:after="0"/>
              <w:rPr>
                <w:sz w:val="8"/>
                <w:szCs w:val="8"/>
                <w:color w:val="auto"/>
              </w:rPr>
            </w:pPr>
          </w:p>
        </w:tc>
        <w:tc>
          <w:tcPr>
            <w:tcW w:w="12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 Change</w:t>
            </w:r>
          </w:p>
        </w:tc>
        <w:tc>
          <w:tcPr>
            <w:tcW w:w="420" w:type="dxa"/>
            <w:vAlign w:val="bottom"/>
            <w:tcBorders>
              <w:right w:val="single" w:sz="8" w:color="auto"/>
            </w:tcBorders>
          </w:tcPr>
          <w:p>
            <w:pPr>
              <w:spacing w:after="0"/>
              <w:rPr>
                <w:sz w:val="8"/>
                <w:szCs w:val="8"/>
                <w:color w:val="auto"/>
              </w:rPr>
            </w:pPr>
          </w:p>
        </w:tc>
        <w:tc>
          <w:tcPr>
            <w:tcW w:w="1560" w:type="dxa"/>
            <w:vAlign w:val="bottom"/>
            <w:tcBorders>
              <w:right w:val="single" w:sz="8" w:color="auto"/>
            </w:tcBorders>
            <w:gridSpan w:val="2"/>
            <w:vMerge w:val="restart"/>
          </w:tcPr>
          <w:p>
            <w:pPr>
              <w:jc w:val="center"/>
              <w:spacing w:after="0" w:line="202" w:lineRule="exact"/>
              <w:rPr>
                <w:sz w:val="20"/>
                <w:szCs w:val="20"/>
                <w:color w:val="auto"/>
              </w:rPr>
            </w:pPr>
            <w:r>
              <w:rPr>
                <w:rFonts w:ascii="Arial" w:cs="Arial" w:eastAsia="Arial" w:hAnsi="Arial"/>
                <w:sz w:val="18"/>
                <w:szCs w:val="18"/>
                <w:color w:val="auto"/>
                <w:w w:val="99"/>
              </w:rPr>
              <w:t>Currency %</w:t>
            </w:r>
          </w:p>
        </w:tc>
        <w:tc>
          <w:tcPr>
            <w:tcW w:w="0" w:type="dxa"/>
            <w:vAlign w:val="bottom"/>
          </w:tcPr>
          <w:p>
            <w:pPr>
              <w:spacing w:after="0"/>
              <w:rPr>
                <w:sz w:val="1"/>
                <w:szCs w:val="1"/>
                <w:color w:val="auto"/>
              </w:rPr>
            </w:pPr>
          </w:p>
        </w:tc>
      </w:tr>
      <w:tr>
        <w:trPr>
          <w:trHeight w:val="87"/>
        </w:trPr>
        <w:tc>
          <w:tcPr>
            <w:tcW w:w="5160" w:type="dxa"/>
            <w:vAlign w:val="bottom"/>
            <w:tcBorders>
              <w:left w:val="single" w:sz="8" w:color="auto"/>
              <w:right w:val="single" w:sz="8" w:color="auto"/>
            </w:tcBorders>
            <w:vMerge w:val="continue"/>
          </w:tcPr>
          <w:p>
            <w:pPr>
              <w:spacing w:after="0"/>
              <w:rPr>
                <w:sz w:val="7"/>
                <w:szCs w:val="7"/>
                <w:color w:val="auto"/>
              </w:rPr>
            </w:pPr>
          </w:p>
        </w:tc>
        <w:tc>
          <w:tcPr>
            <w:tcW w:w="160" w:type="dxa"/>
            <w:vAlign w:val="bottom"/>
            <w:tcBorders>
              <w:right w:val="single" w:sz="8" w:color="00000A"/>
            </w:tcBorders>
          </w:tcPr>
          <w:p>
            <w:pPr>
              <w:spacing w:after="0"/>
              <w:rPr>
                <w:sz w:val="7"/>
                <w:szCs w:val="7"/>
                <w:color w:val="auto"/>
              </w:rPr>
            </w:pPr>
          </w:p>
        </w:tc>
        <w:tc>
          <w:tcPr>
            <w:tcW w:w="1520" w:type="dxa"/>
            <w:vAlign w:val="bottom"/>
            <w:tcBorders>
              <w:right w:val="single" w:sz="8" w:color="00000A"/>
            </w:tcBorders>
            <w:vMerge w:val="restart"/>
          </w:tcPr>
          <w:p>
            <w:pPr>
              <w:jc w:val="right"/>
              <w:ind w:right="464"/>
              <w:spacing w:after="0"/>
              <w:rPr>
                <w:sz w:val="20"/>
                <w:szCs w:val="20"/>
                <w:color w:val="auto"/>
              </w:rPr>
            </w:pPr>
            <w:r>
              <w:rPr>
                <w:rFonts w:ascii="Arial" w:cs="Arial" w:eastAsia="Arial" w:hAnsi="Arial"/>
                <w:sz w:val="18"/>
                <w:szCs w:val="18"/>
                <w:color w:val="auto"/>
              </w:rPr>
              <w:t>2016</w:t>
            </w:r>
          </w:p>
        </w:tc>
        <w:tc>
          <w:tcPr>
            <w:tcW w:w="1280" w:type="dxa"/>
            <w:vAlign w:val="bottom"/>
            <w:vMerge w:val="continue"/>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5160" w:type="dxa"/>
            <w:vAlign w:val="bottom"/>
            <w:tcBorders>
              <w:left w:val="single" w:sz="8" w:color="auto"/>
              <w:right w:val="single" w:sz="8" w:color="auto"/>
            </w:tcBorders>
            <w:vMerge w:val="continue"/>
          </w:tcPr>
          <w:p>
            <w:pPr>
              <w:spacing w:after="0"/>
              <w:rPr>
                <w:sz w:val="11"/>
                <w:szCs w:val="11"/>
                <w:color w:val="auto"/>
              </w:rPr>
            </w:pPr>
          </w:p>
        </w:tc>
        <w:tc>
          <w:tcPr>
            <w:tcW w:w="160" w:type="dxa"/>
            <w:vAlign w:val="bottom"/>
            <w:tcBorders>
              <w:right w:val="single" w:sz="8" w:color="00000A"/>
            </w:tcBorders>
          </w:tcPr>
          <w:p>
            <w:pPr>
              <w:spacing w:after="0"/>
              <w:rPr>
                <w:sz w:val="11"/>
                <w:szCs w:val="11"/>
                <w:color w:val="auto"/>
              </w:rPr>
            </w:pPr>
          </w:p>
        </w:tc>
        <w:tc>
          <w:tcPr>
            <w:tcW w:w="1520" w:type="dxa"/>
            <w:vAlign w:val="bottom"/>
            <w:tcBorders>
              <w:right w:val="single" w:sz="8" w:color="00000A"/>
            </w:tcBorders>
            <w:vMerge w:val="continue"/>
          </w:tcPr>
          <w:p>
            <w:pPr>
              <w:spacing w:after="0"/>
              <w:rPr>
                <w:sz w:val="11"/>
                <w:szCs w:val="11"/>
                <w:color w:val="auto"/>
              </w:rPr>
            </w:pPr>
          </w:p>
        </w:tc>
        <w:tc>
          <w:tcPr>
            <w:tcW w:w="128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1160" w:type="dxa"/>
            <w:vAlign w:val="bottom"/>
            <w:vMerge w:val="restart"/>
          </w:tcPr>
          <w:p>
            <w:pPr>
              <w:jc w:val="center"/>
              <w:ind w:left="325"/>
              <w:spacing w:after="0"/>
              <w:rPr>
                <w:sz w:val="20"/>
                <w:szCs w:val="20"/>
                <w:color w:val="auto"/>
              </w:rPr>
            </w:pPr>
            <w:r>
              <w:rPr>
                <w:rFonts w:ascii="Arial" w:cs="Arial" w:eastAsia="Arial" w:hAnsi="Arial"/>
                <w:sz w:val="18"/>
                <w:szCs w:val="18"/>
                <w:color w:val="auto"/>
                <w:w w:val="98"/>
              </w:rPr>
              <w:t>Change</w:t>
            </w:r>
          </w:p>
        </w:tc>
        <w:tc>
          <w:tcPr>
            <w:tcW w:w="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160" w:type="dxa"/>
            <w:vAlign w:val="bottom"/>
            <w:tcBorders>
              <w:left w:val="single" w:sz="8" w:color="auto"/>
              <w:right w:val="single" w:sz="8" w:color="auto"/>
            </w:tcBorders>
          </w:tcPr>
          <w:p>
            <w:pPr>
              <w:spacing w:after="0"/>
              <w:rPr>
                <w:sz w:val="11"/>
                <w:szCs w:val="11"/>
                <w:color w:val="auto"/>
              </w:rPr>
            </w:pPr>
          </w:p>
        </w:tc>
        <w:tc>
          <w:tcPr>
            <w:tcW w:w="160" w:type="dxa"/>
            <w:vAlign w:val="bottom"/>
            <w:tcBorders>
              <w:right w:val="single" w:sz="8" w:color="00000A"/>
            </w:tcBorders>
          </w:tcPr>
          <w:p>
            <w:pPr>
              <w:spacing w:after="0"/>
              <w:rPr>
                <w:sz w:val="11"/>
                <w:szCs w:val="11"/>
                <w:color w:val="auto"/>
              </w:rPr>
            </w:pPr>
          </w:p>
        </w:tc>
        <w:tc>
          <w:tcPr>
            <w:tcW w:w="1520" w:type="dxa"/>
            <w:vAlign w:val="bottom"/>
            <w:tcBorders>
              <w:right w:val="single" w:sz="8" w:color="00000A"/>
            </w:tcBorders>
            <w:vMerge w:val="continue"/>
          </w:tcPr>
          <w:p>
            <w:pPr>
              <w:spacing w:after="0"/>
              <w:rPr>
                <w:sz w:val="11"/>
                <w:szCs w:val="11"/>
                <w:color w:val="auto"/>
              </w:rPr>
            </w:pPr>
          </w:p>
        </w:tc>
        <w:tc>
          <w:tcPr>
            <w:tcW w:w="128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1160" w:type="dxa"/>
            <w:vAlign w:val="bottom"/>
            <w:vMerge w:val="continue"/>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516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i w:val="1"/>
                <w:iCs w:val="1"/>
                <w:color w:val="auto"/>
              </w:rPr>
              <w:t>Cardiopulmonary</w:t>
            </w:r>
          </w:p>
        </w:tc>
        <w:tc>
          <w:tcPr>
            <w:tcW w:w="160" w:type="dxa"/>
            <w:vAlign w:val="bottom"/>
            <w:tcBorders>
              <w:top w:val="single" w:sz="8" w:color="auto"/>
              <w:right w:val="single" w:sz="8" w:color="00000A"/>
            </w:tcBorders>
          </w:tcPr>
          <w:p>
            <w:pPr>
              <w:spacing w:after="0"/>
              <w:rPr>
                <w:sz w:val="21"/>
                <w:szCs w:val="21"/>
                <w:color w:val="auto"/>
              </w:rPr>
            </w:pPr>
          </w:p>
        </w:tc>
        <w:tc>
          <w:tcPr>
            <w:tcW w:w="1520" w:type="dxa"/>
            <w:vAlign w:val="bottom"/>
            <w:tcBorders>
              <w:top w:val="single" w:sz="8" w:color="auto"/>
              <w:right w:val="single" w:sz="8" w:color="00000A"/>
            </w:tcBorders>
          </w:tcPr>
          <w:p>
            <w:pPr>
              <w:jc w:val="right"/>
              <w:ind w:right="44"/>
              <w:spacing w:after="0"/>
              <w:rPr>
                <w:sz w:val="20"/>
                <w:szCs w:val="20"/>
                <w:color w:val="auto"/>
              </w:rPr>
            </w:pPr>
            <w:r>
              <w:rPr>
                <w:rFonts w:ascii="Arial" w:cs="Arial" w:eastAsia="Arial" w:hAnsi="Arial"/>
                <w:sz w:val="18"/>
                <w:szCs w:val="18"/>
                <w:i w:val="1"/>
                <w:iCs w:val="1"/>
                <w:color w:val="auto"/>
              </w:rPr>
              <w:t>$124.0</w:t>
            </w:r>
          </w:p>
        </w:tc>
        <w:tc>
          <w:tcPr>
            <w:tcW w:w="128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i w:val="1"/>
                <w:iCs w:val="1"/>
                <w:color w:val="auto"/>
              </w:rPr>
              <w:t>0.1</w:t>
            </w:r>
          </w:p>
        </w:tc>
        <w:tc>
          <w:tcPr>
            <w:tcW w:w="4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auto"/>
              </w:rPr>
              <w:t>%</w:t>
            </w:r>
          </w:p>
        </w:tc>
        <w:tc>
          <w:tcPr>
            <w:tcW w:w="1160" w:type="dxa"/>
            <w:vAlign w:val="bottom"/>
            <w:tcBorders>
              <w:top w:val="single" w:sz="8" w:color="auto"/>
            </w:tcBorders>
          </w:tcPr>
          <w:p>
            <w:pPr>
              <w:jc w:val="right"/>
              <w:ind w:right="5"/>
              <w:spacing w:after="0"/>
              <w:rPr>
                <w:sz w:val="20"/>
                <w:szCs w:val="20"/>
                <w:color w:val="auto"/>
              </w:rPr>
            </w:pPr>
            <w:r>
              <w:rPr>
                <w:rFonts w:ascii="Arial" w:cs="Arial" w:eastAsia="Arial" w:hAnsi="Arial"/>
                <w:sz w:val="18"/>
                <w:szCs w:val="18"/>
                <w:i w:val="1"/>
                <w:iCs w:val="1"/>
                <w:color w:val="auto"/>
              </w:rPr>
              <w:t>1.4</w:t>
            </w:r>
          </w:p>
        </w:tc>
        <w:tc>
          <w:tcPr>
            <w:tcW w:w="4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41"/>
        </w:trPr>
        <w:tc>
          <w:tcPr>
            <w:tcW w:w="5160" w:type="dxa"/>
            <w:vAlign w:val="bottom"/>
            <w:tcBorders>
              <w:left w:val="single" w:sz="8" w:color="auto"/>
              <w:bottom w:val="single" w:sz="8" w:color="auto"/>
              <w:right w:val="single" w:sz="8" w:color="auto"/>
            </w:tcBorders>
          </w:tcPr>
          <w:p>
            <w:pPr>
              <w:spacing w:after="0"/>
              <w:rPr>
                <w:sz w:val="3"/>
                <w:szCs w:val="3"/>
                <w:color w:val="auto"/>
              </w:rPr>
            </w:pPr>
          </w:p>
        </w:tc>
        <w:tc>
          <w:tcPr>
            <w:tcW w:w="160" w:type="dxa"/>
            <w:vAlign w:val="bottom"/>
            <w:tcBorders>
              <w:bottom w:val="single" w:sz="8" w:color="00000A"/>
              <w:right w:val="single" w:sz="8" w:color="00000A"/>
            </w:tcBorders>
          </w:tcPr>
          <w:p>
            <w:pPr>
              <w:spacing w:after="0"/>
              <w:rPr>
                <w:sz w:val="3"/>
                <w:szCs w:val="3"/>
                <w:color w:val="auto"/>
              </w:rPr>
            </w:pPr>
          </w:p>
        </w:tc>
        <w:tc>
          <w:tcPr>
            <w:tcW w:w="1520" w:type="dxa"/>
            <w:vAlign w:val="bottom"/>
            <w:tcBorders>
              <w:bottom w:val="single" w:sz="8" w:color="00000A"/>
              <w:right w:val="single" w:sz="8" w:color="00000A"/>
            </w:tcBorders>
          </w:tcPr>
          <w:p>
            <w:pPr>
              <w:spacing w:after="0"/>
              <w:rPr>
                <w:sz w:val="3"/>
                <w:szCs w:val="3"/>
                <w:color w:val="auto"/>
              </w:rPr>
            </w:pPr>
          </w:p>
        </w:tc>
        <w:tc>
          <w:tcPr>
            <w:tcW w:w="1280" w:type="dxa"/>
            <w:vAlign w:val="bottom"/>
            <w:tcBorders>
              <w:bottom w:val="single" w:sz="8" w:color="00000A"/>
            </w:tcBorders>
          </w:tcPr>
          <w:p>
            <w:pPr>
              <w:spacing w:after="0"/>
              <w:rPr>
                <w:sz w:val="3"/>
                <w:szCs w:val="3"/>
                <w:color w:val="auto"/>
              </w:rPr>
            </w:pPr>
          </w:p>
        </w:tc>
        <w:tc>
          <w:tcPr>
            <w:tcW w:w="420" w:type="dxa"/>
            <w:vAlign w:val="bottom"/>
            <w:tcBorders>
              <w:bottom w:val="single" w:sz="8" w:color="00000A"/>
              <w:right w:val="single" w:sz="8" w:color="auto"/>
            </w:tcBorders>
          </w:tcPr>
          <w:p>
            <w:pPr>
              <w:spacing w:after="0"/>
              <w:rPr>
                <w:sz w:val="3"/>
                <w:szCs w:val="3"/>
                <w:color w:val="auto"/>
              </w:rPr>
            </w:pPr>
          </w:p>
        </w:tc>
        <w:tc>
          <w:tcPr>
            <w:tcW w:w="1160" w:type="dxa"/>
            <w:vAlign w:val="bottom"/>
            <w:tcBorders>
              <w:bottom w:val="single" w:sz="8" w:color="00000A"/>
            </w:tcBorders>
          </w:tcPr>
          <w:p>
            <w:pPr>
              <w:spacing w:after="0"/>
              <w:rPr>
                <w:sz w:val="3"/>
                <w:szCs w:val="3"/>
                <w:color w:val="auto"/>
              </w:rPr>
            </w:pPr>
          </w:p>
        </w:tc>
        <w:tc>
          <w:tcPr>
            <w:tcW w:w="400" w:type="dxa"/>
            <w:vAlign w:val="bottom"/>
            <w:tcBorders>
              <w:bottom w:val="single" w:sz="8" w:color="00000A"/>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1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i w:val="1"/>
                <w:iCs w:val="1"/>
                <w:color w:val="auto"/>
              </w:rPr>
              <w:t>Heart Valves</w:t>
            </w:r>
          </w:p>
        </w:tc>
        <w:tc>
          <w:tcPr>
            <w:tcW w:w="160" w:type="dxa"/>
            <w:vAlign w:val="bottom"/>
            <w:tcBorders>
              <w:right w:val="single" w:sz="8" w:color="00000A"/>
            </w:tcBorders>
          </w:tcPr>
          <w:p>
            <w:pPr>
              <w:spacing w:after="0"/>
              <w:rPr>
                <w:sz w:val="20"/>
                <w:szCs w:val="20"/>
                <w:color w:val="auto"/>
              </w:rPr>
            </w:pPr>
          </w:p>
        </w:tc>
        <w:tc>
          <w:tcPr>
            <w:tcW w:w="1520" w:type="dxa"/>
            <w:vAlign w:val="bottom"/>
            <w:tcBorders>
              <w:right w:val="single" w:sz="8" w:color="00000A"/>
            </w:tcBorders>
          </w:tcPr>
          <w:p>
            <w:pPr>
              <w:jc w:val="right"/>
              <w:ind w:right="44"/>
              <w:spacing w:after="0"/>
              <w:rPr>
                <w:sz w:val="20"/>
                <w:szCs w:val="20"/>
                <w:color w:val="auto"/>
              </w:rPr>
            </w:pPr>
            <w:r>
              <w:rPr>
                <w:rFonts w:ascii="Arial" w:cs="Arial" w:eastAsia="Arial" w:hAnsi="Arial"/>
                <w:sz w:val="18"/>
                <w:szCs w:val="18"/>
                <w:i w:val="1"/>
                <w:iCs w:val="1"/>
                <w:color w:val="auto"/>
              </w:rPr>
              <w:t>37.1</w:t>
            </w:r>
          </w:p>
        </w:tc>
        <w:tc>
          <w:tcPr>
            <w:tcW w:w="1280" w:type="dxa"/>
            <w:vAlign w:val="bottom"/>
          </w:tcPr>
          <w:p>
            <w:pPr>
              <w:jc w:val="right"/>
              <w:ind w:right="4"/>
              <w:spacing w:after="0"/>
              <w:rPr>
                <w:sz w:val="20"/>
                <w:szCs w:val="20"/>
                <w:color w:val="auto"/>
              </w:rPr>
            </w:pPr>
            <w:r>
              <w:rPr>
                <w:rFonts w:ascii="Arial" w:cs="Arial" w:eastAsia="Arial" w:hAnsi="Arial"/>
                <w:sz w:val="18"/>
                <w:szCs w:val="18"/>
                <w:i w:val="1"/>
                <w:iCs w:val="1"/>
                <w:color w:val="auto"/>
              </w:rPr>
              <w:t>(7.1</w:t>
            </w:r>
          </w:p>
        </w:tc>
        <w:tc>
          <w:tcPr>
            <w:tcW w:w="420" w:type="dxa"/>
            <w:vAlign w:val="bottom"/>
            <w:tcBorders>
              <w:right w:val="single" w:sz="8" w:color="00000A"/>
            </w:tcBorders>
          </w:tcPr>
          <w:p>
            <w:pPr>
              <w:ind w:left="20"/>
              <w:spacing w:after="0"/>
              <w:rPr>
                <w:sz w:val="20"/>
                <w:szCs w:val="20"/>
                <w:color w:val="auto"/>
              </w:rPr>
            </w:pPr>
            <w:r>
              <w:rPr>
                <w:rFonts w:ascii="Arial" w:cs="Arial" w:eastAsia="Arial" w:hAnsi="Arial"/>
                <w:sz w:val="18"/>
                <w:szCs w:val="18"/>
                <w:i w:val="1"/>
                <w:iCs w:val="1"/>
                <w:color w:val="auto"/>
              </w:rPr>
              <w:t>%)</w:t>
            </w:r>
          </w:p>
        </w:tc>
        <w:tc>
          <w:tcPr>
            <w:tcW w:w="1160" w:type="dxa"/>
            <w:vAlign w:val="bottom"/>
          </w:tcPr>
          <w:p>
            <w:pPr>
              <w:jc w:val="right"/>
              <w:ind w:right="5"/>
              <w:spacing w:after="0"/>
              <w:rPr>
                <w:sz w:val="20"/>
                <w:szCs w:val="20"/>
                <w:color w:val="auto"/>
              </w:rPr>
            </w:pPr>
            <w:r>
              <w:rPr>
                <w:rFonts w:ascii="Arial" w:cs="Arial" w:eastAsia="Arial" w:hAnsi="Arial"/>
                <w:sz w:val="18"/>
                <w:szCs w:val="18"/>
                <w:i w:val="1"/>
                <w:iCs w:val="1"/>
                <w:color w:val="auto"/>
              </w:rPr>
              <w:t>(5.7</w:t>
            </w:r>
          </w:p>
        </w:tc>
        <w:tc>
          <w:tcPr>
            <w:tcW w:w="40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41"/>
        </w:trPr>
        <w:tc>
          <w:tcPr>
            <w:tcW w:w="5160" w:type="dxa"/>
            <w:vAlign w:val="bottom"/>
            <w:tcBorders>
              <w:left w:val="single" w:sz="8" w:color="auto"/>
              <w:bottom w:val="single" w:sz="8" w:color="auto"/>
              <w:right w:val="single" w:sz="8" w:color="auto"/>
            </w:tcBorders>
          </w:tcPr>
          <w:p>
            <w:pPr>
              <w:spacing w:after="0"/>
              <w:rPr>
                <w:sz w:val="3"/>
                <w:szCs w:val="3"/>
                <w:color w:val="auto"/>
              </w:rPr>
            </w:pPr>
          </w:p>
        </w:tc>
        <w:tc>
          <w:tcPr>
            <w:tcW w:w="160" w:type="dxa"/>
            <w:vAlign w:val="bottom"/>
            <w:tcBorders>
              <w:bottom w:val="single" w:sz="8" w:color="00000A"/>
              <w:right w:val="single" w:sz="8" w:color="00000A"/>
            </w:tcBorders>
          </w:tcPr>
          <w:p>
            <w:pPr>
              <w:spacing w:after="0"/>
              <w:rPr>
                <w:sz w:val="3"/>
                <w:szCs w:val="3"/>
                <w:color w:val="auto"/>
              </w:rPr>
            </w:pPr>
          </w:p>
        </w:tc>
        <w:tc>
          <w:tcPr>
            <w:tcW w:w="1520" w:type="dxa"/>
            <w:vAlign w:val="bottom"/>
            <w:tcBorders>
              <w:bottom w:val="single" w:sz="8" w:color="00000A"/>
              <w:right w:val="single" w:sz="8" w:color="00000A"/>
            </w:tcBorders>
          </w:tcPr>
          <w:p>
            <w:pPr>
              <w:spacing w:after="0"/>
              <w:rPr>
                <w:sz w:val="3"/>
                <w:szCs w:val="3"/>
                <w:color w:val="auto"/>
              </w:rPr>
            </w:pPr>
          </w:p>
        </w:tc>
        <w:tc>
          <w:tcPr>
            <w:tcW w:w="1280" w:type="dxa"/>
            <w:vAlign w:val="bottom"/>
            <w:tcBorders>
              <w:bottom w:val="single" w:sz="8" w:color="00000A"/>
            </w:tcBorders>
          </w:tcPr>
          <w:p>
            <w:pPr>
              <w:spacing w:after="0"/>
              <w:rPr>
                <w:sz w:val="3"/>
                <w:szCs w:val="3"/>
                <w:color w:val="auto"/>
              </w:rPr>
            </w:pPr>
          </w:p>
        </w:tc>
        <w:tc>
          <w:tcPr>
            <w:tcW w:w="420" w:type="dxa"/>
            <w:vAlign w:val="bottom"/>
            <w:tcBorders>
              <w:bottom w:val="single" w:sz="8" w:color="00000A"/>
              <w:right w:val="single" w:sz="8" w:color="00000A"/>
            </w:tcBorders>
          </w:tcPr>
          <w:p>
            <w:pPr>
              <w:spacing w:after="0"/>
              <w:rPr>
                <w:sz w:val="3"/>
                <w:szCs w:val="3"/>
                <w:color w:val="auto"/>
              </w:rPr>
            </w:pPr>
          </w:p>
        </w:tc>
        <w:tc>
          <w:tcPr>
            <w:tcW w:w="1160" w:type="dxa"/>
            <w:vAlign w:val="bottom"/>
            <w:tcBorders>
              <w:bottom w:val="single" w:sz="8" w:color="00000A"/>
            </w:tcBorders>
          </w:tcPr>
          <w:p>
            <w:pPr>
              <w:spacing w:after="0"/>
              <w:rPr>
                <w:sz w:val="3"/>
                <w:szCs w:val="3"/>
                <w:color w:val="auto"/>
              </w:rPr>
            </w:pPr>
          </w:p>
        </w:tc>
        <w:tc>
          <w:tcPr>
            <w:tcW w:w="400" w:type="dxa"/>
            <w:vAlign w:val="bottom"/>
            <w:tcBorders>
              <w:bottom w:val="single" w:sz="8" w:color="00000A"/>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5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Cardiac Surgery</w:t>
            </w:r>
          </w:p>
        </w:tc>
        <w:tc>
          <w:tcPr>
            <w:tcW w:w="160" w:type="dxa"/>
            <w:vAlign w:val="bottom"/>
            <w:tcBorders>
              <w:right w:val="single" w:sz="8" w:color="00000A"/>
            </w:tcBorders>
          </w:tcPr>
          <w:p>
            <w:pPr>
              <w:spacing w:after="0"/>
              <w:rPr>
                <w:sz w:val="22"/>
                <w:szCs w:val="22"/>
                <w:color w:val="auto"/>
              </w:rPr>
            </w:pPr>
          </w:p>
        </w:tc>
        <w:tc>
          <w:tcPr>
            <w:tcW w:w="1520" w:type="dxa"/>
            <w:vAlign w:val="bottom"/>
            <w:tcBorders>
              <w:right w:val="single" w:sz="8" w:color="00000A"/>
            </w:tcBorders>
          </w:tcPr>
          <w:p>
            <w:pPr>
              <w:jc w:val="right"/>
              <w:ind w:right="44"/>
              <w:spacing w:after="0"/>
              <w:rPr>
                <w:sz w:val="20"/>
                <w:szCs w:val="20"/>
                <w:color w:val="auto"/>
              </w:rPr>
            </w:pPr>
            <w:r>
              <w:rPr>
                <w:rFonts w:ascii="Arial" w:cs="Arial" w:eastAsia="Arial" w:hAnsi="Arial"/>
                <w:sz w:val="20"/>
                <w:szCs w:val="20"/>
                <w:color w:val="auto"/>
              </w:rPr>
              <w:t>161.1</w:t>
            </w:r>
          </w:p>
        </w:tc>
        <w:tc>
          <w:tcPr>
            <w:tcW w:w="1280" w:type="dxa"/>
            <w:vAlign w:val="bottom"/>
          </w:tcPr>
          <w:p>
            <w:pPr>
              <w:jc w:val="right"/>
              <w:ind w:right="4"/>
              <w:spacing w:after="0"/>
              <w:rPr>
                <w:sz w:val="20"/>
                <w:szCs w:val="20"/>
                <w:color w:val="auto"/>
              </w:rPr>
            </w:pPr>
            <w:r>
              <w:rPr>
                <w:rFonts w:ascii="Arial" w:cs="Arial" w:eastAsia="Arial" w:hAnsi="Arial"/>
                <w:sz w:val="20"/>
                <w:szCs w:val="20"/>
                <w:color w:val="auto"/>
              </w:rPr>
              <w:t>(1.5</w:t>
            </w:r>
          </w:p>
        </w:tc>
        <w:tc>
          <w:tcPr>
            <w:tcW w:w="4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5"/>
              <w:spacing w:after="0"/>
              <w:rPr>
                <w:sz w:val="20"/>
                <w:szCs w:val="20"/>
                <w:color w:val="auto"/>
              </w:rPr>
            </w:pPr>
            <w:r>
              <w:rPr>
                <w:rFonts w:ascii="Arial" w:cs="Arial" w:eastAsia="Arial" w:hAnsi="Arial"/>
                <w:sz w:val="20"/>
                <w:szCs w:val="20"/>
                <w:color w:val="auto"/>
              </w:rPr>
              <w:t>(0.2</w:t>
            </w:r>
          </w:p>
        </w:tc>
        <w:tc>
          <w:tcPr>
            <w:tcW w:w="4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7"/>
        </w:trPr>
        <w:tc>
          <w:tcPr>
            <w:tcW w:w="5160" w:type="dxa"/>
            <w:vAlign w:val="bottom"/>
            <w:tcBorders>
              <w:left w:val="single" w:sz="8" w:color="auto"/>
              <w:bottom w:val="single" w:sz="8" w:color="auto"/>
              <w:right w:val="single" w:sz="8" w:color="auto"/>
            </w:tcBorders>
          </w:tcPr>
          <w:p>
            <w:pPr>
              <w:spacing w:after="0"/>
              <w:rPr>
                <w:sz w:val="3"/>
                <w:szCs w:val="3"/>
                <w:color w:val="auto"/>
              </w:rPr>
            </w:pPr>
          </w:p>
        </w:tc>
        <w:tc>
          <w:tcPr>
            <w:tcW w:w="160" w:type="dxa"/>
            <w:vAlign w:val="bottom"/>
            <w:tcBorders>
              <w:bottom w:val="single" w:sz="8" w:color="00000A"/>
              <w:right w:val="single" w:sz="8" w:color="00000A"/>
            </w:tcBorders>
          </w:tcPr>
          <w:p>
            <w:pPr>
              <w:spacing w:after="0"/>
              <w:rPr>
                <w:sz w:val="3"/>
                <w:szCs w:val="3"/>
                <w:color w:val="auto"/>
              </w:rPr>
            </w:pPr>
          </w:p>
        </w:tc>
        <w:tc>
          <w:tcPr>
            <w:tcW w:w="1520" w:type="dxa"/>
            <w:vAlign w:val="bottom"/>
            <w:tcBorders>
              <w:bottom w:val="single" w:sz="8" w:color="00000A"/>
              <w:right w:val="single" w:sz="8" w:color="00000A"/>
            </w:tcBorders>
          </w:tcPr>
          <w:p>
            <w:pPr>
              <w:spacing w:after="0"/>
              <w:rPr>
                <w:sz w:val="3"/>
                <w:szCs w:val="3"/>
                <w:color w:val="auto"/>
              </w:rPr>
            </w:pPr>
          </w:p>
        </w:tc>
        <w:tc>
          <w:tcPr>
            <w:tcW w:w="1280" w:type="dxa"/>
            <w:vAlign w:val="bottom"/>
            <w:tcBorders>
              <w:bottom w:val="single" w:sz="8" w:color="00000A"/>
            </w:tcBorders>
          </w:tcPr>
          <w:p>
            <w:pPr>
              <w:spacing w:after="0"/>
              <w:rPr>
                <w:sz w:val="3"/>
                <w:szCs w:val="3"/>
                <w:color w:val="auto"/>
              </w:rPr>
            </w:pPr>
          </w:p>
        </w:tc>
        <w:tc>
          <w:tcPr>
            <w:tcW w:w="420" w:type="dxa"/>
            <w:vAlign w:val="bottom"/>
            <w:tcBorders>
              <w:bottom w:val="single" w:sz="8" w:color="00000A"/>
              <w:right w:val="single" w:sz="8" w:color="00000A"/>
            </w:tcBorders>
          </w:tcPr>
          <w:p>
            <w:pPr>
              <w:spacing w:after="0"/>
              <w:rPr>
                <w:sz w:val="3"/>
                <w:szCs w:val="3"/>
                <w:color w:val="auto"/>
              </w:rPr>
            </w:pPr>
          </w:p>
        </w:tc>
        <w:tc>
          <w:tcPr>
            <w:tcW w:w="1160" w:type="dxa"/>
            <w:vAlign w:val="bottom"/>
            <w:tcBorders>
              <w:bottom w:val="single" w:sz="8" w:color="00000A"/>
            </w:tcBorders>
          </w:tcPr>
          <w:p>
            <w:pPr>
              <w:spacing w:after="0"/>
              <w:rPr>
                <w:sz w:val="3"/>
                <w:szCs w:val="3"/>
                <w:color w:val="auto"/>
              </w:rPr>
            </w:pPr>
          </w:p>
        </w:tc>
        <w:tc>
          <w:tcPr>
            <w:tcW w:w="400" w:type="dxa"/>
            <w:vAlign w:val="bottom"/>
            <w:tcBorders>
              <w:bottom w:val="single" w:sz="8" w:color="00000A"/>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5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Cardiac Rhythm Management</w:t>
            </w:r>
          </w:p>
        </w:tc>
        <w:tc>
          <w:tcPr>
            <w:tcW w:w="160" w:type="dxa"/>
            <w:vAlign w:val="bottom"/>
            <w:tcBorders>
              <w:right w:val="single" w:sz="8" w:color="00000A"/>
            </w:tcBorders>
          </w:tcPr>
          <w:p>
            <w:pPr>
              <w:spacing w:after="0"/>
              <w:rPr>
                <w:sz w:val="22"/>
                <w:szCs w:val="22"/>
                <w:color w:val="auto"/>
              </w:rPr>
            </w:pPr>
          </w:p>
        </w:tc>
        <w:tc>
          <w:tcPr>
            <w:tcW w:w="1520" w:type="dxa"/>
            <w:vAlign w:val="bottom"/>
            <w:tcBorders>
              <w:right w:val="single" w:sz="8" w:color="00000A"/>
            </w:tcBorders>
          </w:tcPr>
          <w:p>
            <w:pPr>
              <w:jc w:val="right"/>
              <w:ind w:right="44"/>
              <w:spacing w:after="0"/>
              <w:rPr>
                <w:sz w:val="20"/>
                <w:szCs w:val="20"/>
                <w:color w:val="auto"/>
              </w:rPr>
            </w:pPr>
            <w:r>
              <w:rPr>
                <w:rFonts w:ascii="Arial" w:cs="Arial" w:eastAsia="Arial" w:hAnsi="Arial"/>
                <w:sz w:val="20"/>
                <w:szCs w:val="20"/>
                <w:color w:val="auto"/>
              </w:rPr>
              <w:t>69.6</w:t>
            </w:r>
          </w:p>
        </w:tc>
        <w:tc>
          <w:tcPr>
            <w:tcW w:w="1280" w:type="dxa"/>
            <w:vAlign w:val="bottom"/>
          </w:tcPr>
          <w:p>
            <w:pPr>
              <w:jc w:val="right"/>
              <w:ind w:right="4"/>
              <w:spacing w:after="0"/>
              <w:rPr>
                <w:sz w:val="20"/>
                <w:szCs w:val="20"/>
                <w:color w:val="auto"/>
              </w:rPr>
            </w:pPr>
            <w:r>
              <w:rPr>
                <w:rFonts w:ascii="Arial" w:cs="Arial" w:eastAsia="Arial" w:hAnsi="Arial"/>
                <w:sz w:val="20"/>
                <w:szCs w:val="20"/>
                <w:color w:val="auto"/>
              </w:rPr>
              <w:t>(5.8</w:t>
            </w:r>
          </w:p>
        </w:tc>
        <w:tc>
          <w:tcPr>
            <w:tcW w:w="4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5"/>
              <w:spacing w:after="0"/>
              <w:rPr>
                <w:sz w:val="20"/>
                <w:szCs w:val="20"/>
                <w:color w:val="auto"/>
              </w:rPr>
            </w:pPr>
            <w:r>
              <w:rPr>
                <w:rFonts w:ascii="Arial" w:cs="Arial" w:eastAsia="Arial" w:hAnsi="Arial"/>
                <w:sz w:val="20"/>
                <w:szCs w:val="20"/>
                <w:color w:val="auto"/>
              </w:rPr>
              <w:t>(3.6</w:t>
            </w:r>
          </w:p>
        </w:tc>
        <w:tc>
          <w:tcPr>
            <w:tcW w:w="4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7"/>
        </w:trPr>
        <w:tc>
          <w:tcPr>
            <w:tcW w:w="5160" w:type="dxa"/>
            <w:vAlign w:val="bottom"/>
            <w:tcBorders>
              <w:left w:val="single" w:sz="8" w:color="auto"/>
              <w:bottom w:val="single" w:sz="8" w:color="auto"/>
              <w:right w:val="single" w:sz="8" w:color="auto"/>
            </w:tcBorders>
          </w:tcPr>
          <w:p>
            <w:pPr>
              <w:spacing w:after="0"/>
              <w:rPr>
                <w:sz w:val="3"/>
                <w:szCs w:val="3"/>
                <w:color w:val="auto"/>
              </w:rPr>
            </w:pPr>
          </w:p>
        </w:tc>
        <w:tc>
          <w:tcPr>
            <w:tcW w:w="160" w:type="dxa"/>
            <w:vAlign w:val="bottom"/>
            <w:tcBorders>
              <w:bottom w:val="single" w:sz="8" w:color="00000A"/>
              <w:right w:val="single" w:sz="8" w:color="00000A"/>
            </w:tcBorders>
          </w:tcPr>
          <w:p>
            <w:pPr>
              <w:spacing w:after="0"/>
              <w:rPr>
                <w:sz w:val="3"/>
                <w:szCs w:val="3"/>
                <w:color w:val="auto"/>
              </w:rPr>
            </w:pPr>
          </w:p>
        </w:tc>
        <w:tc>
          <w:tcPr>
            <w:tcW w:w="1520" w:type="dxa"/>
            <w:vAlign w:val="bottom"/>
            <w:tcBorders>
              <w:bottom w:val="single" w:sz="8" w:color="00000A"/>
              <w:right w:val="single" w:sz="8" w:color="00000A"/>
            </w:tcBorders>
          </w:tcPr>
          <w:p>
            <w:pPr>
              <w:spacing w:after="0"/>
              <w:rPr>
                <w:sz w:val="3"/>
                <w:szCs w:val="3"/>
                <w:color w:val="auto"/>
              </w:rPr>
            </w:pPr>
          </w:p>
        </w:tc>
        <w:tc>
          <w:tcPr>
            <w:tcW w:w="1280" w:type="dxa"/>
            <w:vAlign w:val="bottom"/>
            <w:tcBorders>
              <w:bottom w:val="single" w:sz="8" w:color="00000A"/>
            </w:tcBorders>
          </w:tcPr>
          <w:p>
            <w:pPr>
              <w:spacing w:after="0"/>
              <w:rPr>
                <w:sz w:val="3"/>
                <w:szCs w:val="3"/>
                <w:color w:val="auto"/>
              </w:rPr>
            </w:pPr>
          </w:p>
        </w:tc>
        <w:tc>
          <w:tcPr>
            <w:tcW w:w="420" w:type="dxa"/>
            <w:vAlign w:val="bottom"/>
            <w:tcBorders>
              <w:bottom w:val="single" w:sz="8" w:color="00000A"/>
              <w:right w:val="single" w:sz="8" w:color="00000A"/>
            </w:tcBorders>
          </w:tcPr>
          <w:p>
            <w:pPr>
              <w:spacing w:after="0"/>
              <w:rPr>
                <w:sz w:val="3"/>
                <w:szCs w:val="3"/>
                <w:color w:val="auto"/>
              </w:rPr>
            </w:pPr>
          </w:p>
        </w:tc>
        <w:tc>
          <w:tcPr>
            <w:tcW w:w="1160" w:type="dxa"/>
            <w:vAlign w:val="bottom"/>
            <w:tcBorders>
              <w:bottom w:val="single" w:sz="8" w:color="00000A"/>
            </w:tcBorders>
          </w:tcPr>
          <w:p>
            <w:pPr>
              <w:spacing w:after="0"/>
              <w:rPr>
                <w:sz w:val="3"/>
                <w:szCs w:val="3"/>
                <w:color w:val="auto"/>
              </w:rPr>
            </w:pPr>
          </w:p>
        </w:tc>
        <w:tc>
          <w:tcPr>
            <w:tcW w:w="400" w:type="dxa"/>
            <w:vAlign w:val="bottom"/>
            <w:tcBorders>
              <w:bottom w:val="single" w:sz="8" w:color="00000A"/>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5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Neuromodulation</w:t>
            </w:r>
          </w:p>
        </w:tc>
        <w:tc>
          <w:tcPr>
            <w:tcW w:w="160" w:type="dxa"/>
            <w:vAlign w:val="bottom"/>
            <w:tcBorders>
              <w:right w:val="single" w:sz="8" w:color="00000A"/>
            </w:tcBorders>
          </w:tcPr>
          <w:p>
            <w:pPr>
              <w:spacing w:after="0"/>
              <w:rPr>
                <w:sz w:val="22"/>
                <w:szCs w:val="22"/>
                <w:color w:val="auto"/>
              </w:rPr>
            </w:pPr>
          </w:p>
        </w:tc>
        <w:tc>
          <w:tcPr>
            <w:tcW w:w="1520" w:type="dxa"/>
            <w:vAlign w:val="bottom"/>
            <w:tcBorders>
              <w:right w:val="single" w:sz="8" w:color="00000A"/>
            </w:tcBorders>
          </w:tcPr>
          <w:p>
            <w:pPr>
              <w:jc w:val="right"/>
              <w:ind w:right="44"/>
              <w:spacing w:after="0"/>
              <w:rPr>
                <w:sz w:val="20"/>
                <w:szCs w:val="20"/>
                <w:color w:val="auto"/>
              </w:rPr>
            </w:pPr>
            <w:r>
              <w:rPr>
                <w:rFonts w:ascii="Arial" w:cs="Arial" w:eastAsia="Arial" w:hAnsi="Arial"/>
                <w:sz w:val="20"/>
                <w:szCs w:val="20"/>
                <w:color w:val="auto"/>
              </w:rPr>
              <w:t>90.0</w:t>
            </w:r>
          </w:p>
        </w:tc>
        <w:tc>
          <w:tcPr>
            <w:tcW w:w="1280" w:type="dxa"/>
            <w:vAlign w:val="bottom"/>
          </w:tcPr>
          <w:p>
            <w:pPr>
              <w:jc w:val="right"/>
              <w:ind w:right="4"/>
              <w:spacing w:after="0"/>
              <w:rPr>
                <w:sz w:val="20"/>
                <w:szCs w:val="20"/>
                <w:color w:val="auto"/>
              </w:rPr>
            </w:pPr>
            <w:r>
              <w:rPr>
                <w:rFonts w:ascii="Arial" w:cs="Arial" w:eastAsia="Arial" w:hAnsi="Arial"/>
                <w:sz w:val="20"/>
                <w:szCs w:val="20"/>
                <w:color w:val="auto"/>
              </w:rPr>
              <w:t>7.7</w:t>
            </w:r>
          </w:p>
        </w:tc>
        <w:tc>
          <w:tcPr>
            <w:tcW w:w="4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5"/>
              <w:spacing w:after="0"/>
              <w:rPr>
                <w:sz w:val="20"/>
                <w:szCs w:val="20"/>
                <w:color w:val="auto"/>
              </w:rPr>
            </w:pPr>
            <w:r>
              <w:rPr>
                <w:rFonts w:ascii="Arial" w:cs="Arial" w:eastAsia="Arial" w:hAnsi="Arial"/>
                <w:sz w:val="20"/>
                <w:szCs w:val="20"/>
                <w:color w:val="auto"/>
              </w:rPr>
              <w:t>8.3</w:t>
            </w:r>
          </w:p>
        </w:tc>
        <w:tc>
          <w:tcPr>
            <w:tcW w:w="4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7"/>
        </w:trPr>
        <w:tc>
          <w:tcPr>
            <w:tcW w:w="5160" w:type="dxa"/>
            <w:vAlign w:val="bottom"/>
            <w:tcBorders>
              <w:left w:val="single" w:sz="8" w:color="auto"/>
              <w:bottom w:val="single" w:sz="8" w:color="auto"/>
              <w:right w:val="single" w:sz="8" w:color="auto"/>
            </w:tcBorders>
          </w:tcPr>
          <w:p>
            <w:pPr>
              <w:spacing w:after="0"/>
              <w:rPr>
                <w:sz w:val="3"/>
                <w:szCs w:val="3"/>
                <w:color w:val="auto"/>
              </w:rPr>
            </w:pPr>
          </w:p>
        </w:tc>
        <w:tc>
          <w:tcPr>
            <w:tcW w:w="160" w:type="dxa"/>
            <w:vAlign w:val="bottom"/>
            <w:tcBorders>
              <w:bottom w:val="single" w:sz="8" w:color="00000A"/>
              <w:right w:val="single" w:sz="8" w:color="00000A"/>
            </w:tcBorders>
          </w:tcPr>
          <w:p>
            <w:pPr>
              <w:spacing w:after="0"/>
              <w:rPr>
                <w:sz w:val="3"/>
                <w:szCs w:val="3"/>
                <w:color w:val="auto"/>
              </w:rPr>
            </w:pPr>
          </w:p>
        </w:tc>
        <w:tc>
          <w:tcPr>
            <w:tcW w:w="1520" w:type="dxa"/>
            <w:vAlign w:val="bottom"/>
            <w:tcBorders>
              <w:bottom w:val="single" w:sz="8" w:color="00000A"/>
              <w:right w:val="single" w:sz="8" w:color="00000A"/>
            </w:tcBorders>
          </w:tcPr>
          <w:p>
            <w:pPr>
              <w:spacing w:after="0"/>
              <w:rPr>
                <w:sz w:val="3"/>
                <w:szCs w:val="3"/>
                <w:color w:val="auto"/>
              </w:rPr>
            </w:pPr>
          </w:p>
        </w:tc>
        <w:tc>
          <w:tcPr>
            <w:tcW w:w="1280" w:type="dxa"/>
            <w:vAlign w:val="bottom"/>
            <w:tcBorders>
              <w:bottom w:val="single" w:sz="8" w:color="00000A"/>
            </w:tcBorders>
          </w:tcPr>
          <w:p>
            <w:pPr>
              <w:spacing w:after="0"/>
              <w:rPr>
                <w:sz w:val="3"/>
                <w:szCs w:val="3"/>
                <w:color w:val="auto"/>
              </w:rPr>
            </w:pPr>
          </w:p>
        </w:tc>
        <w:tc>
          <w:tcPr>
            <w:tcW w:w="420" w:type="dxa"/>
            <w:vAlign w:val="bottom"/>
            <w:tcBorders>
              <w:bottom w:val="single" w:sz="8" w:color="00000A"/>
              <w:right w:val="single" w:sz="8" w:color="00000A"/>
            </w:tcBorders>
          </w:tcPr>
          <w:p>
            <w:pPr>
              <w:spacing w:after="0"/>
              <w:rPr>
                <w:sz w:val="3"/>
                <w:szCs w:val="3"/>
                <w:color w:val="auto"/>
              </w:rPr>
            </w:pPr>
          </w:p>
        </w:tc>
        <w:tc>
          <w:tcPr>
            <w:tcW w:w="1160" w:type="dxa"/>
            <w:vAlign w:val="bottom"/>
            <w:tcBorders>
              <w:bottom w:val="single" w:sz="8" w:color="00000A"/>
            </w:tcBorders>
          </w:tcPr>
          <w:p>
            <w:pPr>
              <w:spacing w:after="0"/>
              <w:rPr>
                <w:sz w:val="3"/>
                <w:szCs w:val="3"/>
                <w:color w:val="auto"/>
              </w:rPr>
            </w:pPr>
          </w:p>
        </w:tc>
        <w:tc>
          <w:tcPr>
            <w:tcW w:w="400" w:type="dxa"/>
            <w:vAlign w:val="bottom"/>
            <w:tcBorders>
              <w:bottom w:val="single" w:sz="8" w:color="00000A"/>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5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Other</w:t>
            </w:r>
          </w:p>
        </w:tc>
        <w:tc>
          <w:tcPr>
            <w:tcW w:w="160" w:type="dxa"/>
            <w:vAlign w:val="bottom"/>
            <w:tcBorders>
              <w:right w:val="single" w:sz="8" w:color="00000A"/>
            </w:tcBorders>
          </w:tcPr>
          <w:p>
            <w:pPr>
              <w:spacing w:after="0"/>
              <w:rPr>
                <w:sz w:val="22"/>
                <w:szCs w:val="22"/>
                <w:color w:val="auto"/>
              </w:rPr>
            </w:pPr>
          </w:p>
        </w:tc>
        <w:tc>
          <w:tcPr>
            <w:tcW w:w="1520" w:type="dxa"/>
            <w:vAlign w:val="bottom"/>
            <w:tcBorders>
              <w:right w:val="single" w:sz="8" w:color="00000A"/>
            </w:tcBorders>
          </w:tcPr>
          <w:p>
            <w:pPr>
              <w:jc w:val="right"/>
              <w:ind w:right="44"/>
              <w:spacing w:after="0"/>
              <w:rPr>
                <w:sz w:val="20"/>
                <w:szCs w:val="20"/>
                <w:color w:val="auto"/>
              </w:rPr>
            </w:pPr>
            <w:r>
              <w:rPr>
                <w:rFonts w:ascii="Arial" w:cs="Arial" w:eastAsia="Arial" w:hAnsi="Arial"/>
                <w:sz w:val="20"/>
                <w:szCs w:val="20"/>
                <w:color w:val="auto"/>
              </w:rPr>
              <w:t>0.4</w:t>
            </w:r>
          </w:p>
        </w:tc>
        <w:tc>
          <w:tcPr>
            <w:tcW w:w="1280" w:type="dxa"/>
            <w:vAlign w:val="bottom"/>
          </w:tcPr>
          <w:p>
            <w:pPr>
              <w:jc w:val="right"/>
              <w:ind w:right="4"/>
              <w:spacing w:after="0"/>
              <w:rPr>
                <w:sz w:val="20"/>
                <w:szCs w:val="20"/>
                <w:color w:val="auto"/>
              </w:rPr>
            </w:pPr>
            <w:r>
              <w:rPr>
                <w:rFonts w:ascii="Arial" w:cs="Arial" w:eastAsia="Arial" w:hAnsi="Arial"/>
                <w:sz w:val="20"/>
                <w:szCs w:val="20"/>
                <w:color w:val="auto"/>
              </w:rPr>
              <w:t>—</w:t>
            </w:r>
          </w:p>
        </w:tc>
        <w:tc>
          <w:tcPr>
            <w:tcW w:w="4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5"/>
              <w:spacing w:after="0"/>
              <w:rPr>
                <w:sz w:val="20"/>
                <w:szCs w:val="20"/>
                <w:color w:val="auto"/>
              </w:rPr>
            </w:pPr>
            <w:r>
              <w:rPr>
                <w:rFonts w:ascii="Arial" w:cs="Arial" w:eastAsia="Arial" w:hAnsi="Arial"/>
                <w:sz w:val="20"/>
                <w:szCs w:val="20"/>
                <w:color w:val="auto"/>
              </w:rPr>
              <w:t>—</w:t>
            </w:r>
          </w:p>
        </w:tc>
        <w:tc>
          <w:tcPr>
            <w:tcW w:w="4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7"/>
        </w:trPr>
        <w:tc>
          <w:tcPr>
            <w:tcW w:w="5160" w:type="dxa"/>
            <w:vAlign w:val="bottom"/>
            <w:tcBorders>
              <w:left w:val="single" w:sz="8" w:color="auto"/>
              <w:bottom w:val="single" w:sz="8" w:color="auto"/>
              <w:right w:val="single" w:sz="8" w:color="auto"/>
            </w:tcBorders>
          </w:tcPr>
          <w:p>
            <w:pPr>
              <w:spacing w:after="0"/>
              <w:rPr>
                <w:sz w:val="3"/>
                <w:szCs w:val="3"/>
                <w:color w:val="auto"/>
              </w:rPr>
            </w:pPr>
          </w:p>
        </w:tc>
        <w:tc>
          <w:tcPr>
            <w:tcW w:w="160" w:type="dxa"/>
            <w:vAlign w:val="bottom"/>
            <w:tcBorders>
              <w:bottom w:val="single" w:sz="8" w:color="00000A"/>
              <w:right w:val="single" w:sz="8" w:color="00000A"/>
            </w:tcBorders>
          </w:tcPr>
          <w:p>
            <w:pPr>
              <w:spacing w:after="0"/>
              <w:rPr>
                <w:sz w:val="3"/>
                <w:szCs w:val="3"/>
                <w:color w:val="auto"/>
              </w:rPr>
            </w:pPr>
          </w:p>
        </w:tc>
        <w:tc>
          <w:tcPr>
            <w:tcW w:w="1520" w:type="dxa"/>
            <w:vAlign w:val="bottom"/>
            <w:tcBorders>
              <w:bottom w:val="single" w:sz="8" w:color="00000A"/>
              <w:right w:val="single" w:sz="8" w:color="00000A"/>
            </w:tcBorders>
          </w:tcPr>
          <w:p>
            <w:pPr>
              <w:spacing w:after="0"/>
              <w:rPr>
                <w:sz w:val="3"/>
                <w:szCs w:val="3"/>
                <w:color w:val="auto"/>
              </w:rPr>
            </w:pPr>
          </w:p>
        </w:tc>
        <w:tc>
          <w:tcPr>
            <w:tcW w:w="1280" w:type="dxa"/>
            <w:vAlign w:val="bottom"/>
            <w:tcBorders>
              <w:bottom w:val="single" w:sz="8" w:color="00000A"/>
            </w:tcBorders>
          </w:tcPr>
          <w:p>
            <w:pPr>
              <w:spacing w:after="0"/>
              <w:rPr>
                <w:sz w:val="3"/>
                <w:szCs w:val="3"/>
                <w:color w:val="auto"/>
              </w:rPr>
            </w:pPr>
          </w:p>
        </w:tc>
        <w:tc>
          <w:tcPr>
            <w:tcW w:w="420" w:type="dxa"/>
            <w:vAlign w:val="bottom"/>
            <w:tcBorders>
              <w:bottom w:val="single" w:sz="8" w:color="00000A"/>
              <w:right w:val="single" w:sz="8" w:color="00000A"/>
            </w:tcBorders>
          </w:tcPr>
          <w:p>
            <w:pPr>
              <w:spacing w:after="0"/>
              <w:rPr>
                <w:sz w:val="3"/>
                <w:szCs w:val="3"/>
                <w:color w:val="auto"/>
              </w:rPr>
            </w:pPr>
          </w:p>
        </w:tc>
        <w:tc>
          <w:tcPr>
            <w:tcW w:w="1160" w:type="dxa"/>
            <w:vAlign w:val="bottom"/>
            <w:tcBorders>
              <w:bottom w:val="single" w:sz="8" w:color="00000A"/>
            </w:tcBorders>
          </w:tcPr>
          <w:p>
            <w:pPr>
              <w:spacing w:after="0"/>
              <w:rPr>
                <w:sz w:val="3"/>
                <w:szCs w:val="3"/>
                <w:color w:val="auto"/>
              </w:rPr>
            </w:pPr>
          </w:p>
        </w:tc>
        <w:tc>
          <w:tcPr>
            <w:tcW w:w="400" w:type="dxa"/>
            <w:vAlign w:val="bottom"/>
            <w:tcBorders>
              <w:bottom w:val="single" w:sz="8" w:color="00000A"/>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5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Total Net Sales</w:t>
            </w:r>
          </w:p>
        </w:tc>
        <w:tc>
          <w:tcPr>
            <w:tcW w:w="160" w:type="dxa"/>
            <w:vAlign w:val="bottom"/>
            <w:tcBorders>
              <w:right w:val="single" w:sz="8" w:color="00000A"/>
            </w:tcBorders>
          </w:tcPr>
          <w:p>
            <w:pPr>
              <w:spacing w:after="0"/>
              <w:rPr>
                <w:sz w:val="24"/>
                <w:szCs w:val="24"/>
                <w:color w:val="auto"/>
              </w:rPr>
            </w:pPr>
          </w:p>
        </w:tc>
        <w:tc>
          <w:tcPr>
            <w:tcW w:w="1520" w:type="dxa"/>
            <w:vAlign w:val="bottom"/>
            <w:tcBorders>
              <w:right w:val="single" w:sz="8" w:color="00000A"/>
            </w:tcBorders>
          </w:tcPr>
          <w:p>
            <w:pPr>
              <w:jc w:val="right"/>
              <w:ind w:right="44"/>
              <w:spacing w:after="0"/>
              <w:rPr>
                <w:sz w:val="20"/>
                <w:szCs w:val="20"/>
                <w:color w:val="auto"/>
              </w:rPr>
            </w:pPr>
            <w:r>
              <w:rPr>
                <w:rFonts w:ascii="Arial" w:cs="Arial" w:eastAsia="Arial" w:hAnsi="Arial"/>
                <w:sz w:val="20"/>
                <w:szCs w:val="20"/>
                <w:color w:val="auto"/>
              </w:rPr>
              <w:t>$321.0</w:t>
            </w:r>
          </w:p>
        </w:tc>
        <w:tc>
          <w:tcPr>
            <w:tcW w:w="1280" w:type="dxa"/>
            <w:vAlign w:val="bottom"/>
          </w:tcPr>
          <w:p>
            <w:pPr>
              <w:jc w:val="right"/>
              <w:ind w:right="4"/>
              <w:spacing w:after="0"/>
              <w:rPr>
                <w:sz w:val="20"/>
                <w:szCs w:val="20"/>
                <w:color w:val="auto"/>
              </w:rPr>
            </w:pPr>
            <w:r>
              <w:rPr>
                <w:rFonts w:ascii="Arial" w:cs="Arial" w:eastAsia="Arial" w:hAnsi="Arial"/>
                <w:sz w:val="20"/>
                <w:szCs w:val="20"/>
                <w:color w:val="auto"/>
              </w:rPr>
              <w:t>0.1</w:t>
            </w:r>
          </w:p>
        </w:tc>
        <w:tc>
          <w:tcPr>
            <w:tcW w:w="4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5"/>
              <w:spacing w:after="0"/>
              <w:rPr>
                <w:sz w:val="20"/>
                <w:szCs w:val="20"/>
                <w:color w:val="auto"/>
              </w:rPr>
            </w:pPr>
            <w:r>
              <w:rPr>
                <w:rFonts w:ascii="Arial" w:cs="Arial" w:eastAsia="Arial" w:hAnsi="Arial"/>
                <w:sz w:val="20"/>
                <w:szCs w:val="20"/>
                <w:color w:val="auto"/>
              </w:rPr>
              <w:t>1.4</w:t>
            </w:r>
          </w:p>
        </w:tc>
        <w:tc>
          <w:tcPr>
            <w:tcW w:w="4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
        </w:trPr>
        <w:tc>
          <w:tcPr>
            <w:tcW w:w="5160" w:type="dxa"/>
            <w:vAlign w:val="bottom"/>
            <w:tcBorders>
              <w:left w:val="single" w:sz="8" w:color="auto"/>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1520" w:type="dxa"/>
            <w:vAlign w:val="bottom"/>
            <w:tcBorders>
              <w:right w:val="single" w:sz="8" w:color="auto"/>
            </w:tcBorders>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Numbers may not add up precisely due to rounding. Constant currency % change is considered a non-GAAP metric.</w:t>
      </w:r>
    </w:p>
    <w:p>
      <w:pPr>
        <w:spacing w:after="0" w:line="200" w:lineRule="exact"/>
        <w:rPr>
          <w:sz w:val="20"/>
          <w:szCs w:val="20"/>
          <w:color w:val="auto"/>
        </w:rPr>
      </w:pPr>
    </w:p>
    <w:p>
      <w:pPr>
        <w:spacing w:after="0" w:line="259" w:lineRule="exact"/>
        <w:rPr>
          <w:sz w:val="20"/>
          <w:szCs w:val="20"/>
          <w:color w:val="auto"/>
        </w:rPr>
      </w:pPr>
    </w:p>
    <w:p>
      <w:pPr>
        <w:jc w:val="both"/>
        <w:spacing w:after="0" w:line="440" w:lineRule="auto"/>
        <w:rPr>
          <w:sz w:val="20"/>
          <w:szCs w:val="20"/>
          <w:color w:val="auto"/>
        </w:rPr>
      </w:pPr>
      <w:r>
        <w:rPr>
          <w:rFonts w:ascii="Arial" w:cs="Arial" w:eastAsia="Arial" w:hAnsi="Arial"/>
          <w:sz w:val="20"/>
          <w:szCs w:val="20"/>
          <w:color w:val="auto"/>
        </w:rPr>
        <w:t>For discussion purposes, all sales growth rates below reflect comparable, constant currency growth. Constant currency growth accounts for the impact from fluctuations in the various currencies in which the Company operates as compared to reported growth.</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Cardiac Surgery</w:t>
      </w:r>
    </w:p>
    <w:p>
      <w:pPr>
        <w:spacing w:after="0" w:line="213" w:lineRule="exact"/>
        <w:rPr>
          <w:sz w:val="20"/>
          <w:szCs w:val="20"/>
          <w:color w:val="auto"/>
        </w:rPr>
      </w:pPr>
    </w:p>
    <w:p>
      <w:pPr>
        <w:jc w:val="both"/>
        <w:ind w:right="20"/>
        <w:spacing w:after="0" w:line="444" w:lineRule="auto"/>
        <w:rPr>
          <w:sz w:val="20"/>
          <w:szCs w:val="20"/>
          <w:color w:val="auto"/>
        </w:rPr>
      </w:pPr>
      <w:r>
        <w:rPr>
          <w:rFonts w:ascii="Arial" w:cs="Arial" w:eastAsia="Arial" w:hAnsi="Arial"/>
          <w:sz w:val="20"/>
          <w:szCs w:val="20"/>
          <w:color w:val="auto"/>
        </w:rPr>
        <w:t>Cardiac Surgery sales, which include cardiopulmonary products and heart valves, were $159 million, representing a 0.2 percent decrease versus the comparable period in 2016.</w:t>
      </w:r>
    </w:p>
    <w:p>
      <w:pPr>
        <w:spacing w:after="0" w:line="200" w:lineRule="exact"/>
        <w:rPr>
          <w:sz w:val="20"/>
          <w:szCs w:val="20"/>
          <w:color w:val="auto"/>
        </w:rPr>
      </w:pPr>
    </w:p>
    <w:p>
      <w:pPr>
        <w:spacing w:after="0" w:line="205" w:lineRule="exact"/>
        <w:rPr>
          <w:sz w:val="20"/>
          <w:szCs w:val="20"/>
          <w:color w:val="auto"/>
        </w:rPr>
      </w:pPr>
    </w:p>
    <w:p>
      <w:pPr>
        <w:jc w:val="both"/>
        <w:spacing w:after="0" w:line="440" w:lineRule="auto"/>
        <w:rPr>
          <w:sz w:val="20"/>
          <w:szCs w:val="20"/>
          <w:color w:val="auto"/>
        </w:rPr>
      </w:pPr>
      <w:r>
        <w:rPr>
          <w:rFonts w:ascii="Arial" w:cs="Arial" w:eastAsia="Arial" w:hAnsi="Arial"/>
          <w:sz w:val="20"/>
          <w:szCs w:val="20"/>
          <w:color w:val="auto"/>
        </w:rPr>
        <w:t>Sales in cardiopulmonary products were $124 million, representing a 1.4 percent increase versus the second quarter of 2016. This was primarily due to strength in our heart-lung machines as we were able to upgrade a significant number of customers from older machines to our current S5 device.</w:t>
      </w:r>
    </w:p>
    <w:p>
      <w:pPr>
        <w:spacing w:after="0" w:line="200" w:lineRule="exact"/>
        <w:rPr>
          <w:sz w:val="20"/>
          <w:szCs w:val="20"/>
          <w:color w:val="auto"/>
        </w:rPr>
      </w:pPr>
    </w:p>
    <w:p>
      <w:pPr>
        <w:spacing w:after="0" w:line="210" w:lineRule="exact"/>
        <w:rPr>
          <w:sz w:val="20"/>
          <w:szCs w:val="20"/>
          <w:color w:val="auto"/>
        </w:rPr>
      </w:pPr>
    </w:p>
    <w:p>
      <w:pPr>
        <w:jc w:val="both"/>
        <w:spacing w:after="0" w:line="444" w:lineRule="auto"/>
        <w:rPr>
          <w:sz w:val="20"/>
          <w:szCs w:val="20"/>
          <w:color w:val="auto"/>
        </w:rPr>
      </w:pPr>
      <w:r>
        <w:rPr>
          <w:rFonts w:ascii="Arial" w:cs="Arial" w:eastAsia="Arial" w:hAnsi="Arial"/>
          <w:sz w:val="20"/>
          <w:szCs w:val="20"/>
          <w:color w:val="auto"/>
        </w:rPr>
        <w:t>Heart valve sales, including tissue and mechanical heart valves, were $34 million, a decrease of 5.7 percent compared to the same period the previous year. Growth in tissue valves, driven by demand for the Perceval®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98"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color w:val="auto"/>
        </w:rPr>
        <w:t>sutureless tissue valve in the U.S., was more than offset by softness in Europe and declines in mechanical heart valves globally.</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Cardiac Rhythm Management (CRM)</w:t>
      </w:r>
    </w:p>
    <w:p>
      <w:pPr>
        <w:spacing w:after="0" w:line="213" w:lineRule="exact"/>
        <w:rPr>
          <w:sz w:val="20"/>
          <w:szCs w:val="20"/>
          <w:color w:val="auto"/>
        </w:rPr>
      </w:pPr>
    </w:p>
    <w:p>
      <w:pPr>
        <w:jc w:val="both"/>
        <w:spacing w:after="0" w:line="387" w:lineRule="auto"/>
        <w:rPr>
          <w:sz w:val="20"/>
          <w:szCs w:val="20"/>
          <w:color w:val="auto"/>
        </w:rPr>
      </w:pPr>
      <w:r>
        <w:rPr>
          <w:rFonts w:ascii="Arial" w:cs="Arial" w:eastAsia="Arial" w:hAnsi="Arial"/>
          <w:sz w:val="20"/>
          <w:szCs w:val="20"/>
          <w:color w:val="auto"/>
        </w:rPr>
        <w:t>CRM sales for the period totaled $66 million, a decrease of 3.6 percent as compared to the second quarter of 2016. Implantable Cardiac Defibrillators (ICDs) declined in the quarter due to a difficult year-over-year comparison, as the first half of 2016 marked the initial launch roll-out of the PLATINIUM</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ICD. This was partially offset by growth for PLATINIUM</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Cardiac Resynchronization Therapy devices (CRT-Ds) in Europe and continued demand for KORA 250</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pacemakers in Japan.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Neuromodulation</w:t>
      </w:r>
    </w:p>
    <w:p>
      <w:pPr>
        <w:spacing w:after="0" w:line="213" w:lineRule="exact"/>
        <w:rPr>
          <w:sz w:val="20"/>
          <w:szCs w:val="20"/>
          <w:color w:val="auto"/>
        </w:rPr>
      </w:pPr>
    </w:p>
    <w:p>
      <w:pPr>
        <w:jc w:val="both"/>
        <w:spacing w:after="0" w:line="444" w:lineRule="auto"/>
        <w:rPr>
          <w:sz w:val="20"/>
          <w:szCs w:val="20"/>
          <w:color w:val="auto"/>
        </w:rPr>
      </w:pPr>
      <w:r>
        <w:rPr>
          <w:rFonts w:ascii="Arial" w:cs="Arial" w:eastAsia="Arial" w:hAnsi="Arial"/>
          <w:sz w:val="20"/>
          <w:szCs w:val="20"/>
          <w:color w:val="auto"/>
        </w:rPr>
        <w:t>Neuromodulation sales were $97 million in the second quarter, representing an 8.3 percent increase versus the second quarter of 2016. The AspireSR generator continued to perform well across all geographies, with strong demand and new patient growth.</w:t>
      </w: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Performance</w:t>
      </w:r>
    </w:p>
    <w:p>
      <w:pPr>
        <w:spacing w:after="0" w:line="213" w:lineRule="exact"/>
        <w:rPr>
          <w:sz w:val="20"/>
          <w:szCs w:val="20"/>
          <w:color w:val="auto"/>
        </w:rPr>
      </w:pPr>
    </w:p>
    <w:p>
      <w:pPr>
        <w:jc w:val="both"/>
        <w:spacing w:after="0" w:line="440" w:lineRule="auto"/>
        <w:rPr>
          <w:sz w:val="20"/>
          <w:szCs w:val="20"/>
          <w:color w:val="auto"/>
        </w:rPr>
      </w:pPr>
      <w:r>
        <w:rPr>
          <w:rFonts w:ascii="Arial" w:cs="Arial" w:eastAsia="Arial" w:hAnsi="Arial"/>
          <w:sz w:val="20"/>
          <w:szCs w:val="20"/>
          <w:color w:val="auto"/>
        </w:rPr>
        <w:t>On a U.S. GAAP basis, second quarter 2017 income from operations was $31 million. Adjusted income from operations for the second quarter of 2017 was $70 million, an increase of 11.9 percent as compared to the second quarter of 2016, primarily driven by favorable product mix and lower operating expenses.</w:t>
      </w: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2017 Guidance</w:t>
      </w:r>
    </w:p>
    <w:p>
      <w:pPr>
        <w:spacing w:after="0" w:line="213" w:lineRule="exact"/>
        <w:rPr>
          <w:sz w:val="20"/>
          <w:szCs w:val="20"/>
          <w:color w:val="auto"/>
        </w:rPr>
      </w:pPr>
    </w:p>
    <w:p>
      <w:pPr>
        <w:jc w:val="both"/>
        <w:spacing w:after="0" w:line="444" w:lineRule="auto"/>
        <w:rPr>
          <w:sz w:val="20"/>
          <w:szCs w:val="20"/>
          <w:color w:val="auto"/>
        </w:rPr>
      </w:pPr>
      <w:r>
        <w:rPr>
          <w:rFonts w:ascii="Arial" w:cs="Arial" w:eastAsia="Arial" w:hAnsi="Arial"/>
          <w:sz w:val="20"/>
          <w:szCs w:val="20"/>
          <w:color w:val="auto"/>
        </w:rPr>
        <w:t>On May 2, 2017 LivaNova announced the acquisition of Caisson Interventional, LLC (Caisson), in support of LivaNova’s strategic growth initiatives. As a result, certain guidance for full-year 2017 was revised at that time.</w:t>
      </w:r>
    </w:p>
    <w:p>
      <w:pPr>
        <w:spacing w:after="0" w:line="200" w:lineRule="exact"/>
        <w:rPr>
          <w:sz w:val="20"/>
          <w:szCs w:val="20"/>
          <w:color w:val="auto"/>
        </w:rPr>
      </w:pPr>
    </w:p>
    <w:p>
      <w:pPr>
        <w:spacing w:after="0" w:line="205" w:lineRule="exact"/>
        <w:rPr>
          <w:sz w:val="20"/>
          <w:szCs w:val="20"/>
          <w:color w:val="auto"/>
        </w:rPr>
      </w:pPr>
    </w:p>
    <w:p>
      <w:pPr>
        <w:jc w:val="both"/>
        <w:spacing w:after="0" w:line="439" w:lineRule="auto"/>
        <w:rPr>
          <w:sz w:val="20"/>
          <w:szCs w:val="20"/>
          <w:color w:val="auto"/>
        </w:rPr>
      </w:pPr>
      <w:r>
        <w:rPr>
          <w:rFonts w:ascii="Arial" w:cs="Arial" w:eastAsia="Arial" w:hAnsi="Arial"/>
          <w:sz w:val="20"/>
          <w:szCs w:val="20"/>
          <w:color w:val="auto"/>
        </w:rPr>
        <w:t>LivaNova reiterates that worldwide net sales for full-year 2017 will remain between 1 and 3 percent growth on a constant-currency basis, and adjusted diluted earnings per share for 2017 will remain in the range of $3.10 to $3.30. The Company reiterates that adjusted cash flow from operations, excluding integration, restructuring and 3T remediation payments, will remain in the range of $170 to $190 million in 2017.</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76" w:right="2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u w:val="single" w:color="auto"/>
          <w:color w:val="auto"/>
        </w:rPr>
        <w:t>Webcast and Conference Call Instructions</w:t>
      </w:r>
    </w:p>
    <w:p>
      <w:pPr>
        <w:spacing w:after="0" w:line="213" w:lineRule="exact"/>
        <w:rPr>
          <w:sz w:val="20"/>
          <w:szCs w:val="20"/>
          <w:color w:val="auto"/>
        </w:rPr>
      </w:pPr>
    </w:p>
    <w:p>
      <w:pPr>
        <w:jc w:val="both"/>
        <w:spacing w:after="0" w:line="439" w:lineRule="auto"/>
        <w:rPr>
          <w:sz w:val="20"/>
          <w:szCs w:val="20"/>
          <w:color w:val="auto"/>
        </w:rPr>
      </w:pPr>
      <w:r>
        <w:rPr>
          <w:rFonts w:ascii="Arial" w:cs="Arial" w:eastAsia="Arial" w:hAnsi="Arial"/>
          <w:sz w:val="20"/>
          <w:szCs w:val="20"/>
          <w:color w:val="auto"/>
        </w:rPr>
        <w:t xml:space="preserve">The Company will host a live audio webcast for interested parties commencing at 8 a.m. Central time (9 a.m. Eastern time, 2 p.m. UK time) on Wednesday, August 9th that will be accessible through the Investor Relations section of the LivaNova corporate website at </w:t>
      </w:r>
      <w:r>
        <w:rPr>
          <w:rFonts w:ascii="Arial" w:cs="Arial" w:eastAsia="Arial" w:hAnsi="Arial"/>
          <w:sz w:val="20"/>
          <w:szCs w:val="20"/>
          <w:u w:val="single" w:color="auto"/>
          <w:color w:val="1443BF"/>
        </w:rPr>
        <w:t>www.LivaNova.com</w:t>
      </w:r>
      <w:r>
        <w:rPr>
          <w:rFonts w:ascii="Arial" w:cs="Arial" w:eastAsia="Arial" w:hAnsi="Arial"/>
          <w:sz w:val="20"/>
          <w:szCs w:val="20"/>
          <w:b w:val="1"/>
          <w:bCs w:val="1"/>
          <w:color w:val="006EBF"/>
        </w:rPr>
        <w:t>.</w:t>
      </w:r>
      <w:r>
        <w:rPr>
          <w:rFonts w:ascii="Arial" w:cs="Arial" w:eastAsia="Arial" w:hAnsi="Arial"/>
          <w:sz w:val="20"/>
          <w:szCs w:val="20"/>
          <w:color w:val="auto"/>
        </w:rPr>
        <w:t xml:space="preserve"> To listen to the conference call live by telephone, dial (844) 239-5285 (if dialing from within the U.S.) or (512) 961-6524 (if dialing from outside the U.S.). The conference ID is 43632735.</w:t>
      </w:r>
    </w:p>
    <w:p>
      <w:pPr>
        <w:spacing w:after="0" w:line="200" w:lineRule="exact"/>
        <w:rPr>
          <w:sz w:val="20"/>
          <w:szCs w:val="20"/>
          <w:color w:val="auto"/>
        </w:rPr>
      </w:pPr>
    </w:p>
    <w:p>
      <w:pPr>
        <w:spacing w:after="0" w:line="211" w:lineRule="exact"/>
        <w:rPr>
          <w:sz w:val="20"/>
          <w:szCs w:val="20"/>
          <w:color w:val="auto"/>
        </w:rPr>
      </w:pPr>
    </w:p>
    <w:p>
      <w:pPr>
        <w:jc w:val="both"/>
        <w:spacing w:after="0" w:line="444" w:lineRule="auto"/>
        <w:rPr>
          <w:sz w:val="20"/>
          <w:szCs w:val="20"/>
          <w:color w:val="auto"/>
        </w:rPr>
      </w:pPr>
      <w:r>
        <w:rPr>
          <w:rFonts w:ascii="Arial" w:cs="Arial" w:eastAsia="Arial" w:hAnsi="Arial"/>
          <w:sz w:val="20"/>
          <w:szCs w:val="20"/>
          <w:color w:val="auto"/>
        </w:rPr>
        <w:t>Within 24 hours of the webcast, a replay will be available under the "News &amp; Events / Presentations" section of the Investor Relations portion of the LivaNova website, where it will be archived and accessible for approximately 12 months.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FF5C39"/>
        </w:rPr>
        <w:t>About LivaNova</w:t>
      </w:r>
    </w:p>
    <w:p>
      <w:pPr>
        <w:spacing w:after="0" w:line="189" w:lineRule="exact"/>
        <w:rPr>
          <w:sz w:val="20"/>
          <w:szCs w:val="20"/>
          <w:color w:val="auto"/>
        </w:rPr>
      </w:pPr>
    </w:p>
    <w:p>
      <w:pPr>
        <w:jc w:val="both"/>
        <w:spacing w:after="0" w:line="438" w:lineRule="auto"/>
        <w:rPr>
          <w:sz w:val="20"/>
          <w:szCs w:val="20"/>
          <w:color w:val="auto"/>
        </w:rPr>
      </w:pPr>
      <w:r>
        <w:rPr>
          <w:rFonts w:ascii="Arial" w:cs="Arial" w:eastAsia="Arial" w:hAnsi="Arial"/>
          <w:sz w:val="20"/>
          <w:szCs w:val="20"/>
          <w:color w:val="auto"/>
        </w:rPr>
        <w:t>LivaNova PLC is a global medical technology company built on nearly five decades of experience and a relentless commitment to improve the lives of patients around the world. LivaNova’s advanced technologies and breakthrough treatments provide meaningful solutions for the benefit of patients, healthcare professionals and healthcare systems. Headquartered in London and with a presence in more than 100 countries worldwide, the company employs more than 4,500 employees. LivaNova operates as three business franchises: Cardiac Surgery, Neuromodulation and Cardiac Rhythm Management, with operating headquarters in Mirandola (Italy), Houston (U.S.A.) and Clamart (France), respectively.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FF5C39"/>
        </w:rPr>
        <w:t>Use of Non-GAAP Financial Measures</w:t>
      </w:r>
    </w:p>
    <w:p>
      <w:pPr>
        <w:spacing w:after="0" w:line="175" w:lineRule="exact"/>
        <w:rPr>
          <w:sz w:val="20"/>
          <w:szCs w:val="20"/>
          <w:color w:val="auto"/>
        </w:rPr>
      </w:pPr>
    </w:p>
    <w:p>
      <w:pPr>
        <w:jc w:val="both"/>
        <w:spacing w:after="0" w:line="424" w:lineRule="auto"/>
        <w:rPr>
          <w:sz w:val="20"/>
          <w:szCs w:val="20"/>
          <w:color w:val="auto"/>
        </w:rPr>
      </w:pPr>
      <w:r>
        <w:rPr>
          <w:rFonts w:ascii="Arial" w:cs="Arial" w:eastAsia="Arial" w:hAnsi="Arial"/>
          <w:sz w:val="20"/>
          <w:szCs w:val="20"/>
          <w:color w:val="auto"/>
        </w:rPr>
        <w:t>In this press release, management has disclosed financial measurements that present financial information not necessarily in accordance with Generally Accepted Accounting Principles (GAAP). Company management uses these measurements as aids in monitoring the Company’s ongoing financial performance from quarter to quarter and year to year on a regular basis and for benchmarking against other medical technology companies. Non-GAAP financial measures used by the Company may be calculated differently from, and therefore may not be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1165" w:right="239" w:bottom="1440" w:gutter="0" w:footer="0" w:header="0"/>
        </w:sectPr>
      </w:pPr>
    </w:p>
    <w:bookmarkStart w:id="8" w:name="page9"/>
    <w:bookmarkEnd w:id="8"/>
    <w:p>
      <w:pPr>
        <w:jc w:val="both"/>
        <w:spacing w:after="0" w:line="430" w:lineRule="auto"/>
        <w:rPr>
          <w:sz w:val="20"/>
          <w:szCs w:val="20"/>
          <w:color w:val="auto"/>
        </w:rPr>
      </w:pPr>
      <w:r>
        <w:rPr>
          <w:rFonts w:ascii="Arial" w:cs="Arial" w:eastAsia="Arial" w:hAnsi="Arial"/>
          <w:sz w:val="20"/>
          <w:szCs w:val="20"/>
          <w:color w:val="auto"/>
        </w:rPr>
        <w:t>comparable to, similarly titled measures used by other companies. These non-GAAP financial measures should be considered along with, but not as alternatives to, the operating performance measure as prescribed by GAAP.</w:t>
      </w:r>
    </w:p>
    <w:p>
      <w:pPr>
        <w:spacing w:after="0" w:line="202" w:lineRule="exact"/>
        <w:rPr>
          <w:sz w:val="20"/>
          <w:szCs w:val="20"/>
          <w:color w:val="auto"/>
        </w:rPr>
      </w:pPr>
    </w:p>
    <w:p>
      <w:pPr>
        <w:jc w:val="both"/>
        <w:spacing w:after="0" w:line="424" w:lineRule="auto"/>
        <w:rPr>
          <w:sz w:val="20"/>
          <w:szCs w:val="20"/>
          <w:color w:val="auto"/>
        </w:rPr>
      </w:pPr>
      <w:r>
        <w:rPr>
          <w:rFonts w:ascii="Arial" w:cs="Arial" w:eastAsia="Arial" w:hAnsi="Arial"/>
          <w:sz w:val="20"/>
          <w:szCs w:val="20"/>
          <w:color w:val="auto"/>
        </w:rPr>
        <w:t>Unless otherwise noted, all sales growth rates in this release reflect comparable, constant currency growth. Management believes that referring to comparable, constant currency growth is the most useful way to evaluate the sales performance of LivaNova and to compare the sales performance of current periods to prior periods on a consistent basis. Constant currency growth, a non-GAAP financial measure, measures the change in sales between current and prior year periods using average exchange rates in effect during the applicable prior year period.</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FF5C39"/>
        </w:rPr>
        <w:t>Safe Harbor Statement</w:t>
      </w:r>
    </w:p>
    <w:p>
      <w:pPr>
        <w:spacing w:after="0" w:line="175" w:lineRule="exact"/>
        <w:rPr>
          <w:sz w:val="20"/>
          <w:szCs w:val="20"/>
          <w:color w:val="auto"/>
        </w:rPr>
      </w:pPr>
    </w:p>
    <w:p>
      <w:pPr>
        <w:jc w:val="both"/>
        <w:spacing w:after="0" w:line="423" w:lineRule="auto"/>
        <w:rPr>
          <w:sz w:val="20"/>
          <w:szCs w:val="20"/>
          <w:color w:val="auto"/>
        </w:rPr>
      </w:pPr>
      <w:r>
        <w:rPr>
          <w:rFonts w:ascii="Arial" w:cs="Arial" w:eastAsia="Arial" w:hAnsi="Arial"/>
          <w:sz w:val="20"/>
          <w:szCs w:val="20"/>
          <w:color w:val="auto"/>
        </w:rPr>
        <w:t>Certain statements in this press release, other than purely historical information, are “forward-looking statements” within the meaning of the Private Securities Litigation Reform Act of 1995, Section 27A of the Securities Act and Section 21E of the Securities Exchange Act of 1934, as amended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our control, that could cause our actual results to differ materially from the forward-looking statements contained in this press release, including those described in the “Risk Factors” section of Annual Reports on Form 10-K, Quarterly Reports on Form 10-Q, Current Reports on Form 8-K, the Registration Statement on Form S-4 and other documents filed from time to time with the United States Securities and Exchange Commission by LivaNova.</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90" w:right="239" w:bottom="1440" w:gutter="0" w:footer="0" w:header="0"/>
        </w:sectPr>
      </w:pPr>
    </w:p>
    <w:bookmarkStart w:id="9" w:name="page10"/>
    <w:bookmarkEnd w:id="9"/>
    <w:p>
      <w:pPr>
        <w:jc w:val="both"/>
        <w:spacing w:after="0" w:line="424" w:lineRule="auto"/>
        <w:rPr>
          <w:sz w:val="20"/>
          <w:szCs w:val="20"/>
          <w:color w:val="auto"/>
        </w:rPr>
      </w:pPr>
      <w:r>
        <w:rPr>
          <w:rFonts w:ascii="Arial" w:cs="Arial" w:eastAsia="Arial" w:hAnsi="Arial"/>
          <w:sz w:val="20"/>
          <w:szCs w:val="20"/>
          <w:color w:val="auto"/>
        </w:rPr>
        <w:t>All information in this press release is as of the date of its release. The Company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 We caution you not to place undue reliance on any forward-looking statements, which are made only as of the date of this press release.</w:t>
      </w:r>
    </w:p>
    <w:p>
      <w:pPr>
        <w:spacing w:after="0" w:line="200" w:lineRule="exact"/>
        <w:rPr>
          <w:sz w:val="20"/>
          <w:szCs w:val="20"/>
          <w:color w:val="auto"/>
        </w:rPr>
      </w:pPr>
    </w:p>
    <w:p>
      <w:pPr>
        <w:spacing w:after="0" w:line="323"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 xml:space="preserve">For more information, please visit </w:t>
      </w:r>
      <w:r>
        <w:rPr>
          <w:rFonts w:ascii="Arial" w:cs="Arial" w:eastAsia="Arial" w:hAnsi="Arial"/>
          <w:sz w:val="20"/>
          <w:szCs w:val="20"/>
          <w:b w:val="1"/>
          <w:bCs w:val="1"/>
          <w:u w:val="single" w:color="auto"/>
          <w:color w:val="auto"/>
        </w:rPr>
        <w:t>www.livanova.com</w:t>
      </w:r>
      <w:r>
        <w:rPr>
          <w:rFonts w:ascii="Arial" w:cs="Arial" w:eastAsia="Arial" w:hAnsi="Arial"/>
          <w:sz w:val="20"/>
          <w:szCs w:val="20"/>
          <w:color w:val="auto"/>
        </w:rPr>
        <w:t>,</w:t>
      </w:r>
      <w:r>
        <w:rPr>
          <w:rFonts w:ascii="Arial" w:cs="Arial" w:eastAsia="Arial" w:hAnsi="Arial"/>
          <w:sz w:val="20"/>
          <w:szCs w:val="20"/>
          <w:b w:val="1"/>
          <w:bCs w:val="1"/>
          <w:color w:val="auto"/>
        </w:rPr>
        <w:t xml:space="preserve"> or contact:</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Investor Relations and Media</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Karen King</w:t>
      </w:r>
    </w:p>
    <w:p>
      <w:pPr>
        <w:ind w:left="260"/>
        <w:spacing w:after="0" w:line="236" w:lineRule="auto"/>
        <w:rPr>
          <w:sz w:val="20"/>
          <w:szCs w:val="20"/>
          <w:color w:val="auto"/>
        </w:rPr>
      </w:pPr>
      <w:r>
        <w:rPr>
          <w:rFonts w:ascii="Arial" w:cs="Arial" w:eastAsia="Arial" w:hAnsi="Arial"/>
          <w:sz w:val="20"/>
          <w:szCs w:val="20"/>
          <w:color w:val="auto"/>
        </w:rPr>
        <w:t>Vice President, Investor Relations &amp; Corporate Communications</w:t>
      </w:r>
    </w:p>
    <w:p>
      <w:pPr>
        <w:ind w:left="260"/>
        <w:spacing w:after="0" w:line="225" w:lineRule="auto"/>
        <w:rPr>
          <w:sz w:val="20"/>
          <w:szCs w:val="20"/>
          <w:color w:val="auto"/>
        </w:rPr>
      </w:pPr>
      <w:r>
        <w:rPr>
          <w:rFonts w:ascii="Arial" w:cs="Arial" w:eastAsia="Arial" w:hAnsi="Arial"/>
          <w:sz w:val="20"/>
          <w:szCs w:val="20"/>
          <w:color w:val="auto"/>
        </w:rPr>
        <w:t>Phone: +1 (281) 228-7262</w:t>
      </w:r>
    </w:p>
    <w:p>
      <w:pPr>
        <w:ind w:left="260"/>
        <w:spacing w:after="0" w:line="226" w:lineRule="auto"/>
        <w:rPr>
          <w:sz w:val="20"/>
          <w:szCs w:val="20"/>
          <w:color w:val="auto"/>
        </w:rPr>
      </w:pPr>
      <w:r>
        <w:rPr>
          <w:rFonts w:ascii="Arial" w:cs="Arial" w:eastAsia="Arial" w:hAnsi="Arial"/>
          <w:sz w:val="20"/>
          <w:szCs w:val="20"/>
          <w:color w:val="auto"/>
        </w:rPr>
        <w:t>Fax: +1 (281) 218-9332</w:t>
      </w:r>
    </w:p>
    <w:p>
      <w:pPr>
        <w:ind w:left="260"/>
        <w:spacing w:after="0"/>
        <w:rPr>
          <w:sz w:val="20"/>
          <w:szCs w:val="20"/>
          <w:color w:val="auto"/>
        </w:rPr>
      </w:pPr>
      <w:r>
        <w:rPr>
          <w:rFonts w:ascii="Arial" w:cs="Arial" w:eastAsia="Arial" w:hAnsi="Arial"/>
          <w:sz w:val="20"/>
          <w:szCs w:val="20"/>
          <w:color w:val="auto"/>
        </w:rPr>
        <w:t>e-mail: Corporate.Communications@LivaNova.com</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90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LIVANOVA PLC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SALES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40" w:type="dxa"/>
            <w:vAlign w:val="bottom"/>
            <w:gridSpan w:val="4"/>
          </w:tcPr>
          <w:p>
            <w:pPr>
              <w:ind w:left="820"/>
              <w:spacing w:after="0"/>
              <w:rPr>
                <w:sz w:val="20"/>
                <w:szCs w:val="20"/>
                <w:color w:val="auto"/>
              </w:rPr>
            </w:pPr>
            <w:r>
              <w:rPr>
                <w:rFonts w:ascii="Arial" w:cs="Arial" w:eastAsia="Arial" w:hAnsi="Arial"/>
                <w:sz w:val="18"/>
                <w:szCs w:val="18"/>
                <w:b w:val="1"/>
                <w:bCs w:val="1"/>
                <w:color w:val="auto"/>
              </w:rPr>
              <w:t>Three Months Ended June 30,</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3300" w:type="dxa"/>
            <w:vAlign w:val="bottom"/>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gridSpan w:val="2"/>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3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9"/>
              </w:rPr>
              <w:t>% Change at Actual</w:t>
            </w: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 Change at Constant</w:t>
            </w:r>
          </w:p>
        </w:tc>
        <w:tc>
          <w:tcPr>
            <w:tcW w:w="0" w:type="dxa"/>
            <w:vAlign w:val="bottom"/>
          </w:tcPr>
          <w:p>
            <w:pPr>
              <w:spacing w:after="0"/>
              <w:rPr>
                <w:sz w:val="1"/>
                <w:szCs w:val="1"/>
                <w:color w:val="auto"/>
              </w:rPr>
            </w:pPr>
          </w:p>
        </w:tc>
      </w:tr>
      <w:tr>
        <w:trPr>
          <w:trHeight w:val="239"/>
        </w:trPr>
        <w:tc>
          <w:tcPr>
            <w:tcW w:w="3300" w:type="dxa"/>
            <w:vAlign w:val="bottom"/>
          </w:tcPr>
          <w:p>
            <w:pPr>
              <w:spacing w:after="0"/>
              <w:rPr>
                <w:sz w:val="20"/>
                <w:szCs w:val="20"/>
                <w:color w:val="auto"/>
              </w:rPr>
            </w:pPr>
          </w:p>
        </w:tc>
        <w:tc>
          <w:tcPr>
            <w:tcW w:w="15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5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1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9"/>
              </w:rPr>
              <w:t>Currency Rates</w:t>
            </w:r>
          </w:p>
        </w:tc>
        <w:tc>
          <w:tcPr>
            <w:tcW w:w="2020" w:type="dxa"/>
            <w:vAlign w:val="bottom"/>
          </w:tcPr>
          <w:p>
            <w:pPr>
              <w:jc w:val="right"/>
              <w:ind w:right="230"/>
              <w:spacing w:after="0"/>
              <w:rPr>
                <w:sz w:val="20"/>
                <w:szCs w:val="20"/>
                <w:color w:val="auto"/>
              </w:rPr>
            </w:pPr>
            <w:r>
              <w:rPr>
                <w:rFonts w:ascii="Arial" w:cs="Arial" w:eastAsia="Arial" w:hAnsi="Arial"/>
                <w:sz w:val="18"/>
                <w:szCs w:val="18"/>
                <w:b w:val="1"/>
                <w:bCs w:val="1"/>
                <w:color w:val="auto"/>
              </w:rPr>
              <w:t>Currency Rates</w:t>
            </w:r>
          </w:p>
        </w:tc>
        <w:tc>
          <w:tcPr>
            <w:tcW w:w="0" w:type="dxa"/>
            <w:vAlign w:val="bottom"/>
          </w:tcPr>
          <w:p>
            <w:pPr>
              <w:spacing w:after="0"/>
              <w:rPr>
                <w:sz w:val="1"/>
                <w:szCs w:val="1"/>
                <w:color w:val="auto"/>
              </w:rPr>
            </w:pPr>
          </w:p>
        </w:tc>
      </w:tr>
      <w:tr>
        <w:trPr>
          <w:trHeight w:val="48"/>
        </w:trPr>
        <w:tc>
          <w:tcPr>
            <w:tcW w:w="3300" w:type="dxa"/>
            <w:vAlign w:val="bottom"/>
            <w:vMerge w:val="restart"/>
          </w:tcPr>
          <w:p>
            <w:pPr>
              <w:spacing w:after="0"/>
              <w:rPr>
                <w:sz w:val="20"/>
                <w:szCs w:val="20"/>
                <w:color w:val="auto"/>
              </w:rPr>
            </w:pPr>
            <w:r>
              <w:rPr>
                <w:rFonts w:ascii="Arial" w:cs="Arial" w:eastAsia="Arial" w:hAnsi="Arial"/>
                <w:sz w:val="18"/>
                <w:szCs w:val="18"/>
                <w:b w:val="1"/>
                <w:bCs w:val="1"/>
                <w:color w:val="auto"/>
              </w:rPr>
              <w:t>Cardio Pulmonary</w:t>
            </w:r>
          </w:p>
        </w:tc>
        <w:tc>
          <w:tcPr>
            <w:tcW w:w="15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300" w:type="dxa"/>
            <w:vAlign w:val="bottom"/>
            <w:vMerge w:val="continue"/>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300" w:type="dxa"/>
            <w:vAlign w:val="bottom"/>
          </w:tcPr>
          <w:p>
            <w:pPr>
              <w:spacing w:after="0"/>
              <w:rPr>
                <w:sz w:val="20"/>
                <w:szCs w:val="20"/>
                <w:color w:val="auto"/>
              </w:rPr>
            </w:pPr>
            <w:r>
              <w:rPr>
                <w:rFonts w:ascii="Arial" w:cs="Arial" w:eastAsia="Arial" w:hAnsi="Arial"/>
                <w:sz w:val="18"/>
                <w:szCs w:val="18"/>
                <w:color w:val="auto"/>
              </w:rPr>
              <w:t>US</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4"/>
                <w:szCs w:val="24"/>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$39.2</w:t>
            </w:r>
          </w:p>
        </w:tc>
        <w:tc>
          <w:tcPr>
            <w:tcW w:w="2140" w:type="dxa"/>
            <w:vAlign w:val="bottom"/>
            <w:gridSpan w:val="2"/>
          </w:tcPr>
          <w:p>
            <w:pPr>
              <w:jc w:val="right"/>
              <w:ind w:right="150"/>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4"/>
                <w:szCs w:val="24"/>
                <w:color w:val="auto"/>
              </w:rPr>
            </w:pPr>
          </w:p>
        </w:tc>
        <w:tc>
          <w:tcPr>
            <w:tcW w:w="2020" w:type="dxa"/>
            <w:vAlign w:val="bottom"/>
          </w:tcPr>
          <w:p>
            <w:pPr>
              <w:jc w:val="right"/>
              <w:ind w:right="130"/>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84"/>
        </w:trPr>
        <w:tc>
          <w:tcPr>
            <w:tcW w:w="3300" w:type="dxa"/>
            <w:vAlign w:val="bottom"/>
          </w:tcPr>
          <w:p>
            <w:pPr>
              <w:spacing w:after="0"/>
              <w:rPr>
                <w:sz w:val="20"/>
                <w:szCs w:val="20"/>
                <w:color w:val="auto"/>
              </w:rPr>
            </w:pPr>
            <w:r>
              <w:rPr>
                <w:rFonts w:ascii="Arial" w:cs="Arial" w:eastAsia="Arial" w:hAnsi="Arial"/>
                <w:sz w:val="18"/>
                <w:szCs w:val="18"/>
                <w:color w:val="auto"/>
              </w:rPr>
              <w:t>Europe</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4"/>
                <w:szCs w:val="24"/>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34.9</w:t>
            </w:r>
          </w:p>
        </w:tc>
        <w:tc>
          <w:tcPr>
            <w:tcW w:w="2140" w:type="dxa"/>
            <w:vAlign w:val="bottom"/>
            <w:gridSpan w:val="2"/>
          </w:tcPr>
          <w:p>
            <w:pPr>
              <w:jc w:val="right"/>
              <w:ind w:right="90"/>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24"/>
                <w:szCs w:val="24"/>
                <w:color w:val="auto"/>
              </w:rPr>
            </w:pPr>
          </w:p>
        </w:tc>
        <w:tc>
          <w:tcPr>
            <w:tcW w:w="2020" w:type="dxa"/>
            <w:vAlign w:val="bottom"/>
          </w:tcPr>
          <w:p>
            <w:pPr>
              <w:jc w:val="right"/>
              <w:ind w:right="130"/>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84"/>
        </w:trPr>
        <w:tc>
          <w:tcPr>
            <w:tcW w:w="3300" w:type="dxa"/>
            <w:vAlign w:val="bottom"/>
          </w:tcPr>
          <w:p>
            <w:pPr>
              <w:spacing w:after="0"/>
              <w:rPr>
                <w:sz w:val="20"/>
                <w:szCs w:val="20"/>
                <w:color w:val="auto"/>
              </w:rPr>
            </w:pPr>
            <w:r>
              <w:rPr>
                <w:rFonts w:ascii="Arial" w:cs="Arial" w:eastAsia="Arial" w:hAnsi="Arial"/>
                <w:sz w:val="18"/>
                <w:szCs w:val="18"/>
                <w:color w:val="auto"/>
              </w:rPr>
              <w:t>Rest of World</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4"/>
                <w:szCs w:val="24"/>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49.9</w:t>
            </w:r>
          </w:p>
        </w:tc>
        <w:tc>
          <w:tcPr>
            <w:tcW w:w="2140" w:type="dxa"/>
            <w:vAlign w:val="bottom"/>
            <w:gridSpan w:val="2"/>
          </w:tcPr>
          <w:p>
            <w:pPr>
              <w:jc w:val="right"/>
              <w:ind w:right="150"/>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4"/>
                <w:szCs w:val="24"/>
                <w:color w:val="auto"/>
              </w:rPr>
            </w:pPr>
          </w:p>
        </w:tc>
        <w:tc>
          <w:tcPr>
            <w:tcW w:w="2020" w:type="dxa"/>
            <w:vAlign w:val="bottom"/>
          </w:tcPr>
          <w:p>
            <w:pPr>
              <w:jc w:val="right"/>
              <w:ind w:right="130"/>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41"/>
        </w:trPr>
        <w:tc>
          <w:tcPr>
            <w:tcW w:w="330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140" w:type="dxa"/>
            <w:vAlign w:val="bottom"/>
            <w:gridSpan w:val="2"/>
            <w:vMerge w:val="restart"/>
          </w:tcPr>
          <w:p>
            <w:pPr>
              <w:jc w:val="right"/>
              <w:ind w:right="150"/>
              <w:spacing w:after="0"/>
              <w:rPr>
                <w:sz w:val="20"/>
                <w:szCs w:val="20"/>
                <w:color w:val="auto"/>
              </w:rPr>
            </w:pPr>
            <w:r>
              <w:rPr>
                <w:rFonts w:ascii="Arial" w:cs="Arial" w:eastAsia="Arial" w:hAnsi="Arial"/>
                <w:sz w:val="18"/>
                <w:szCs w:val="18"/>
                <w:b w:val="1"/>
                <w:bCs w:val="1"/>
                <w:color w:val="auto"/>
              </w:rPr>
              <w:t>0.1 %</w:t>
            </w:r>
          </w:p>
        </w:tc>
        <w:tc>
          <w:tcPr>
            <w:tcW w:w="100" w:type="dxa"/>
            <w:vAlign w:val="bottom"/>
          </w:tcPr>
          <w:p>
            <w:pPr>
              <w:spacing w:after="0"/>
              <w:rPr>
                <w:sz w:val="3"/>
                <w:szCs w:val="3"/>
                <w:color w:val="auto"/>
              </w:rPr>
            </w:pPr>
          </w:p>
        </w:tc>
        <w:tc>
          <w:tcPr>
            <w:tcW w:w="20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1.4 %</w:t>
            </w: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Arial" w:cs="Arial" w:eastAsia="Arial" w:hAnsi="Arial"/>
                <w:sz w:val="18"/>
                <w:szCs w:val="18"/>
                <w:color w:val="auto"/>
              </w:rPr>
              <w:t>Total</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124.1</w:t>
            </w:r>
          </w:p>
        </w:tc>
        <w:tc>
          <w:tcPr>
            <w:tcW w:w="120" w:type="dxa"/>
            <w:vAlign w:val="bottom"/>
          </w:tcPr>
          <w:p>
            <w:pPr>
              <w:spacing w:after="0"/>
              <w:rPr>
                <w:sz w:val="20"/>
                <w:szCs w:val="20"/>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124.0</w:t>
            </w:r>
          </w:p>
        </w:tc>
        <w:tc>
          <w:tcPr>
            <w:tcW w:w="21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300" w:type="dxa"/>
            <w:vAlign w:val="bottom"/>
            <w:vMerge w:val="restart"/>
          </w:tcPr>
          <w:p>
            <w:pPr>
              <w:spacing w:after="0"/>
              <w:rPr>
                <w:sz w:val="20"/>
                <w:szCs w:val="20"/>
                <w:color w:val="auto"/>
              </w:rPr>
            </w:pPr>
            <w:r>
              <w:rPr>
                <w:rFonts w:ascii="Arial" w:cs="Arial" w:eastAsia="Arial" w:hAnsi="Arial"/>
                <w:sz w:val="18"/>
                <w:szCs w:val="18"/>
                <w:b w:val="1"/>
                <w:bCs w:val="1"/>
                <w:color w:val="auto"/>
              </w:rPr>
              <w:t>Heart Valve</w:t>
            </w:r>
          </w:p>
        </w:tc>
        <w:tc>
          <w:tcPr>
            <w:tcW w:w="1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26"/>
        </w:trPr>
        <w:tc>
          <w:tcPr>
            <w:tcW w:w="330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300" w:type="dxa"/>
            <w:vAlign w:val="bottom"/>
          </w:tcPr>
          <w:p>
            <w:pPr>
              <w:spacing w:after="0"/>
              <w:rPr>
                <w:sz w:val="20"/>
                <w:szCs w:val="20"/>
                <w:color w:val="auto"/>
              </w:rPr>
            </w:pPr>
            <w:r>
              <w:rPr>
                <w:rFonts w:ascii="Arial" w:cs="Arial" w:eastAsia="Arial" w:hAnsi="Arial"/>
                <w:sz w:val="18"/>
                <w:szCs w:val="18"/>
                <w:color w:val="auto"/>
              </w:rPr>
              <w:t>US</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4"/>
                <w:szCs w:val="24"/>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7.1</w:t>
            </w:r>
          </w:p>
        </w:tc>
        <w:tc>
          <w:tcPr>
            <w:tcW w:w="2140" w:type="dxa"/>
            <w:vAlign w:val="bottom"/>
            <w:gridSpan w:val="2"/>
          </w:tcPr>
          <w:p>
            <w:pPr>
              <w:jc w:val="right"/>
              <w:ind w:right="90"/>
              <w:spacing w:after="0"/>
              <w:rPr>
                <w:sz w:val="20"/>
                <w:szCs w:val="20"/>
                <w:color w:val="auto"/>
              </w:rPr>
            </w:pPr>
            <w:r>
              <w:rPr>
                <w:rFonts w:ascii="Arial" w:cs="Arial" w:eastAsia="Arial" w:hAnsi="Arial"/>
                <w:sz w:val="18"/>
                <w:szCs w:val="18"/>
                <w:color w:val="auto"/>
              </w:rPr>
              <w:t>(12.3 %)</w:t>
            </w:r>
          </w:p>
        </w:tc>
        <w:tc>
          <w:tcPr>
            <w:tcW w:w="100" w:type="dxa"/>
            <w:vAlign w:val="bottom"/>
          </w:tcPr>
          <w:p>
            <w:pPr>
              <w:spacing w:after="0"/>
              <w:rPr>
                <w:sz w:val="24"/>
                <w:szCs w:val="24"/>
                <w:color w:val="auto"/>
              </w:rPr>
            </w:pPr>
          </w:p>
        </w:tc>
        <w:tc>
          <w:tcPr>
            <w:tcW w:w="2020" w:type="dxa"/>
            <w:vAlign w:val="bottom"/>
          </w:tcPr>
          <w:p>
            <w:pPr>
              <w:jc w:val="right"/>
              <w:ind w:right="70"/>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84"/>
        </w:trPr>
        <w:tc>
          <w:tcPr>
            <w:tcW w:w="3300" w:type="dxa"/>
            <w:vAlign w:val="bottom"/>
          </w:tcPr>
          <w:p>
            <w:pPr>
              <w:spacing w:after="0"/>
              <w:rPr>
                <w:sz w:val="20"/>
                <w:szCs w:val="20"/>
                <w:color w:val="auto"/>
              </w:rPr>
            </w:pPr>
            <w:r>
              <w:rPr>
                <w:rFonts w:ascii="Arial" w:cs="Arial" w:eastAsia="Arial" w:hAnsi="Arial"/>
                <w:sz w:val="18"/>
                <w:szCs w:val="18"/>
                <w:color w:val="auto"/>
              </w:rPr>
              <w:t>Europe</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12.5</w:t>
            </w:r>
          </w:p>
        </w:tc>
        <w:tc>
          <w:tcPr>
            <w:tcW w:w="2140" w:type="dxa"/>
            <w:vAlign w:val="bottom"/>
            <w:gridSpan w:val="2"/>
          </w:tcPr>
          <w:p>
            <w:pPr>
              <w:jc w:val="right"/>
              <w:ind w:right="90"/>
              <w:spacing w:after="0"/>
              <w:rPr>
                <w:sz w:val="20"/>
                <w:szCs w:val="20"/>
                <w:color w:val="auto"/>
              </w:rPr>
            </w:pPr>
            <w:r>
              <w:rPr>
                <w:rFonts w:ascii="Arial" w:cs="Arial" w:eastAsia="Arial" w:hAnsi="Arial"/>
                <w:sz w:val="18"/>
                <w:szCs w:val="18"/>
                <w:color w:val="auto"/>
              </w:rPr>
              <w:t>(14.4 %)</w:t>
            </w:r>
          </w:p>
        </w:tc>
        <w:tc>
          <w:tcPr>
            <w:tcW w:w="100" w:type="dxa"/>
            <w:vAlign w:val="bottom"/>
          </w:tcPr>
          <w:p>
            <w:pPr>
              <w:spacing w:after="0"/>
              <w:rPr>
                <w:sz w:val="24"/>
                <w:szCs w:val="24"/>
                <w:color w:val="auto"/>
              </w:rPr>
            </w:pPr>
          </w:p>
        </w:tc>
        <w:tc>
          <w:tcPr>
            <w:tcW w:w="2020" w:type="dxa"/>
            <w:vAlign w:val="bottom"/>
          </w:tcPr>
          <w:p>
            <w:pPr>
              <w:jc w:val="right"/>
              <w:ind w:right="70"/>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84"/>
        </w:trPr>
        <w:tc>
          <w:tcPr>
            <w:tcW w:w="3300" w:type="dxa"/>
            <w:vAlign w:val="bottom"/>
          </w:tcPr>
          <w:p>
            <w:pPr>
              <w:spacing w:after="0"/>
              <w:rPr>
                <w:sz w:val="20"/>
                <w:szCs w:val="20"/>
                <w:color w:val="auto"/>
              </w:rPr>
            </w:pPr>
            <w:r>
              <w:rPr>
                <w:rFonts w:ascii="Arial" w:cs="Arial" w:eastAsia="Arial" w:hAnsi="Arial"/>
                <w:sz w:val="18"/>
                <w:szCs w:val="18"/>
                <w:color w:val="auto"/>
              </w:rPr>
              <w:t>Rest of World</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4"/>
                <w:szCs w:val="24"/>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17.5</w:t>
            </w:r>
          </w:p>
        </w:tc>
        <w:tc>
          <w:tcPr>
            <w:tcW w:w="2140" w:type="dxa"/>
            <w:vAlign w:val="bottom"/>
            <w:gridSpan w:val="2"/>
          </w:tcPr>
          <w:p>
            <w:pPr>
              <w:jc w:val="right"/>
              <w:ind w:right="150"/>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4"/>
                <w:szCs w:val="24"/>
                <w:color w:val="auto"/>
              </w:rPr>
            </w:pPr>
          </w:p>
        </w:tc>
        <w:tc>
          <w:tcPr>
            <w:tcW w:w="2020" w:type="dxa"/>
            <w:vAlign w:val="bottom"/>
          </w:tcPr>
          <w:p>
            <w:pPr>
              <w:jc w:val="right"/>
              <w:ind w:right="130"/>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41"/>
        </w:trPr>
        <w:tc>
          <w:tcPr>
            <w:tcW w:w="330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140" w:type="dxa"/>
            <w:vAlign w:val="bottom"/>
            <w:gridSpan w:val="2"/>
            <w:vMerge w:val="restart"/>
          </w:tcPr>
          <w:p>
            <w:pPr>
              <w:jc w:val="right"/>
              <w:ind w:right="90"/>
              <w:spacing w:after="0"/>
              <w:rPr>
                <w:sz w:val="20"/>
                <w:szCs w:val="20"/>
                <w:color w:val="auto"/>
              </w:rPr>
            </w:pPr>
            <w:r>
              <w:rPr>
                <w:rFonts w:ascii="Arial" w:cs="Arial" w:eastAsia="Arial" w:hAnsi="Arial"/>
                <w:sz w:val="18"/>
                <w:szCs w:val="18"/>
                <w:b w:val="1"/>
                <w:bCs w:val="1"/>
                <w:color w:val="auto"/>
              </w:rPr>
              <w:t>(7.1 %)</w:t>
            </w:r>
          </w:p>
        </w:tc>
        <w:tc>
          <w:tcPr>
            <w:tcW w:w="100" w:type="dxa"/>
            <w:vAlign w:val="bottom"/>
          </w:tcPr>
          <w:p>
            <w:pPr>
              <w:spacing w:after="0"/>
              <w:rPr>
                <w:sz w:val="3"/>
                <w:szCs w:val="3"/>
                <w:color w:val="auto"/>
              </w:rPr>
            </w:pPr>
          </w:p>
        </w:tc>
        <w:tc>
          <w:tcPr>
            <w:tcW w:w="20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(5.7 %)</w:t>
            </w: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Arial" w:cs="Arial" w:eastAsia="Arial" w:hAnsi="Arial"/>
                <w:sz w:val="18"/>
                <w:szCs w:val="18"/>
                <w:color w:val="auto"/>
              </w:rPr>
              <w:t>Total</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0"/>
                <w:szCs w:val="20"/>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37.1</w:t>
            </w:r>
          </w:p>
        </w:tc>
        <w:tc>
          <w:tcPr>
            <w:tcW w:w="21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300" w:type="dxa"/>
            <w:vAlign w:val="bottom"/>
            <w:vMerge w:val="restart"/>
          </w:tcPr>
          <w:p>
            <w:pPr>
              <w:spacing w:after="0"/>
              <w:rPr>
                <w:sz w:val="20"/>
                <w:szCs w:val="20"/>
                <w:color w:val="auto"/>
              </w:rPr>
            </w:pPr>
            <w:r>
              <w:rPr>
                <w:rFonts w:ascii="Arial" w:cs="Arial" w:eastAsia="Arial" w:hAnsi="Arial"/>
                <w:sz w:val="18"/>
                <w:szCs w:val="18"/>
                <w:b w:val="1"/>
                <w:bCs w:val="1"/>
                <w:color w:val="auto"/>
              </w:rPr>
              <w:t>Cardiac Surgery</w:t>
            </w:r>
          </w:p>
        </w:tc>
        <w:tc>
          <w:tcPr>
            <w:tcW w:w="1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26"/>
        </w:trPr>
        <w:tc>
          <w:tcPr>
            <w:tcW w:w="330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300" w:type="dxa"/>
            <w:vAlign w:val="bottom"/>
          </w:tcPr>
          <w:p>
            <w:pPr>
              <w:spacing w:after="0"/>
              <w:rPr>
                <w:sz w:val="20"/>
                <w:szCs w:val="20"/>
                <w:color w:val="auto"/>
              </w:rPr>
            </w:pPr>
            <w:r>
              <w:rPr>
                <w:rFonts w:ascii="Arial" w:cs="Arial" w:eastAsia="Arial" w:hAnsi="Arial"/>
                <w:sz w:val="18"/>
                <w:szCs w:val="18"/>
                <w:color w:val="auto"/>
              </w:rPr>
              <w:t>US</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4"/>
                <w:szCs w:val="24"/>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46.3</w:t>
            </w:r>
          </w:p>
        </w:tc>
        <w:tc>
          <w:tcPr>
            <w:tcW w:w="2140" w:type="dxa"/>
            <w:vAlign w:val="bottom"/>
            <w:gridSpan w:val="2"/>
          </w:tcPr>
          <w:p>
            <w:pPr>
              <w:jc w:val="right"/>
              <w:ind w:right="90"/>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24"/>
                <w:szCs w:val="24"/>
                <w:color w:val="auto"/>
              </w:rPr>
            </w:pPr>
          </w:p>
        </w:tc>
        <w:tc>
          <w:tcPr>
            <w:tcW w:w="2020" w:type="dxa"/>
            <w:vAlign w:val="bottom"/>
          </w:tcPr>
          <w:p>
            <w:pPr>
              <w:jc w:val="right"/>
              <w:ind w:right="70"/>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84"/>
        </w:trPr>
        <w:tc>
          <w:tcPr>
            <w:tcW w:w="3300" w:type="dxa"/>
            <w:vAlign w:val="bottom"/>
          </w:tcPr>
          <w:p>
            <w:pPr>
              <w:spacing w:after="0"/>
              <w:rPr>
                <w:sz w:val="20"/>
                <w:szCs w:val="20"/>
                <w:color w:val="auto"/>
              </w:rPr>
            </w:pPr>
            <w:r>
              <w:rPr>
                <w:rFonts w:ascii="Arial" w:cs="Arial" w:eastAsia="Arial" w:hAnsi="Arial"/>
                <w:sz w:val="18"/>
                <w:szCs w:val="18"/>
                <w:color w:val="auto"/>
              </w:rPr>
              <w:t>Europe</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4"/>
                <w:szCs w:val="24"/>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47.4</w:t>
            </w:r>
          </w:p>
        </w:tc>
        <w:tc>
          <w:tcPr>
            <w:tcW w:w="2140" w:type="dxa"/>
            <w:vAlign w:val="bottom"/>
            <w:gridSpan w:val="2"/>
          </w:tcPr>
          <w:p>
            <w:pPr>
              <w:jc w:val="right"/>
              <w:ind w:right="90"/>
              <w:spacing w:after="0"/>
              <w:rPr>
                <w:sz w:val="20"/>
                <w:szCs w:val="20"/>
                <w:color w:val="auto"/>
              </w:rPr>
            </w:pPr>
            <w:r>
              <w:rPr>
                <w:rFonts w:ascii="Arial" w:cs="Arial" w:eastAsia="Arial" w:hAnsi="Arial"/>
                <w:sz w:val="18"/>
                <w:szCs w:val="18"/>
                <w:color w:val="auto"/>
              </w:rPr>
              <w:t>(5.7 %)</w:t>
            </w:r>
          </w:p>
        </w:tc>
        <w:tc>
          <w:tcPr>
            <w:tcW w:w="100" w:type="dxa"/>
            <w:vAlign w:val="bottom"/>
          </w:tcPr>
          <w:p>
            <w:pPr>
              <w:spacing w:after="0"/>
              <w:rPr>
                <w:sz w:val="24"/>
                <w:szCs w:val="24"/>
                <w:color w:val="auto"/>
              </w:rPr>
            </w:pPr>
          </w:p>
        </w:tc>
        <w:tc>
          <w:tcPr>
            <w:tcW w:w="2020" w:type="dxa"/>
            <w:vAlign w:val="bottom"/>
          </w:tcPr>
          <w:p>
            <w:pPr>
              <w:jc w:val="right"/>
              <w:ind w:right="70"/>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84"/>
        </w:trPr>
        <w:tc>
          <w:tcPr>
            <w:tcW w:w="3300" w:type="dxa"/>
            <w:vAlign w:val="bottom"/>
          </w:tcPr>
          <w:p>
            <w:pPr>
              <w:spacing w:after="0"/>
              <w:rPr>
                <w:sz w:val="20"/>
                <w:szCs w:val="20"/>
                <w:color w:val="auto"/>
              </w:rPr>
            </w:pPr>
            <w:r>
              <w:rPr>
                <w:rFonts w:ascii="Arial" w:cs="Arial" w:eastAsia="Arial" w:hAnsi="Arial"/>
                <w:sz w:val="18"/>
                <w:szCs w:val="18"/>
                <w:color w:val="auto"/>
              </w:rPr>
              <w:t>Rest of World</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24"/>
                <w:szCs w:val="24"/>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67.4</w:t>
            </w:r>
          </w:p>
        </w:tc>
        <w:tc>
          <w:tcPr>
            <w:tcW w:w="2140" w:type="dxa"/>
            <w:vAlign w:val="bottom"/>
            <w:gridSpan w:val="2"/>
          </w:tcPr>
          <w:p>
            <w:pPr>
              <w:jc w:val="right"/>
              <w:ind w:right="150"/>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24"/>
                <w:szCs w:val="24"/>
                <w:color w:val="auto"/>
              </w:rPr>
            </w:pPr>
          </w:p>
        </w:tc>
        <w:tc>
          <w:tcPr>
            <w:tcW w:w="2020" w:type="dxa"/>
            <w:vAlign w:val="bottom"/>
          </w:tcPr>
          <w:p>
            <w:pPr>
              <w:jc w:val="right"/>
              <w:ind w:right="130"/>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41"/>
        </w:trPr>
        <w:tc>
          <w:tcPr>
            <w:tcW w:w="330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140" w:type="dxa"/>
            <w:vAlign w:val="bottom"/>
            <w:gridSpan w:val="2"/>
            <w:vMerge w:val="restart"/>
          </w:tcPr>
          <w:p>
            <w:pPr>
              <w:jc w:val="right"/>
              <w:ind w:right="90"/>
              <w:spacing w:after="0"/>
              <w:rPr>
                <w:sz w:val="20"/>
                <w:szCs w:val="20"/>
                <w:color w:val="auto"/>
              </w:rPr>
            </w:pPr>
            <w:r>
              <w:rPr>
                <w:rFonts w:ascii="Arial" w:cs="Arial" w:eastAsia="Arial" w:hAnsi="Arial"/>
                <w:sz w:val="18"/>
                <w:szCs w:val="18"/>
                <w:b w:val="1"/>
                <w:bCs w:val="1"/>
                <w:color w:val="auto"/>
              </w:rPr>
              <w:t>(1.5 %)</w:t>
            </w:r>
          </w:p>
        </w:tc>
        <w:tc>
          <w:tcPr>
            <w:tcW w:w="100" w:type="dxa"/>
            <w:vAlign w:val="bottom"/>
          </w:tcPr>
          <w:p>
            <w:pPr>
              <w:spacing w:after="0"/>
              <w:rPr>
                <w:sz w:val="3"/>
                <w:szCs w:val="3"/>
                <w:color w:val="auto"/>
              </w:rPr>
            </w:pPr>
          </w:p>
        </w:tc>
        <w:tc>
          <w:tcPr>
            <w:tcW w:w="20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(0.2 %)</w:t>
            </w: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Arial" w:cs="Arial" w:eastAsia="Arial" w:hAnsi="Arial"/>
                <w:sz w:val="18"/>
                <w:szCs w:val="18"/>
                <w:color w:val="auto"/>
              </w:rPr>
              <w:t>Total</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158.6</w:t>
            </w:r>
          </w:p>
        </w:tc>
        <w:tc>
          <w:tcPr>
            <w:tcW w:w="120" w:type="dxa"/>
            <w:vAlign w:val="bottom"/>
          </w:tcPr>
          <w:p>
            <w:pPr>
              <w:spacing w:after="0"/>
              <w:rPr>
                <w:sz w:val="20"/>
                <w:szCs w:val="20"/>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161.1</w:t>
            </w:r>
          </w:p>
        </w:tc>
        <w:tc>
          <w:tcPr>
            <w:tcW w:w="21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300" w:type="dxa"/>
            <w:vAlign w:val="bottom"/>
            <w:vMerge w:val="restart"/>
          </w:tcPr>
          <w:p>
            <w:pPr>
              <w:spacing w:after="0"/>
              <w:rPr>
                <w:sz w:val="20"/>
                <w:szCs w:val="20"/>
                <w:color w:val="auto"/>
              </w:rPr>
            </w:pPr>
            <w:r>
              <w:rPr>
                <w:rFonts w:ascii="Arial" w:cs="Arial" w:eastAsia="Arial" w:hAnsi="Arial"/>
                <w:sz w:val="18"/>
                <w:szCs w:val="18"/>
                <w:b w:val="1"/>
                <w:bCs w:val="1"/>
                <w:color w:val="auto"/>
              </w:rPr>
              <w:t>CRM</w:t>
            </w:r>
          </w:p>
        </w:tc>
        <w:tc>
          <w:tcPr>
            <w:tcW w:w="1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2"/>
        </w:trPr>
        <w:tc>
          <w:tcPr>
            <w:tcW w:w="330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300" w:type="dxa"/>
            <w:vAlign w:val="bottom"/>
          </w:tcPr>
          <w:p>
            <w:pPr>
              <w:spacing w:after="0"/>
              <w:rPr>
                <w:sz w:val="20"/>
                <w:szCs w:val="20"/>
                <w:color w:val="auto"/>
              </w:rPr>
            </w:pPr>
            <w:r>
              <w:rPr>
                <w:rFonts w:ascii="Arial" w:cs="Arial" w:eastAsia="Arial" w:hAnsi="Arial"/>
                <w:sz w:val="18"/>
                <w:szCs w:val="18"/>
                <w:color w:val="auto"/>
              </w:rPr>
              <w:t>US</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2.3</w:t>
            </w:r>
          </w:p>
        </w:tc>
        <w:tc>
          <w:tcPr>
            <w:tcW w:w="2140" w:type="dxa"/>
            <w:vAlign w:val="bottom"/>
            <w:gridSpan w:val="2"/>
          </w:tcPr>
          <w:p>
            <w:pPr>
              <w:jc w:val="right"/>
              <w:ind w:right="90"/>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24"/>
                <w:szCs w:val="24"/>
                <w:color w:val="auto"/>
              </w:rPr>
            </w:pPr>
          </w:p>
        </w:tc>
        <w:tc>
          <w:tcPr>
            <w:tcW w:w="2020" w:type="dxa"/>
            <w:vAlign w:val="bottom"/>
          </w:tcPr>
          <w:p>
            <w:pPr>
              <w:jc w:val="right"/>
              <w:ind w:right="70"/>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84"/>
        </w:trPr>
        <w:tc>
          <w:tcPr>
            <w:tcW w:w="3300" w:type="dxa"/>
            <w:vAlign w:val="bottom"/>
          </w:tcPr>
          <w:p>
            <w:pPr>
              <w:spacing w:after="0"/>
              <w:rPr>
                <w:sz w:val="20"/>
                <w:szCs w:val="20"/>
                <w:color w:val="auto"/>
              </w:rPr>
            </w:pPr>
            <w:r>
              <w:rPr>
                <w:rFonts w:ascii="Arial" w:cs="Arial" w:eastAsia="Arial" w:hAnsi="Arial"/>
                <w:sz w:val="18"/>
                <w:szCs w:val="18"/>
                <w:color w:val="auto"/>
              </w:rPr>
              <w:t>Europe</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24"/>
                <w:szCs w:val="24"/>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54.4</w:t>
            </w:r>
          </w:p>
        </w:tc>
        <w:tc>
          <w:tcPr>
            <w:tcW w:w="2140" w:type="dxa"/>
            <w:vAlign w:val="bottom"/>
            <w:gridSpan w:val="2"/>
          </w:tcPr>
          <w:p>
            <w:pPr>
              <w:jc w:val="right"/>
              <w:ind w:right="90"/>
              <w:spacing w:after="0"/>
              <w:rPr>
                <w:sz w:val="20"/>
                <w:szCs w:val="20"/>
                <w:color w:val="auto"/>
              </w:rPr>
            </w:pPr>
            <w:r>
              <w:rPr>
                <w:rFonts w:ascii="Arial" w:cs="Arial" w:eastAsia="Arial" w:hAnsi="Arial"/>
                <w:sz w:val="18"/>
                <w:szCs w:val="18"/>
                <w:color w:val="auto"/>
              </w:rPr>
              <w:t>(6.4 %)</w:t>
            </w:r>
          </w:p>
        </w:tc>
        <w:tc>
          <w:tcPr>
            <w:tcW w:w="100" w:type="dxa"/>
            <w:vAlign w:val="bottom"/>
          </w:tcPr>
          <w:p>
            <w:pPr>
              <w:spacing w:after="0"/>
              <w:rPr>
                <w:sz w:val="24"/>
                <w:szCs w:val="24"/>
                <w:color w:val="auto"/>
              </w:rPr>
            </w:pPr>
          </w:p>
        </w:tc>
        <w:tc>
          <w:tcPr>
            <w:tcW w:w="2020" w:type="dxa"/>
            <w:vAlign w:val="bottom"/>
          </w:tcPr>
          <w:p>
            <w:pPr>
              <w:jc w:val="right"/>
              <w:ind w:right="70"/>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84"/>
        </w:trPr>
        <w:tc>
          <w:tcPr>
            <w:tcW w:w="3300" w:type="dxa"/>
            <w:vAlign w:val="bottom"/>
          </w:tcPr>
          <w:p>
            <w:pPr>
              <w:spacing w:after="0"/>
              <w:rPr>
                <w:sz w:val="20"/>
                <w:szCs w:val="20"/>
                <w:color w:val="auto"/>
              </w:rPr>
            </w:pPr>
            <w:r>
              <w:rPr>
                <w:rFonts w:ascii="Arial" w:cs="Arial" w:eastAsia="Arial" w:hAnsi="Arial"/>
                <w:sz w:val="18"/>
                <w:szCs w:val="18"/>
                <w:color w:val="auto"/>
              </w:rPr>
              <w:t>Rest of World</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4"/>
                <w:szCs w:val="24"/>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12.9</w:t>
            </w:r>
          </w:p>
        </w:tc>
        <w:tc>
          <w:tcPr>
            <w:tcW w:w="2140" w:type="dxa"/>
            <w:vAlign w:val="bottom"/>
            <w:gridSpan w:val="2"/>
          </w:tcPr>
          <w:p>
            <w:pPr>
              <w:jc w:val="right"/>
              <w:ind w:right="90"/>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24"/>
                <w:szCs w:val="24"/>
                <w:color w:val="auto"/>
              </w:rPr>
            </w:pPr>
          </w:p>
        </w:tc>
        <w:tc>
          <w:tcPr>
            <w:tcW w:w="2020" w:type="dxa"/>
            <w:vAlign w:val="bottom"/>
          </w:tcPr>
          <w:p>
            <w:pPr>
              <w:jc w:val="right"/>
              <w:ind w:right="70"/>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41"/>
        </w:trPr>
        <w:tc>
          <w:tcPr>
            <w:tcW w:w="330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140" w:type="dxa"/>
            <w:vAlign w:val="bottom"/>
            <w:gridSpan w:val="2"/>
            <w:vMerge w:val="restart"/>
          </w:tcPr>
          <w:p>
            <w:pPr>
              <w:jc w:val="right"/>
              <w:ind w:right="90"/>
              <w:spacing w:after="0"/>
              <w:rPr>
                <w:sz w:val="20"/>
                <w:szCs w:val="20"/>
                <w:color w:val="auto"/>
              </w:rPr>
            </w:pPr>
            <w:r>
              <w:rPr>
                <w:rFonts w:ascii="Arial" w:cs="Arial" w:eastAsia="Arial" w:hAnsi="Arial"/>
                <w:sz w:val="18"/>
                <w:szCs w:val="18"/>
                <w:b w:val="1"/>
                <w:bCs w:val="1"/>
                <w:color w:val="auto"/>
              </w:rPr>
              <w:t>(5.8 %)</w:t>
            </w:r>
          </w:p>
        </w:tc>
        <w:tc>
          <w:tcPr>
            <w:tcW w:w="100" w:type="dxa"/>
            <w:vAlign w:val="bottom"/>
          </w:tcPr>
          <w:p>
            <w:pPr>
              <w:spacing w:after="0"/>
              <w:rPr>
                <w:sz w:val="3"/>
                <w:szCs w:val="3"/>
                <w:color w:val="auto"/>
              </w:rPr>
            </w:pPr>
          </w:p>
        </w:tc>
        <w:tc>
          <w:tcPr>
            <w:tcW w:w="20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(3.6 %)</w:t>
            </w: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Arial" w:cs="Arial" w:eastAsia="Arial" w:hAnsi="Arial"/>
                <w:sz w:val="18"/>
                <w:szCs w:val="18"/>
                <w:color w:val="auto"/>
              </w:rPr>
              <w:t>Total</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20"/>
                <w:szCs w:val="20"/>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69.6</w:t>
            </w:r>
          </w:p>
        </w:tc>
        <w:tc>
          <w:tcPr>
            <w:tcW w:w="21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300" w:type="dxa"/>
            <w:vAlign w:val="bottom"/>
            <w:vMerge w:val="restart"/>
          </w:tcPr>
          <w:p>
            <w:pPr>
              <w:spacing w:after="0"/>
              <w:rPr>
                <w:sz w:val="20"/>
                <w:szCs w:val="20"/>
                <w:color w:val="auto"/>
              </w:rPr>
            </w:pPr>
            <w:r>
              <w:rPr>
                <w:rFonts w:ascii="Arial" w:cs="Arial" w:eastAsia="Arial" w:hAnsi="Arial"/>
                <w:sz w:val="18"/>
                <w:szCs w:val="18"/>
                <w:b w:val="1"/>
                <w:bCs w:val="1"/>
                <w:color w:val="auto"/>
              </w:rPr>
              <w:t>Neuromodulation</w:t>
            </w:r>
          </w:p>
        </w:tc>
        <w:tc>
          <w:tcPr>
            <w:tcW w:w="1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26"/>
        </w:trPr>
        <w:tc>
          <w:tcPr>
            <w:tcW w:w="330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300" w:type="dxa"/>
            <w:vAlign w:val="bottom"/>
          </w:tcPr>
          <w:p>
            <w:pPr>
              <w:spacing w:after="0"/>
              <w:rPr>
                <w:sz w:val="20"/>
                <w:szCs w:val="20"/>
                <w:color w:val="auto"/>
              </w:rPr>
            </w:pPr>
            <w:r>
              <w:rPr>
                <w:rFonts w:ascii="Arial" w:cs="Arial" w:eastAsia="Arial" w:hAnsi="Arial"/>
                <w:sz w:val="18"/>
                <w:szCs w:val="18"/>
                <w:color w:val="auto"/>
              </w:rPr>
              <w:t>US</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81.4</w:t>
            </w:r>
          </w:p>
        </w:tc>
        <w:tc>
          <w:tcPr>
            <w:tcW w:w="120" w:type="dxa"/>
            <w:vAlign w:val="bottom"/>
          </w:tcPr>
          <w:p>
            <w:pPr>
              <w:spacing w:after="0"/>
              <w:rPr>
                <w:sz w:val="24"/>
                <w:szCs w:val="24"/>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75.8</w:t>
            </w:r>
          </w:p>
        </w:tc>
        <w:tc>
          <w:tcPr>
            <w:tcW w:w="2140" w:type="dxa"/>
            <w:vAlign w:val="bottom"/>
            <w:gridSpan w:val="2"/>
          </w:tcPr>
          <w:p>
            <w:pPr>
              <w:jc w:val="right"/>
              <w:ind w:right="150"/>
              <w:spacing w:after="0"/>
              <w:rPr>
                <w:sz w:val="20"/>
                <w:szCs w:val="20"/>
                <w:color w:val="auto"/>
              </w:rPr>
            </w:pPr>
            <w:r>
              <w:rPr>
                <w:rFonts w:ascii="Arial" w:cs="Arial" w:eastAsia="Arial" w:hAnsi="Arial"/>
                <w:sz w:val="18"/>
                <w:szCs w:val="18"/>
                <w:color w:val="auto"/>
              </w:rPr>
              <w:t>7.4 %</w:t>
            </w:r>
          </w:p>
        </w:tc>
        <w:tc>
          <w:tcPr>
            <w:tcW w:w="100" w:type="dxa"/>
            <w:vAlign w:val="bottom"/>
          </w:tcPr>
          <w:p>
            <w:pPr>
              <w:spacing w:after="0"/>
              <w:rPr>
                <w:sz w:val="24"/>
                <w:szCs w:val="24"/>
                <w:color w:val="auto"/>
              </w:rPr>
            </w:pPr>
          </w:p>
        </w:tc>
        <w:tc>
          <w:tcPr>
            <w:tcW w:w="2020" w:type="dxa"/>
            <w:vAlign w:val="bottom"/>
          </w:tcPr>
          <w:p>
            <w:pPr>
              <w:jc w:val="right"/>
              <w:ind w:right="130"/>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84"/>
        </w:trPr>
        <w:tc>
          <w:tcPr>
            <w:tcW w:w="3300" w:type="dxa"/>
            <w:vAlign w:val="bottom"/>
          </w:tcPr>
          <w:p>
            <w:pPr>
              <w:spacing w:after="0"/>
              <w:rPr>
                <w:sz w:val="20"/>
                <w:szCs w:val="20"/>
                <w:color w:val="auto"/>
              </w:rPr>
            </w:pPr>
            <w:r>
              <w:rPr>
                <w:rFonts w:ascii="Arial" w:cs="Arial" w:eastAsia="Arial" w:hAnsi="Arial"/>
                <w:sz w:val="18"/>
                <w:szCs w:val="18"/>
                <w:color w:val="auto"/>
              </w:rPr>
              <w:t>Europe</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4"/>
                <w:szCs w:val="24"/>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9.4</w:t>
            </w:r>
          </w:p>
        </w:tc>
        <w:tc>
          <w:tcPr>
            <w:tcW w:w="2140" w:type="dxa"/>
            <w:vAlign w:val="bottom"/>
            <w:gridSpan w:val="2"/>
          </w:tcPr>
          <w:p>
            <w:pPr>
              <w:jc w:val="right"/>
              <w:ind w:right="150"/>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24"/>
                <w:szCs w:val="24"/>
                <w:color w:val="auto"/>
              </w:rPr>
            </w:pPr>
          </w:p>
        </w:tc>
        <w:tc>
          <w:tcPr>
            <w:tcW w:w="2020" w:type="dxa"/>
            <w:vAlign w:val="bottom"/>
          </w:tcPr>
          <w:p>
            <w:pPr>
              <w:jc w:val="right"/>
              <w:ind w:right="130"/>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84"/>
        </w:trPr>
        <w:tc>
          <w:tcPr>
            <w:tcW w:w="3300" w:type="dxa"/>
            <w:vAlign w:val="bottom"/>
          </w:tcPr>
          <w:p>
            <w:pPr>
              <w:spacing w:after="0"/>
              <w:rPr>
                <w:sz w:val="20"/>
                <w:szCs w:val="20"/>
                <w:color w:val="auto"/>
              </w:rPr>
            </w:pPr>
            <w:r>
              <w:rPr>
                <w:rFonts w:ascii="Arial" w:cs="Arial" w:eastAsia="Arial" w:hAnsi="Arial"/>
                <w:sz w:val="18"/>
                <w:szCs w:val="18"/>
                <w:color w:val="auto"/>
              </w:rPr>
              <w:t>Rest of World</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4"/>
                <w:szCs w:val="24"/>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4.9</w:t>
            </w:r>
          </w:p>
        </w:tc>
        <w:tc>
          <w:tcPr>
            <w:tcW w:w="2140" w:type="dxa"/>
            <w:vAlign w:val="bottom"/>
            <w:gridSpan w:val="2"/>
          </w:tcPr>
          <w:p>
            <w:pPr>
              <w:jc w:val="right"/>
              <w:ind w:right="150"/>
              <w:spacing w:after="0"/>
              <w:rPr>
                <w:sz w:val="20"/>
                <w:szCs w:val="20"/>
                <w:color w:val="auto"/>
              </w:rPr>
            </w:pPr>
            <w:r>
              <w:rPr>
                <w:rFonts w:ascii="Arial" w:cs="Arial" w:eastAsia="Arial" w:hAnsi="Arial"/>
                <w:sz w:val="18"/>
                <w:szCs w:val="18"/>
                <w:color w:val="auto"/>
              </w:rPr>
              <w:t>24.7 %</w:t>
            </w:r>
          </w:p>
        </w:tc>
        <w:tc>
          <w:tcPr>
            <w:tcW w:w="100" w:type="dxa"/>
            <w:vAlign w:val="bottom"/>
          </w:tcPr>
          <w:p>
            <w:pPr>
              <w:spacing w:after="0"/>
              <w:rPr>
                <w:sz w:val="24"/>
                <w:szCs w:val="24"/>
                <w:color w:val="auto"/>
              </w:rPr>
            </w:pPr>
          </w:p>
        </w:tc>
        <w:tc>
          <w:tcPr>
            <w:tcW w:w="2020" w:type="dxa"/>
            <w:vAlign w:val="bottom"/>
          </w:tcPr>
          <w:p>
            <w:pPr>
              <w:jc w:val="right"/>
              <w:ind w:right="130"/>
              <w:spacing w:after="0"/>
              <w:rPr>
                <w:sz w:val="20"/>
                <w:szCs w:val="20"/>
                <w:color w:val="auto"/>
              </w:rPr>
            </w:pPr>
            <w:r>
              <w:rPr>
                <w:rFonts w:ascii="Arial" w:cs="Arial" w:eastAsia="Arial" w:hAnsi="Arial"/>
                <w:sz w:val="18"/>
                <w:szCs w:val="18"/>
                <w:color w:val="auto"/>
              </w:rPr>
              <w:t>25.4 %</w:t>
            </w:r>
          </w:p>
        </w:tc>
        <w:tc>
          <w:tcPr>
            <w:tcW w:w="0" w:type="dxa"/>
            <w:vAlign w:val="bottom"/>
          </w:tcPr>
          <w:p>
            <w:pPr>
              <w:spacing w:after="0"/>
              <w:rPr>
                <w:sz w:val="1"/>
                <w:szCs w:val="1"/>
                <w:color w:val="auto"/>
              </w:rPr>
            </w:pPr>
          </w:p>
        </w:tc>
      </w:tr>
      <w:tr>
        <w:trPr>
          <w:trHeight w:val="41"/>
        </w:trPr>
        <w:tc>
          <w:tcPr>
            <w:tcW w:w="330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140" w:type="dxa"/>
            <w:vAlign w:val="bottom"/>
            <w:gridSpan w:val="2"/>
            <w:vMerge w:val="restart"/>
          </w:tcPr>
          <w:p>
            <w:pPr>
              <w:jc w:val="right"/>
              <w:ind w:right="150"/>
              <w:spacing w:after="0"/>
              <w:rPr>
                <w:sz w:val="20"/>
                <w:szCs w:val="20"/>
                <w:color w:val="auto"/>
              </w:rPr>
            </w:pPr>
            <w:r>
              <w:rPr>
                <w:rFonts w:ascii="Arial" w:cs="Arial" w:eastAsia="Arial" w:hAnsi="Arial"/>
                <w:sz w:val="18"/>
                <w:szCs w:val="18"/>
                <w:b w:val="1"/>
                <w:bCs w:val="1"/>
                <w:color w:val="auto"/>
              </w:rPr>
              <w:t>7.7 %</w:t>
            </w:r>
          </w:p>
        </w:tc>
        <w:tc>
          <w:tcPr>
            <w:tcW w:w="100" w:type="dxa"/>
            <w:vAlign w:val="bottom"/>
          </w:tcPr>
          <w:p>
            <w:pPr>
              <w:spacing w:after="0"/>
              <w:rPr>
                <w:sz w:val="3"/>
                <w:szCs w:val="3"/>
                <w:color w:val="auto"/>
              </w:rPr>
            </w:pPr>
          </w:p>
        </w:tc>
        <w:tc>
          <w:tcPr>
            <w:tcW w:w="20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8.3 %</w:t>
            </w: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Arial" w:cs="Arial" w:eastAsia="Arial" w:hAnsi="Arial"/>
                <w:sz w:val="18"/>
                <w:szCs w:val="18"/>
                <w:color w:val="auto"/>
              </w:rPr>
              <w:t>Total</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20"/>
                <w:szCs w:val="20"/>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90.0</w:t>
            </w:r>
          </w:p>
        </w:tc>
        <w:tc>
          <w:tcPr>
            <w:tcW w:w="21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300" w:type="dxa"/>
            <w:vAlign w:val="bottom"/>
            <w:vMerge w:val="restart"/>
          </w:tcPr>
          <w:p>
            <w:pPr>
              <w:spacing w:after="0"/>
              <w:rPr>
                <w:sz w:val="20"/>
                <w:szCs w:val="20"/>
                <w:color w:val="auto"/>
              </w:rPr>
            </w:pPr>
            <w:r>
              <w:rPr>
                <w:rFonts w:ascii="Arial" w:cs="Arial" w:eastAsia="Arial" w:hAnsi="Arial"/>
                <w:sz w:val="18"/>
                <w:szCs w:val="18"/>
                <w:b w:val="1"/>
                <w:bCs w:val="1"/>
                <w:color w:val="auto"/>
              </w:rPr>
              <w:t>Other</w:t>
            </w:r>
          </w:p>
        </w:tc>
        <w:tc>
          <w:tcPr>
            <w:tcW w:w="1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26"/>
        </w:trPr>
        <w:tc>
          <w:tcPr>
            <w:tcW w:w="330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300" w:type="dxa"/>
            <w:vAlign w:val="bottom"/>
          </w:tcPr>
          <w:p>
            <w:pPr>
              <w:spacing w:after="0"/>
              <w:rPr>
                <w:sz w:val="20"/>
                <w:szCs w:val="20"/>
                <w:color w:val="auto"/>
              </w:rPr>
            </w:pPr>
            <w:r>
              <w:rPr>
                <w:rFonts w:ascii="Arial" w:cs="Arial" w:eastAsia="Arial" w:hAnsi="Arial"/>
                <w:sz w:val="18"/>
                <w:szCs w:val="18"/>
                <w:color w:val="auto"/>
              </w:rPr>
              <w:t>US</w:t>
            </w:r>
          </w:p>
        </w:tc>
        <w:tc>
          <w:tcPr>
            <w:tcW w:w="1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140" w:type="dxa"/>
            <w:vAlign w:val="bottom"/>
            <w:gridSpan w:val="2"/>
          </w:tcPr>
          <w:p>
            <w:pPr>
              <w:jc w:val="right"/>
              <w:ind w:right="560"/>
              <w:spacing w:after="0"/>
              <w:rPr>
                <w:sz w:val="20"/>
                <w:szCs w:val="20"/>
                <w:color w:val="auto"/>
              </w:rPr>
            </w:pPr>
            <w:r>
              <w:rPr>
                <w:rFonts w:ascii="Arial" w:cs="Arial" w:eastAsia="Arial" w:hAnsi="Arial"/>
                <w:sz w:val="18"/>
                <w:szCs w:val="18"/>
                <w:color w:val="auto"/>
              </w:rPr>
              <w:t>N/A</w:t>
            </w:r>
          </w:p>
        </w:tc>
        <w:tc>
          <w:tcPr>
            <w:tcW w:w="2020" w:type="dxa"/>
            <w:vAlign w:val="bottom"/>
          </w:tcPr>
          <w:p>
            <w:pPr>
              <w:jc w:val="right"/>
              <w:ind w:right="3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84"/>
        </w:trPr>
        <w:tc>
          <w:tcPr>
            <w:tcW w:w="3300" w:type="dxa"/>
            <w:vAlign w:val="bottom"/>
          </w:tcPr>
          <w:p>
            <w:pPr>
              <w:spacing w:after="0"/>
              <w:rPr>
                <w:sz w:val="20"/>
                <w:szCs w:val="20"/>
                <w:color w:val="auto"/>
              </w:rPr>
            </w:pPr>
            <w:r>
              <w:rPr>
                <w:rFonts w:ascii="Arial" w:cs="Arial" w:eastAsia="Arial" w:hAnsi="Arial"/>
                <w:sz w:val="18"/>
                <w:szCs w:val="18"/>
                <w:color w:val="auto"/>
              </w:rPr>
              <w:t>Europe</w:t>
            </w:r>
          </w:p>
        </w:tc>
        <w:tc>
          <w:tcPr>
            <w:tcW w:w="1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2140" w:type="dxa"/>
            <w:vAlign w:val="bottom"/>
            <w:gridSpan w:val="2"/>
          </w:tcPr>
          <w:p>
            <w:pPr>
              <w:jc w:val="right"/>
              <w:ind w:right="560"/>
              <w:spacing w:after="0"/>
              <w:rPr>
                <w:sz w:val="20"/>
                <w:szCs w:val="20"/>
                <w:color w:val="auto"/>
              </w:rPr>
            </w:pPr>
            <w:r>
              <w:rPr>
                <w:rFonts w:ascii="Arial" w:cs="Arial" w:eastAsia="Arial" w:hAnsi="Arial"/>
                <w:sz w:val="18"/>
                <w:szCs w:val="18"/>
                <w:color w:val="auto"/>
              </w:rPr>
              <w:t>N/A</w:t>
            </w:r>
          </w:p>
        </w:tc>
        <w:tc>
          <w:tcPr>
            <w:tcW w:w="2020" w:type="dxa"/>
            <w:vAlign w:val="bottom"/>
          </w:tcPr>
          <w:p>
            <w:pPr>
              <w:jc w:val="right"/>
              <w:ind w:right="3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84"/>
        </w:trPr>
        <w:tc>
          <w:tcPr>
            <w:tcW w:w="3300" w:type="dxa"/>
            <w:vAlign w:val="bottom"/>
          </w:tcPr>
          <w:p>
            <w:pPr>
              <w:spacing w:after="0"/>
              <w:rPr>
                <w:sz w:val="20"/>
                <w:szCs w:val="20"/>
                <w:color w:val="auto"/>
              </w:rPr>
            </w:pPr>
            <w:r>
              <w:rPr>
                <w:rFonts w:ascii="Arial" w:cs="Arial" w:eastAsia="Arial" w:hAnsi="Arial"/>
                <w:sz w:val="18"/>
                <w:szCs w:val="18"/>
                <w:color w:val="auto"/>
              </w:rPr>
              <w:t>Rest of World</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4"/>
                <w:szCs w:val="24"/>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4"/>
                <w:szCs w:val="24"/>
                <w:color w:val="auto"/>
              </w:rPr>
            </w:pPr>
          </w:p>
        </w:tc>
        <w:tc>
          <w:tcPr>
            <w:tcW w:w="2140" w:type="dxa"/>
            <w:vAlign w:val="bottom"/>
            <w:gridSpan w:val="2"/>
          </w:tcPr>
          <w:p>
            <w:pPr>
              <w:jc w:val="right"/>
              <w:ind w:right="560"/>
              <w:spacing w:after="0"/>
              <w:rPr>
                <w:sz w:val="20"/>
                <w:szCs w:val="20"/>
                <w:color w:val="auto"/>
              </w:rPr>
            </w:pPr>
            <w:r>
              <w:rPr>
                <w:rFonts w:ascii="Arial" w:cs="Arial" w:eastAsia="Arial" w:hAnsi="Arial"/>
                <w:sz w:val="18"/>
                <w:szCs w:val="18"/>
                <w:color w:val="auto"/>
              </w:rPr>
              <w:t>N/A</w:t>
            </w:r>
          </w:p>
        </w:tc>
        <w:tc>
          <w:tcPr>
            <w:tcW w:w="2020" w:type="dxa"/>
            <w:vAlign w:val="bottom"/>
          </w:tcPr>
          <w:p>
            <w:pPr>
              <w:jc w:val="right"/>
              <w:ind w:right="3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1"/>
        </w:trPr>
        <w:tc>
          <w:tcPr>
            <w:tcW w:w="330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140" w:type="dxa"/>
            <w:vAlign w:val="bottom"/>
            <w:gridSpan w:val="2"/>
            <w:vMerge w:val="restart"/>
          </w:tcPr>
          <w:p>
            <w:pPr>
              <w:jc w:val="right"/>
              <w:ind w:right="560"/>
              <w:spacing w:after="0"/>
              <w:rPr>
                <w:sz w:val="20"/>
                <w:szCs w:val="20"/>
                <w:color w:val="auto"/>
              </w:rPr>
            </w:pPr>
            <w:r>
              <w:rPr>
                <w:rFonts w:ascii="Arial" w:cs="Arial" w:eastAsia="Arial" w:hAnsi="Arial"/>
                <w:sz w:val="18"/>
                <w:szCs w:val="18"/>
                <w:b w:val="1"/>
                <w:bCs w:val="1"/>
                <w:color w:val="auto"/>
              </w:rPr>
              <w:t>N/A</w:t>
            </w:r>
          </w:p>
        </w:tc>
        <w:tc>
          <w:tcPr>
            <w:tcW w:w="202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Arial" w:cs="Arial" w:eastAsia="Arial" w:hAnsi="Arial"/>
                <w:sz w:val="18"/>
                <w:szCs w:val="18"/>
                <w:color w:val="auto"/>
              </w:rPr>
              <w:t>Total</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2140" w:type="dxa"/>
            <w:vAlign w:val="bottom"/>
            <w:gridSpan w:val="2"/>
            <w:vMerge w:val="continue"/>
          </w:tcPr>
          <w:p>
            <w:pPr>
              <w:spacing w:after="0"/>
              <w:rPr>
                <w:sz w:val="20"/>
                <w:szCs w:val="20"/>
                <w:color w:val="auto"/>
              </w:rPr>
            </w:pPr>
          </w:p>
        </w:tc>
        <w:tc>
          <w:tcPr>
            <w:tcW w:w="2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30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26"/>
        </w:trPr>
        <w:tc>
          <w:tcPr>
            <w:tcW w:w="330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300" w:type="dxa"/>
            <w:vAlign w:val="bottom"/>
          </w:tcPr>
          <w:p>
            <w:pPr>
              <w:spacing w:after="0"/>
              <w:rPr>
                <w:sz w:val="20"/>
                <w:szCs w:val="20"/>
                <w:color w:val="auto"/>
              </w:rPr>
            </w:pPr>
            <w:r>
              <w:rPr>
                <w:rFonts w:ascii="Arial" w:cs="Arial" w:eastAsia="Arial" w:hAnsi="Arial"/>
                <w:sz w:val="18"/>
                <w:szCs w:val="18"/>
                <w:color w:val="auto"/>
              </w:rPr>
              <w:t>US</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24"/>
                <w:szCs w:val="24"/>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124.4</w:t>
            </w:r>
          </w:p>
        </w:tc>
        <w:tc>
          <w:tcPr>
            <w:tcW w:w="2140" w:type="dxa"/>
            <w:vAlign w:val="bottom"/>
            <w:gridSpan w:val="2"/>
          </w:tcPr>
          <w:p>
            <w:pPr>
              <w:jc w:val="right"/>
              <w:ind w:right="150"/>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24"/>
                <w:szCs w:val="24"/>
                <w:color w:val="auto"/>
              </w:rPr>
            </w:pPr>
          </w:p>
        </w:tc>
        <w:tc>
          <w:tcPr>
            <w:tcW w:w="2020" w:type="dxa"/>
            <w:vAlign w:val="bottom"/>
          </w:tcPr>
          <w:p>
            <w:pPr>
              <w:jc w:val="right"/>
              <w:ind w:right="130"/>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84"/>
        </w:trPr>
        <w:tc>
          <w:tcPr>
            <w:tcW w:w="3300" w:type="dxa"/>
            <w:vAlign w:val="bottom"/>
          </w:tcPr>
          <w:p>
            <w:pPr>
              <w:spacing w:after="0"/>
              <w:rPr>
                <w:sz w:val="20"/>
                <w:szCs w:val="20"/>
                <w:color w:val="auto"/>
              </w:rPr>
            </w:pPr>
            <w:r>
              <w:rPr>
                <w:rFonts w:ascii="Arial" w:cs="Arial" w:eastAsia="Arial" w:hAnsi="Arial"/>
                <w:sz w:val="18"/>
                <w:szCs w:val="18"/>
                <w:color w:val="auto"/>
              </w:rPr>
              <w:t>Europe</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4"/>
                <w:szCs w:val="24"/>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111.2</w:t>
            </w:r>
          </w:p>
        </w:tc>
        <w:tc>
          <w:tcPr>
            <w:tcW w:w="2140" w:type="dxa"/>
            <w:vAlign w:val="bottom"/>
            <w:gridSpan w:val="2"/>
          </w:tcPr>
          <w:p>
            <w:pPr>
              <w:jc w:val="right"/>
              <w:ind w:right="90"/>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24"/>
                <w:szCs w:val="24"/>
                <w:color w:val="auto"/>
              </w:rPr>
            </w:pPr>
          </w:p>
        </w:tc>
        <w:tc>
          <w:tcPr>
            <w:tcW w:w="2020" w:type="dxa"/>
            <w:vAlign w:val="bottom"/>
          </w:tcPr>
          <w:p>
            <w:pPr>
              <w:jc w:val="right"/>
              <w:ind w:right="70"/>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84"/>
        </w:trPr>
        <w:tc>
          <w:tcPr>
            <w:tcW w:w="3300" w:type="dxa"/>
            <w:vAlign w:val="bottom"/>
          </w:tcPr>
          <w:p>
            <w:pPr>
              <w:spacing w:after="0"/>
              <w:rPr>
                <w:sz w:val="20"/>
                <w:szCs w:val="20"/>
                <w:color w:val="auto"/>
              </w:rPr>
            </w:pPr>
            <w:r>
              <w:rPr>
                <w:rFonts w:ascii="Arial" w:cs="Arial" w:eastAsia="Arial" w:hAnsi="Arial"/>
                <w:sz w:val="18"/>
                <w:szCs w:val="18"/>
                <w:color w:val="auto"/>
              </w:rPr>
              <w:t>Rest of World</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86.8</w:t>
            </w:r>
          </w:p>
        </w:tc>
        <w:tc>
          <w:tcPr>
            <w:tcW w:w="120" w:type="dxa"/>
            <w:vAlign w:val="bottom"/>
          </w:tcPr>
          <w:p>
            <w:pPr>
              <w:spacing w:after="0"/>
              <w:rPr>
                <w:sz w:val="24"/>
                <w:szCs w:val="24"/>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85.4</w:t>
            </w:r>
          </w:p>
        </w:tc>
        <w:tc>
          <w:tcPr>
            <w:tcW w:w="2140" w:type="dxa"/>
            <w:vAlign w:val="bottom"/>
            <w:gridSpan w:val="2"/>
          </w:tcPr>
          <w:p>
            <w:pPr>
              <w:jc w:val="right"/>
              <w:ind w:right="150"/>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24"/>
                <w:szCs w:val="24"/>
                <w:color w:val="auto"/>
              </w:rPr>
            </w:pPr>
          </w:p>
        </w:tc>
        <w:tc>
          <w:tcPr>
            <w:tcW w:w="2020" w:type="dxa"/>
            <w:vAlign w:val="bottom"/>
          </w:tcPr>
          <w:p>
            <w:pPr>
              <w:jc w:val="right"/>
              <w:ind w:right="130"/>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41"/>
        </w:trPr>
        <w:tc>
          <w:tcPr>
            <w:tcW w:w="330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0"/>
                <w:szCs w:val="20"/>
                <w:color w:val="auto"/>
              </w:rPr>
            </w:pPr>
            <w:r>
              <w:rPr>
                <w:rFonts w:ascii="Arial" w:cs="Arial" w:eastAsia="Arial" w:hAnsi="Arial"/>
                <w:sz w:val="18"/>
                <w:szCs w:val="18"/>
                <w:color w:val="auto"/>
              </w:rPr>
              <w:t>Total</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$321.4</w:t>
            </w:r>
          </w:p>
        </w:tc>
        <w:tc>
          <w:tcPr>
            <w:tcW w:w="12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b w:val="1"/>
                <w:bCs w:val="1"/>
                <w:color w:val="auto"/>
              </w:rPr>
              <w:t>$321.0</w:t>
            </w:r>
          </w:p>
        </w:tc>
        <w:tc>
          <w:tcPr>
            <w:tcW w:w="21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0.1 %</w:t>
            </w:r>
          </w:p>
        </w:tc>
        <w:tc>
          <w:tcPr>
            <w:tcW w:w="100" w:type="dxa"/>
            <w:vAlign w:val="bottom"/>
          </w:tcPr>
          <w:p>
            <w:pPr>
              <w:spacing w:after="0"/>
              <w:rPr>
                <w:sz w:val="21"/>
                <w:szCs w:val="21"/>
                <w:color w:val="auto"/>
              </w:rPr>
            </w:pPr>
          </w:p>
        </w:tc>
        <w:tc>
          <w:tcPr>
            <w:tcW w:w="2020" w:type="dxa"/>
            <w:vAlign w:val="bottom"/>
          </w:tcPr>
          <w:p>
            <w:pPr>
              <w:jc w:val="right"/>
              <w:ind w:right="130"/>
              <w:spacing w:after="0"/>
              <w:rPr>
                <w:sz w:val="20"/>
                <w:szCs w:val="20"/>
                <w:color w:val="auto"/>
              </w:rPr>
            </w:pPr>
            <w:r>
              <w:rPr>
                <w:rFonts w:ascii="Arial" w:cs="Arial" w:eastAsia="Arial" w:hAnsi="Arial"/>
                <w:sz w:val="18"/>
                <w:szCs w:val="18"/>
                <w:b w:val="1"/>
                <w:bCs w:val="1"/>
                <w:color w:val="auto"/>
              </w:rPr>
              <w:t>1.4 %</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 The sales results presented are unaudited. Numbers may not add up precisely due to rounding.</w:t>
      </w:r>
    </w:p>
    <w:p>
      <w:pPr>
        <w:sectPr>
          <w:pgSz w:w="11900" w:h="16838" w:orient="portrait"/>
          <w:cols w:equalWidth="0" w:num="1">
            <w:col w:w="10700"/>
          </w:cols>
          <w:pgMar w:left="640" w:top="738" w:right="55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700"/>
          </w:cols>
          <w:pgMar w:left="640" w:top="738" w:right="55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LIVANOVA PLC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SIX MONTH SALES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dollars 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980" w:type="dxa"/>
            <w:vAlign w:val="bottom"/>
            <w:gridSpan w:val="6"/>
          </w:tcPr>
          <w:p>
            <w:pPr>
              <w:ind w:left="100"/>
              <w:spacing w:after="0"/>
              <w:rPr>
                <w:sz w:val="20"/>
                <w:szCs w:val="20"/>
                <w:color w:val="auto"/>
              </w:rPr>
            </w:pPr>
            <w:r>
              <w:rPr>
                <w:rFonts w:ascii="Arial" w:cs="Arial" w:eastAsia="Arial" w:hAnsi="Arial"/>
                <w:sz w:val="18"/>
                <w:szCs w:val="18"/>
                <w:b w:val="1"/>
                <w:bCs w:val="1"/>
                <w:color w:val="auto"/>
              </w:rPr>
              <w:t>Six Months Ended June 30,</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8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gridSpan w:val="2"/>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9"/>
              </w:rPr>
              <w:t>% Change at Actual</w:t>
            </w:r>
          </w:p>
        </w:tc>
        <w:tc>
          <w:tcPr>
            <w:tcW w:w="2040" w:type="dxa"/>
            <w:vAlign w:val="bottom"/>
          </w:tcPr>
          <w:p>
            <w:pPr>
              <w:jc w:val="right"/>
              <w:spacing w:after="0"/>
              <w:rPr>
                <w:sz w:val="20"/>
                <w:szCs w:val="20"/>
                <w:color w:val="auto"/>
              </w:rPr>
            </w:pPr>
            <w:r>
              <w:rPr>
                <w:rFonts w:ascii="Arial" w:cs="Arial" w:eastAsia="Arial" w:hAnsi="Arial"/>
                <w:sz w:val="18"/>
                <w:szCs w:val="18"/>
                <w:b w:val="1"/>
                <w:bCs w:val="1"/>
                <w:color w:val="auto"/>
              </w:rPr>
              <w:t>% Change at Constant</w:t>
            </w:r>
          </w:p>
        </w:tc>
        <w:tc>
          <w:tcPr>
            <w:tcW w:w="0" w:type="dxa"/>
            <w:vAlign w:val="bottom"/>
          </w:tcPr>
          <w:p>
            <w:pPr>
              <w:spacing w:after="0"/>
              <w:rPr>
                <w:sz w:val="1"/>
                <w:szCs w:val="1"/>
                <w:color w:val="auto"/>
              </w:rPr>
            </w:pPr>
          </w:p>
        </w:tc>
      </w:tr>
      <w:tr>
        <w:trPr>
          <w:trHeight w:val="239"/>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72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1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9"/>
              </w:rPr>
              <w:t>Currency Rates</w:t>
            </w:r>
          </w:p>
        </w:tc>
        <w:tc>
          <w:tcPr>
            <w:tcW w:w="2040" w:type="dxa"/>
            <w:vAlign w:val="bottom"/>
          </w:tcPr>
          <w:p>
            <w:pPr>
              <w:jc w:val="right"/>
              <w:ind w:right="230"/>
              <w:spacing w:after="0"/>
              <w:rPr>
                <w:sz w:val="20"/>
                <w:szCs w:val="20"/>
                <w:color w:val="auto"/>
              </w:rPr>
            </w:pPr>
            <w:r>
              <w:rPr>
                <w:rFonts w:ascii="Arial" w:cs="Arial" w:eastAsia="Arial" w:hAnsi="Arial"/>
                <w:sz w:val="18"/>
                <w:szCs w:val="18"/>
                <w:b w:val="1"/>
                <w:bCs w:val="1"/>
                <w:color w:val="auto"/>
              </w:rPr>
              <w:t>Currency Rates</w:t>
            </w:r>
          </w:p>
        </w:tc>
        <w:tc>
          <w:tcPr>
            <w:tcW w:w="0" w:type="dxa"/>
            <w:vAlign w:val="bottom"/>
          </w:tcPr>
          <w:p>
            <w:pPr>
              <w:spacing w:after="0"/>
              <w:rPr>
                <w:sz w:val="1"/>
                <w:szCs w:val="1"/>
                <w:color w:val="auto"/>
              </w:rPr>
            </w:pPr>
          </w:p>
        </w:tc>
      </w:tr>
      <w:tr>
        <w:trPr>
          <w:trHeight w:val="41"/>
        </w:trPr>
        <w:tc>
          <w:tcPr>
            <w:tcW w:w="3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Cardio Pulmonary</w:t>
            </w:r>
          </w:p>
        </w:tc>
        <w:tc>
          <w:tcPr>
            <w:tcW w:w="13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940" w:type="dxa"/>
            <w:vAlign w:val="bottom"/>
            <w:gridSpan w:val="2"/>
            <w:vMerge w:val="continue"/>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940" w:type="dxa"/>
            <w:vAlign w:val="bottom"/>
            <w:gridSpan w:val="2"/>
          </w:tcPr>
          <w:p>
            <w:pPr>
              <w:spacing w:after="0"/>
              <w:rPr>
                <w:sz w:val="20"/>
                <w:szCs w:val="20"/>
                <w:color w:val="auto"/>
              </w:rPr>
            </w:pPr>
            <w:r>
              <w:rPr>
                <w:rFonts w:ascii="Arial" w:cs="Arial" w:eastAsia="Arial" w:hAnsi="Arial"/>
                <w:sz w:val="18"/>
                <w:szCs w:val="18"/>
                <w:color w:val="auto"/>
              </w:rPr>
              <w:t>US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$71.9</w:t>
            </w:r>
          </w:p>
        </w:tc>
        <w:tc>
          <w:tcPr>
            <w:tcW w:w="1720" w:type="dxa"/>
            <w:vAlign w:val="bottom"/>
            <w:gridSpan w:val="3"/>
          </w:tcPr>
          <w:p>
            <w:pPr>
              <w:jc w:val="right"/>
              <w:ind w:right="130"/>
              <w:spacing w:after="0"/>
              <w:rPr>
                <w:sz w:val="20"/>
                <w:szCs w:val="20"/>
                <w:color w:val="auto"/>
              </w:rPr>
            </w:pPr>
            <w:r>
              <w:rPr>
                <w:rFonts w:ascii="Arial" w:cs="Arial" w:eastAsia="Arial" w:hAnsi="Arial"/>
                <w:sz w:val="18"/>
                <w:szCs w:val="18"/>
                <w:color w:val="auto"/>
              </w:rPr>
              <w:t>$73.7</w:t>
            </w:r>
          </w:p>
        </w:tc>
        <w:tc>
          <w:tcPr>
            <w:tcW w:w="2160" w:type="dxa"/>
            <w:vAlign w:val="bottom"/>
            <w:gridSpan w:val="2"/>
          </w:tcPr>
          <w:p>
            <w:pPr>
              <w:jc w:val="right"/>
              <w:ind w:right="110"/>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24"/>
                <w:szCs w:val="24"/>
                <w:color w:val="auto"/>
              </w:rPr>
            </w:pPr>
          </w:p>
        </w:tc>
        <w:tc>
          <w:tcPr>
            <w:tcW w:w="2040" w:type="dxa"/>
            <w:vAlign w:val="bottom"/>
          </w:tcPr>
          <w:p>
            <w:pPr>
              <w:jc w:val="right"/>
              <w:ind w:right="110"/>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84"/>
        </w:trPr>
        <w:tc>
          <w:tcPr>
            <w:tcW w:w="394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64.6</w:t>
            </w:r>
          </w:p>
        </w:tc>
        <w:tc>
          <w:tcPr>
            <w:tcW w:w="1720" w:type="dxa"/>
            <w:vAlign w:val="bottom"/>
            <w:gridSpan w:val="3"/>
          </w:tcPr>
          <w:p>
            <w:pPr>
              <w:jc w:val="right"/>
              <w:ind w:right="130"/>
              <w:spacing w:after="0"/>
              <w:rPr>
                <w:sz w:val="20"/>
                <w:szCs w:val="20"/>
                <w:color w:val="auto"/>
              </w:rPr>
            </w:pPr>
            <w:r>
              <w:rPr>
                <w:rFonts w:ascii="Arial" w:cs="Arial" w:eastAsia="Arial" w:hAnsi="Arial"/>
                <w:sz w:val="18"/>
                <w:szCs w:val="18"/>
                <w:color w:val="auto"/>
              </w:rPr>
              <w:t>66.4</w:t>
            </w:r>
          </w:p>
        </w:tc>
        <w:tc>
          <w:tcPr>
            <w:tcW w:w="2160" w:type="dxa"/>
            <w:vAlign w:val="bottom"/>
            <w:gridSpan w:val="2"/>
          </w:tcPr>
          <w:p>
            <w:pPr>
              <w:jc w:val="right"/>
              <w:ind w:right="110"/>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24"/>
                <w:szCs w:val="24"/>
                <w:color w:val="auto"/>
              </w:rPr>
            </w:pPr>
          </w:p>
        </w:tc>
        <w:tc>
          <w:tcPr>
            <w:tcW w:w="2040" w:type="dxa"/>
            <w:vAlign w:val="bottom"/>
          </w:tcPr>
          <w:p>
            <w:pPr>
              <w:jc w:val="right"/>
              <w:ind w:right="170"/>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84"/>
        </w:trPr>
        <w:tc>
          <w:tcPr>
            <w:tcW w:w="394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95.0</w:t>
            </w:r>
          </w:p>
        </w:tc>
        <w:tc>
          <w:tcPr>
            <w:tcW w:w="1720" w:type="dxa"/>
            <w:vAlign w:val="bottom"/>
            <w:gridSpan w:val="3"/>
          </w:tcPr>
          <w:p>
            <w:pPr>
              <w:jc w:val="right"/>
              <w:ind w:right="130"/>
              <w:spacing w:after="0"/>
              <w:rPr>
                <w:sz w:val="20"/>
                <w:szCs w:val="20"/>
                <w:color w:val="auto"/>
              </w:rPr>
            </w:pPr>
            <w:r>
              <w:rPr>
                <w:rFonts w:ascii="Arial" w:cs="Arial" w:eastAsia="Arial" w:hAnsi="Arial"/>
                <w:sz w:val="18"/>
                <w:szCs w:val="18"/>
                <w:color w:val="auto"/>
              </w:rPr>
              <w:t>94.8</w:t>
            </w:r>
          </w:p>
        </w:tc>
        <w:tc>
          <w:tcPr>
            <w:tcW w:w="2160" w:type="dxa"/>
            <w:vAlign w:val="bottom"/>
            <w:gridSpan w:val="2"/>
          </w:tcPr>
          <w:p>
            <w:pPr>
              <w:jc w:val="right"/>
              <w:ind w:right="170"/>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4"/>
                <w:szCs w:val="24"/>
                <w:color w:val="auto"/>
              </w:rPr>
            </w:pPr>
          </w:p>
        </w:tc>
        <w:tc>
          <w:tcPr>
            <w:tcW w:w="2040" w:type="dxa"/>
            <w:vAlign w:val="bottom"/>
          </w:tcPr>
          <w:p>
            <w:pPr>
              <w:jc w:val="right"/>
              <w:ind w:right="170"/>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41"/>
        </w:trPr>
        <w:tc>
          <w:tcPr>
            <w:tcW w:w="3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160" w:type="dxa"/>
            <w:vAlign w:val="bottom"/>
            <w:gridSpan w:val="2"/>
            <w:vMerge w:val="restart"/>
          </w:tcPr>
          <w:p>
            <w:pPr>
              <w:jc w:val="right"/>
              <w:ind w:right="110"/>
              <w:spacing w:after="0"/>
              <w:rPr>
                <w:sz w:val="20"/>
                <w:szCs w:val="20"/>
                <w:color w:val="auto"/>
              </w:rPr>
            </w:pPr>
            <w:r>
              <w:rPr>
                <w:rFonts w:ascii="Arial" w:cs="Arial" w:eastAsia="Arial" w:hAnsi="Arial"/>
                <w:sz w:val="18"/>
                <w:szCs w:val="18"/>
                <w:b w:val="1"/>
                <w:bCs w:val="1"/>
                <w:color w:val="auto"/>
              </w:rPr>
              <w:t>(1.5 %)</w:t>
            </w:r>
          </w:p>
        </w:tc>
        <w:tc>
          <w:tcPr>
            <w:tcW w:w="100" w:type="dxa"/>
            <w:vAlign w:val="bottom"/>
          </w:tcPr>
          <w:p>
            <w:pPr>
              <w:spacing w:after="0"/>
              <w:rPr>
                <w:sz w:val="3"/>
                <w:szCs w:val="3"/>
                <w:color w:val="auto"/>
              </w:rPr>
            </w:pPr>
          </w:p>
        </w:tc>
        <w:tc>
          <w:tcPr>
            <w:tcW w:w="20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(0.5 %)</w:t>
            </w:r>
          </w:p>
        </w:tc>
        <w:tc>
          <w:tcPr>
            <w:tcW w:w="0" w:type="dxa"/>
            <w:vAlign w:val="bottom"/>
          </w:tcPr>
          <w:p>
            <w:pPr>
              <w:spacing w:after="0"/>
              <w:rPr>
                <w:sz w:val="1"/>
                <w:szCs w:val="1"/>
                <w:color w:val="auto"/>
              </w:rPr>
            </w:pPr>
          </w:p>
        </w:tc>
      </w:tr>
      <w:tr>
        <w:trPr>
          <w:trHeight w:val="237"/>
        </w:trPr>
        <w:tc>
          <w:tcPr>
            <w:tcW w:w="3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231.4</w:t>
            </w:r>
          </w:p>
        </w:tc>
        <w:tc>
          <w:tcPr>
            <w:tcW w:w="1720" w:type="dxa"/>
            <w:vAlign w:val="bottom"/>
            <w:gridSpan w:val="3"/>
          </w:tcPr>
          <w:p>
            <w:pPr>
              <w:jc w:val="right"/>
              <w:ind w:right="130"/>
              <w:spacing w:after="0"/>
              <w:rPr>
                <w:sz w:val="20"/>
                <w:szCs w:val="20"/>
                <w:color w:val="auto"/>
              </w:rPr>
            </w:pPr>
            <w:r>
              <w:rPr>
                <w:rFonts w:ascii="Arial" w:cs="Arial" w:eastAsia="Arial" w:hAnsi="Arial"/>
                <w:sz w:val="18"/>
                <w:szCs w:val="18"/>
                <w:color w:val="auto"/>
              </w:rPr>
              <w:t>234.9</w:t>
            </w:r>
          </w:p>
        </w:tc>
        <w:tc>
          <w:tcPr>
            <w:tcW w:w="21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Heart Valve</w:t>
            </w:r>
          </w:p>
        </w:tc>
        <w:tc>
          <w:tcPr>
            <w:tcW w:w="13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9"/>
        </w:trPr>
        <w:tc>
          <w:tcPr>
            <w:tcW w:w="394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940" w:type="dxa"/>
            <w:vAlign w:val="bottom"/>
            <w:gridSpan w:val="2"/>
          </w:tcPr>
          <w:p>
            <w:pPr>
              <w:spacing w:after="0"/>
              <w:rPr>
                <w:sz w:val="20"/>
                <w:szCs w:val="20"/>
                <w:color w:val="auto"/>
              </w:rPr>
            </w:pPr>
            <w:r>
              <w:rPr>
                <w:rFonts w:ascii="Arial" w:cs="Arial" w:eastAsia="Arial" w:hAnsi="Arial"/>
                <w:sz w:val="18"/>
                <w:szCs w:val="18"/>
                <w:color w:val="auto"/>
              </w:rPr>
              <w:t>US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1720" w:type="dxa"/>
            <w:vAlign w:val="bottom"/>
            <w:gridSpan w:val="3"/>
          </w:tcPr>
          <w:p>
            <w:pPr>
              <w:jc w:val="right"/>
              <w:ind w:right="130"/>
              <w:spacing w:after="0"/>
              <w:rPr>
                <w:sz w:val="20"/>
                <w:szCs w:val="20"/>
                <w:color w:val="auto"/>
              </w:rPr>
            </w:pPr>
            <w:r>
              <w:rPr>
                <w:rFonts w:ascii="Arial" w:cs="Arial" w:eastAsia="Arial" w:hAnsi="Arial"/>
                <w:sz w:val="18"/>
                <w:szCs w:val="18"/>
                <w:color w:val="auto"/>
              </w:rPr>
              <w:t>13.5</w:t>
            </w:r>
          </w:p>
        </w:tc>
        <w:tc>
          <w:tcPr>
            <w:tcW w:w="2160" w:type="dxa"/>
            <w:vAlign w:val="bottom"/>
            <w:gridSpan w:val="2"/>
          </w:tcPr>
          <w:p>
            <w:pPr>
              <w:jc w:val="right"/>
              <w:ind w:right="110"/>
              <w:spacing w:after="0"/>
              <w:rPr>
                <w:sz w:val="20"/>
                <w:szCs w:val="20"/>
                <w:color w:val="auto"/>
              </w:rPr>
            </w:pPr>
            <w:r>
              <w:rPr>
                <w:rFonts w:ascii="Arial" w:cs="Arial" w:eastAsia="Arial" w:hAnsi="Arial"/>
                <w:sz w:val="18"/>
                <w:szCs w:val="18"/>
                <w:color w:val="auto"/>
              </w:rPr>
              <w:t>(9.3 %)</w:t>
            </w:r>
          </w:p>
        </w:tc>
        <w:tc>
          <w:tcPr>
            <w:tcW w:w="100" w:type="dxa"/>
            <w:vAlign w:val="bottom"/>
          </w:tcPr>
          <w:p>
            <w:pPr>
              <w:spacing w:after="0"/>
              <w:rPr>
                <w:sz w:val="24"/>
                <w:szCs w:val="24"/>
                <w:color w:val="auto"/>
              </w:rPr>
            </w:pPr>
          </w:p>
        </w:tc>
        <w:tc>
          <w:tcPr>
            <w:tcW w:w="2040" w:type="dxa"/>
            <w:vAlign w:val="bottom"/>
          </w:tcPr>
          <w:p>
            <w:pPr>
              <w:jc w:val="right"/>
              <w:ind w:right="110"/>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84"/>
        </w:trPr>
        <w:tc>
          <w:tcPr>
            <w:tcW w:w="394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21.0</w:t>
            </w:r>
          </w:p>
        </w:tc>
        <w:tc>
          <w:tcPr>
            <w:tcW w:w="1720" w:type="dxa"/>
            <w:vAlign w:val="bottom"/>
            <w:gridSpan w:val="3"/>
          </w:tcPr>
          <w:p>
            <w:pPr>
              <w:jc w:val="right"/>
              <w:ind w:right="130"/>
              <w:spacing w:after="0"/>
              <w:rPr>
                <w:sz w:val="20"/>
                <w:szCs w:val="20"/>
                <w:color w:val="auto"/>
              </w:rPr>
            </w:pPr>
            <w:r>
              <w:rPr>
                <w:rFonts w:ascii="Arial" w:cs="Arial" w:eastAsia="Arial" w:hAnsi="Arial"/>
                <w:sz w:val="18"/>
                <w:szCs w:val="18"/>
                <w:color w:val="auto"/>
              </w:rPr>
              <w:t>23.9</w:t>
            </w:r>
          </w:p>
        </w:tc>
        <w:tc>
          <w:tcPr>
            <w:tcW w:w="2160" w:type="dxa"/>
            <w:vAlign w:val="bottom"/>
            <w:gridSpan w:val="2"/>
          </w:tcPr>
          <w:p>
            <w:pPr>
              <w:jc w:val="right"/>
              <w:ind w:right="110"/>
              <w:spacing w:after="0"/>
              <w:rPr>
                <w:sz w:val="20"/>
                <w:szCs w:val="20"/>
                <w:color w:val="auto"/>
              </w:rPr>
            </w:pPr>
            <w:r>
              <w:rPr>
                <w:rFonts w:ascii="Arial" w:cs="Arial" w:eastAsia="Arial" w:hAnsi="Arial"/>
                <w:sz w:val="18"/>
                <w:szCs w:val="18"/>
                <w:color w:val="auto"/>
              </w:rPr>
              <w:t>(11.9 %)</w:t>
            </w:r>
          </w:p>
        </w:tc>
        <w:tc>
          <w:tcPr>
            <w:tcW w:w="100" w:type="dxa"/>
            <w:vAlign w:val="bottom"/>
          </w:tcPr>
          <w:p>
            <w:pPr>
              <w:spacing w:after="0"/>
              <w:rPr>
                <w:sz w:val="24"/>
                <w:szCs w:val="24"/>
                <w:color w:val="auto"/>
              </w:rPr>
            </w:pPr>
          </w:p>
        </w:tc>
        <w:tc>
          <w:tcPr>
            <w:tcW w:w="2040" w:type="dxa"/>
            <w:vAlign w:val="bottom"/>
          </w:tcPr>
          <w:p>
            <w:pPr>
              <w:jc w:val="right"/>
              <w:ind w:right="110"/>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84"/>
        </w:trPr>
        <w:tc>
          <w:tcPr>
            <w:tcW w:w="394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33.0</w:t>
            </w:r>
          </w:p>
        </w:tc>
        <w:tc>
          <w:tcPr>
            <w:tcW w:w="1720" w:type="dxa"/>
            <w:vAlign w:val="bottom"/>
            <w:gridSpan w:val="3"/>
          </w:tcPr>
          <w:p>
            <w:pPr>
              <w:jc w:val="right"/>
              <w:ind w:right="130"/>
              <w:spacing w:after="0"/>
              <w:rPr>
                <w:sz w:val="20"/>
                <w:szCs w:val="20"/>
                <w:color w:val="auto"/>
              </w:rPr>
            </w:pPr>
            <w:r>
              <w:rPr>
                <w:rFonts w:ascii="Arial" w:cs="Arial" w:eastAsia="Arial" w:hAnsi="Arial"/>
                <w:sz w:val="18"/>
                <w:szCs w:val="18"/>
                <w:color w:val="auto"/>
              </w:rPr>
              <w:t>32.2</w:t>
            </w:r>
          </w:p>
        </w:tc>
        <w:tc>
          <w:tcPr>
            <w:tcW w:w="2160" w:type="dxa"/>
            <w:vAlign w:val="bottom"/>
            <w:gridSpan w:val="2"/>
          </w:tcPr>
          <w:p>
            <w:pPr>
              <w:jc w:val="right"/>
              <w:ind w:right="170"/>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24"/>
                <w:szCs w:val="24"/>
                <w:color w:val="auto"/>
              </w:rPr>
            </w:pPr>
          </w:p>
        </w:tc>
        <w:tc>
          <w:tcPr>
            <w:tcW w:w="2040" w:type="dxa"/>
            <w:vAlign w:val="bottom"/>
          </w:tcPr>
          <w:p>
            <w:pPr>
              <w:jc w:val="right"/>
              <w:ind w:right="170"/>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41"/>
        </w:trPr>
        <w:tc>
          <w:tcPr>
            <w:tcW w:w="3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160" w:type="dxa"/>
            <w:vAlign w:val="bottom"/>
            <w:gridSpan w:val="2"/>
            <w:vMerge w:val="restart"/>
          </w:tcPr>
          <w:p>
            <w:pPr>
              <w:jc w:val="right"/>
              <w:ind w:right="110"/>
              <w:spacing w:after="0"/>
              <w:rPr>
                <w:sz w:val="20"/>
                <w:szCs w:val="20"/>
                <w:color w:val="auto"/>
              </w:rPr>
            </w:pPr>
            <w:r>
              <w:rPr>
                <w:rFonts w:ascii="Arial" w:cs="Arial" w:eastAsia="Arial" w:hAnsi="Arial"/>
                <w:sz w:val="18"/>
                <w:szCs w:val="18"/>
                <w:b w:val="1"/>
                <w:bCs w:val="1"/>
                <w:color w:val="auto"/>
              </w:rPr>
              <w:t>(4.7 %)</w:t>
            </w:r>
          </w:p>
        </w:tc>
        <w:tc>
          <w:tcPr>
            <w:tcW w:w="100" w:type="dxa"/>
            <w:vAlign w:val="bottom"/>
          </w:tcPr>
          <w:p>
            <w:pPr>
              <w:spacing w:after="0"/>
              <w:rPr>
                <w:sz w:val="3"/>
                <w:szCs w:val="3"/>
                <w:color w:val="auto"/>
              </w:rPr>
            </w:pPr>
          </w:p>
        </w:tc>
        <w:tc>
          <w:tcPr>
            <w:tcW w:w="20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(3.4 %)</w:t>
            </w:r>
          </w:p>
        </w:tc>
        <w:tc>
          <w:tcPr>
            <w:tcW w:w="0" w:type="dxa"/>
            <w:vAlign w:val="bottom"/>
          </w:tcPr>
          <w:p>
            <w:pPr>
              <w:spacing w:after="0"/>
              <w:rPr>
                <w:sz w:val="1"/>
                <w:szCs w:val="1"/>
                <w:color w:val="auto"/>
              </w:rPr>
            </w:pPr>
          </w:p>
        </w:tc>
      </w:tr>
      <w:tr>
        <w:trPr>
          <w:trHeight w:val="237"/>
        </w:trPr>
        <w:tc>
          <w:tcPr>
            <w:tcW w:w="3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66.3</w:t>
            </w:r>
          </w:p>
        </w:tc>
        <w:tc>
          <w:tcPr>
            <w:tcW w:w="1720" w:type="dxa"/>
            <w:vAlign w:val="bottom"/>
            <w:gridSpan w:val="3"/>
          </w:tcPr>
          <w:p>
            <w:pPr>
              <w:jc w:val="right"/>
              <w:ind w:right="130"/>
              <w:spacing w:after="0"/>
              <w:rPr>
                <w:sz w:val="20"/>
                <w:szCs w:val="20"/>
                <w:color w:val="auto"/>
              </w:rPr>
            </w:pPr>
            <w:r>
              <w:rPr>
                <w:rFonts w:ascii="Arial" w:cs="Arial" w:eastAsia="Arial" w:hAnsi="Arial"/>
                <w:sz w:val="18"/>
                <w:szCs w:val="18"/>
                <w:color w:val="auto"/>
              </w:rPr>
              <w:t>69.6</w:t>
            </w:r>
          </w:p>
        </w:tc>
        <w:tc>
          <w:tcPr>
            <w:tcW w:w="21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Cardiac Surgery</w:t>
            </w:r>
          </w:p>
        </w:tc>
        <w:tc>
          <w:tcPr>
            <w:tcW w:w="13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2"/>
        </w:trPr>
        <w:tc>
          <w:tcPr>
            <w:tcW w:w="394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940" w:type="dxa"/>
            <w:vAlign w:val="bottom"/>
            <w:gridSpan w:val="2"/>
          </w:tcPr>
          <w:p>
            <w:pPr>
              <w:spacing w:after="0"/>
              <w:rPr>
                <w:sz w:val="20"/>
                <w:szCs w:val="20"/>
                <w:color w:val="auto"/>
              </w:rPr>
            </w:pPr>
            <w:r>
              <w:rPr>
                <w:rFonts w:ascii="Arial" w:cs="Arial" w:eastAsia="Arial" w:hAnsi="Arial"/>
                <w:sz w:val="18"/>
                <w:szCs w:val="18"/>
                <w:color w:val="auto"/>
              </w:rPr>
              <w:t>US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84.2</w:t>
            </w:r>
          </w:p>
        </w:tc>
        <w:tc>
          <w:tcPr>
            <w:tcW w:w="1720" w:type="dxa"/>
            <w:vAlign w:val="bottom"/>
            <w:gridSpan w:val="3"/>
          </w:tcPr>
          <w:p>
            <w:pPr>
              <w:jc w:val="right"/>
              <w:ind w:right="130"/>
              <w:spacing w:after="0"/>
              <w:rPr>
                <w:sz w:val="20"/>
                <w:szCs w:val="20"/>
                <w:color w:val="auto"/>
              </w:rPr>
            </w:pPr>
            <w:r>
              <w:rPr>
                <w:rFonts w:ascii="Arial" w:cs="Arial" w:eastAsia="Arial" w:hAnsi="Arial"/>
                <w:sz w:val="18"/>
                <w:szCs w:val="18"/>
                <w:color w:val="auto"/>
              </w:rPr>
              <w:t>87.2</w:t>
            </w:r>
          </w:p>
        </w:tc>
        <w:tc>
          <w:tcPr>
            <w:tcW w:w="2160" w:type="dxa"/>
            <w:vAlign w:val="bottom"/>
            <w:gridSpan w:val="2"/>
          </w:tcPr>
          <w:p>
            <w:pPr>
              <w:jc w:val="right"/>
              <w:ind w:right="110"/>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24"/>
                <w:szCs w:val="24"/>
                <w:color w:val="auto"/>
              </w:rPr>
            </w:pPr>
          </w:p>
        </w:tc>
        <w:tc>
          <w:tcPr>
            <w:tcW w:w="2040" w:type="dxa"/>
            <w:vAlign w:val="bottom"/>
          </w:tcPr>
          <w:p>
            <w:pPr>
              <w:jc w:val="right"/>
              <w:ind w:right="110"/>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84"/>
        </w:trPr>
        <w:tc>
          <w:tcPr>
            <w:tcW w:w="394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85.6</w:t>
            </w:r>
          </w:p>
        </w:tc>
        <w:tc>
          <w:tcPr>
            <w:tcW w:w="1720" w:type="dxa"/>
            <w:vAlign w:val="bottom"/>
            <w:gridSpan w:val="3"/>
          </w:tcPr>
          <w:p>
            <w:pPr>
              <w:jc w:val="right"/>
              <w:ind w:right="130"/>
              <w:spacing w:after="0"/>
              <w:rPr>
                <w:sz w:val="20"/>
                <w:szCs w:val="20"/>
                <w:color w:val="auto"/>
              </w:rPr>
            </w:pPr>
            <w:r>
              <w:rPr>
                <w:rFonts w:ascii="Arial" w:cs="Arial" w:eastAsia="Arial" w:hAnsi="Arial"/>
                <w:sz w:val="18"/>
                <w:szCs w:val="18"/>
                <w:color w:val="auto"/>
              </w:rPr>
              <w:t>90.2</w:t>
            </w:r>
          </w:p>
        </w:tc>
        <w:tc>
          <w:tcPr>
            <w:tcW w:w="2160" w:type="dxa"/>
            <w:vAlign w:val="bottom"/>
            <w:gridSpan w:val="2"/>
          </w:tcPr>
          <w:p>
            <w:pPr>
              <w:jc w:val="right"/>
              <w:ind w:right="110"/>
              <w:spacing w:after="0"/>
              <w:rPr>
                <w:sz w:val="20"/>
                <w:szCs w:val="20"/>
                <w:color w:val="auto"/>
              </w:rPr>
            </w:pPr>
            <w:r>
              <w:rPr>
                <w:rFonts w:ascii="Arial" w:cs="Arial" w:eastAsia="Arial" w:hAnsi="Arial"/>
                <w:sz w:val="18"/>
                <w:szCs w:val="18"/>
                <w:color w:val="auto"/>
              </w:rPr>
              <w:t>(5.1 %)</w:t>
            </w:r>
          </w:p>
        </w:tc>
        <w:tc>
          <w:tcPr>
            <w:tcW w:w="100" w:type="dxa"/>
            <w:vAlign w:val="bottom"/>
          </w:tcPr>
          <w:p>
            <w:pPr>
              <w:spacing w:after="0"/>
              <w:rPr>
                <w:sz w:val="24"/>
                <w:szCs w:val="24"/>
                <w:color w:val="auto"/>
              </w:rPr>
            </w:pPr>
          </w:p>
        </w:tc>
        <w:tc>
          <w:tcPr>
            <w:tcW w:w="2040" w:type="dxa"/>
            <w:vAlign w:val="bottom"/>
          </w:tcPr>
          <w:p>
            <w:pPr>
              <w:jc w:val="right"/>
              <w:ind w:right="110"/>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84"/>
        </w:trPr>
        <w:tc>
          <w:tcPr>
            <w:tcW w:w="394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128.0</w:t>
            </w:r>
          </w:p>
        </w:tc>
        <w:tc>
          <w:tcPr>
            <w:tcW w:w="1720" w:type="dxa"/>
            <w:vAlign w:val="bottom"/>
            <w:gridSpan w:val="3"/>
          </w:tcPr>
          <w:p>
            <w:pPr>
              <w:jc w:val="right"/>
              <w:ind w:right="130"/>
              <w:spacing w:after="0"/>
              <w:rPr>
                <w:sz w:val="20"/>
                <w:szCs w:val="20"/>
                <w:color w:val="auto"/>
              </w:rPr>
            </w:pPr>
            <w:r>
              <w:rPr>
                <w:rFonts w:ascii="Arial" w:cs="Arial" w:eastAsia="Arial" w:hAnsi="Arial"/>
                <w:sz w:val="18"/>
                <w:szCs w:val="18"/>
                <w:color w:val="auto"/>
              </w:rPr>
              <w:t>127.0</w:t>
            </w:r>
          </w:p>
        </w:tc>
        <w:tc>
          <w:tcPr>
            <w:tcW w:w="2160" w:type="dxa"/>
            <w:vAlign w:val="bottom"/>
            <w:gridSpan w:val="2"/>
          </w:tcPr>
          <w:p>
            <w:pPr>
              <w:jc w:val="right"/>
              <w:ind w:right="170"/>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24"/>
                <w:szCs w:val="24"/>
                <w:color w:val="auto"/>
              </w:rPr>
            </w:pPr>
          </w:p>
        </w:tc>
        <w:tc>
          <w:tcPr>
            <w:tcW w:w="2040" w:type="dxa"/>
            <w:vAlign w:val="bottom"/>
          </w:tcPr>
          <w:p>
            <w:pPr>
              <w:jc w:val="right"/>
              <w:ind w:right="170"/>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41"/>
        </w:trPr>
        <w:tc>
          <w:tcPr>
            <w:tcW w:w="3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160" w:type="dxa"/>
            <w:vAlign w:val="bottom"/>
            <w:gridSpan w:val="2"/>
            <w:vMerge w:val="restart"/>
          </w:tcPr>
          <w:p>
            <w:pPr>
              <w:jc w:val="right"/>
              <w:ind w:right="110"/>
              <w:spacing w:after="0"/>
              <w:rPr>
                <w:sz w:val="20"/>
                <w:szCs w:val="20"/>
                <w:color w:val="auto"/>
              </w:rPr>
            </w:pPr>
            <w:r>
              <w:rPr>
                <w:rFonts w:ascii="Arial" w:cs="Arial" w:eastAsia="Arial" w:hAnsi="Arial"/>
                <w:sz w:val="18"/>
                <w:szCs w:val="18"/>
                <w:b w:val="1"/>
                <w:bCs w:val="1"/>
                <w:color w:val="auto"/>
              </w:rPr>
              <w:t>(2.2 %)</w:t>
            </w:r>
          </w:p>
        </w:tc>
        <w:tc>
          <w:tcPr>
            <w:tcW w:w="100" w:type="dxa"/>
            <w:vAlign w:val="bottom"/>
          </w:tcPr>
          <w:p>
            <w:pPr>
              <w:spacing w:after="0"/>
              <w:rPr>
                <w:sz w:val="3"/>
                <w:szCs w:val="3"/>
                <w:color w:val="auto"/>
              </w:rPr>
            </w:pPr>
          </w:p>
        </w:tc>
        <w:tc>
          <w:tcPr>
            <w:tcW w:w="20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(1.1 %)</w:t>
            </w:r>
          </w:p>
        </w:tc>
        <w:tc>
          <w:tcPr>
            <w:tcW w:w="0" w:type="dxa"/>
            <w:vAlign w:val="bottom"/>
          </w:tcPr>
          <w:p>
            <w:pPr>
              <w:spacing w:after="0"/>
              <w:rPr>
                <w:sz w:val="1"/>
                <w:szCs w:val="1"/>
                <w:color w:val="auto"/>
              </w:rPr>
            </w:pPr>
          </w:p>
        </w:tc>
      </w:tr>
      <w:tr>
        <w:trPr>
          <w:trHeight w:val="237"/>
        </w:trPr>
        <w:tc>
          <w:tcPr>
            <w:tcW w:w="3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297.8</w:t>
            </w:r>
          </w:p>
        </w:tc>
        <w:tc>
          <w:tcPr>
            <w:tcW w:w="1720" w:type="dxa"/>
            <w:vAlign w:val="bottom"/>
            <w:gridSpan w:val="3"/>
          </w:tcPr>
          <w:p>
            <w:pPr>
              <w:jc w:val="right"/>
              <w:ind w:right="130"/>
              <w:spacing w:after="0"/>
              <w:rPr>
                <w:sz w:val="20"/>
                <w:szCs w:val="20"/>
                <w:color w:val="auto"/>
              </w:rPr>
            </w:pPr>
            <w:r>
              <w:rPr>
                <w:rFonts w:ascii="Arial" w:cs="Arial" w:eastAsia="Arial" w:hAnsi="Arial"/>
                <w:sz w:val="18"/>
                <w:szCs w:val="18"/>
                <w:color w:val="auto"/>
              </w:rPr>
              <w:t>304.5</w:t>
            </w:r>
          </w:p>
        </w:tc>
        <w:tc>
          <w:tcPr>
            <w:tcW w:w="21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CRM</w:t>
            </w:r>
          </w:p>
        </w:tc>
        <w:tc>
          <w:tcPr>
            <w:tcW w:w="13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2"/>
        </w:trPr>
        <w:tc>
          <w:tcPr>
            <w:tcW w:w="394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940" w:type="dxa"/>
            <w:vAlign w:val="bottom"/>
            <w:gridSpan w:val="2"/>
          </w:tcPr>
          <w:p>
            <w:pPr>
              <w:spacing w:after="0"/>
              <w:rPr>
                <w:sz w:val="20"/>
                <w:szCs w:val="20"/>
                <w:color w:val="auto"/>
              </w:rPr>
            </w:pPr>
            <w:r>
              <w:rPr>
                <w:rFonts w:ascii="Arial" w:cs="Arial" w:eastAsia="Arial" w:hAnsi="Arial"/>
                <w:sz w:val="18"/>
                <w:szCs w:val="18"/>
                <w:color w:val="auto"/>
              </w:rPr>
              <w:t>US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720" w:type="dxa"/>
            <w:vAlign w:val="bottom"/>
            <w:gridSpan w:val="3"/>
          </w:tcPr>
          <w:p>
            <w:pPr>
              <w:jc w:val="right"/>
              <w:ind w:right="130"/>
              <w:spacing w:after="0"/>
              <w:rPr>
                <w:sz w:val="20"/>
                <w:szCs w:val="20"/>
                <w:color w:val="auto"/>
              </w:rPr>
            </w:pPr>
            <w:r>
              <w:rPr>
                <w:rFonts w:ascii="Arial" w:cs="Arial" w:eastAsia="Arial" w:hAnsi="Arial"/>
                <w:sz w:val="18"/>
                <w:szCs w:val="18"/>
                <w:color w:val="auto"/>
              </w:rPr>
              <w:t>5.3</w:t>
            </w:r>
          </w:p>
        </w:tc>
        <w:tc>
          <w:tcPr>
            <w:tcW w:w="2160" w:type="dxa"/>
            <w:vAlign w:val="bottom"/>
            <w:gridSpan w:val="2"/>
          </w:tcPr>
          <w:p>
            <w:pPr>
              <w:jc w:val="right"/>
              <w:ind w:right="110"/>
              <w:spacing w:after="0"/>
              <w:rPr>
                <w:sz w:val="20"/>
                <w:szCs w:val="20"/>
                <w:color w:val="auto"/>
              </w:rPr>
            </w:pPr>
            <w:r>
              <w:rPr>
                <w:rFonts w:ascii="Arial" w:cs="Arial" w:eastAsia="Arial" w:hAnsi="Arial"/>
                <w:sz w:val="18"/>
                <w:szCs w:val="18"/>
                <w:color w:val="auto"/>
              </w:rPr>
              <w:t>(11.7 %)</w:t>
            </w:r>
          </w:p>
        </w:tc>
        <w:tc>
          <w:tcPr>
            <w:tcW w:w="100" w:type="dxa"/>
            <w:vAlign w:val="bottom"/>
          </w:tcPr>
          <w:p>
            <w:pPr>
              <w:spacing w:after="0"/>
              <w:rPr>
                <w:sz w:val="24"/>
                <w:szCs w:val="24"/>
                <w:color w:val="auto"/>
              </w:rPr>
            </w:pPr>
          </w:p>
        </w:tc>
        <w:tc>
          <w:tcPr>
            <w:tcW w:w="2040" w:type="dxa"/>
            <w:vAlign w:val="bottom"/>
          </w:tcPr>
          <w:p>
            <w:pPr>
              <w:jc w:val="right"/>
              <w:ind w:right="110"/>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84"/>
        </w:trPr>
        <w:tc>
          <w:tcPr>
            <w:tcW w:w="394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98.3</w:t>
            </w:r>
          </w:p>
        </w:tc>
        <w:tc>
          <w:tcPr>
            <w:tcW w:w="1720" w:type="dxa"/>
            <w:vAlign w:val="bottom"/>
            <w:gridSpan w:val="3"/>
          </w:tcPr>
          <w:p>
            <w:pPr>
              <w:jc w:val="right"/>
              <w:ind w:right="130"/>
              <w:spacing w:after="0"/>
              <w:rPr>
                <w:sz w:val="20"/>
                <w:szCs w:val="20"/>
                <w:color w:val="auto"/>
              </w:rPr>
            </w:pPr>
            <w:r>
              <w:rPr>
                <w:rFonts w:ascii="Arial" w:cs="Arial" w:eastAsia="Arial" w:hAnsi="Arial"/>
                <w:sz w:val="18"/>
                <w:szCs w:val="18"/>
                <w:color w:val="auto"/>
              </w:rPr>
              <w:t>104.4</w:t>
            </w:r>
          </w:p>
        </w:tc>
        <w:tc>
          <w:tcPr>
            <w:tcW w:w="2160" w:type="dxa"/>
            <w:vAlign w:val="bottom"/>
            <w:gridSpan w:val="2"/>
          </w:tcPr>
          <w:p>
            <w:pPr>
              <w:jc w:val="right"/>
              <w:ind w:right="110"/>
              <w:spacing w:after="0"/>
              <w:rPr>
                <w:sz w:val="20"/>
                <w:szCs w:val="20"/>
                <w:color w:val="auto"/>
              </w:rPr>
            </w:pPr>
            <w:r>
              <w:rPr>
                <w:rFonts w:ascii="Arial" w:cs="Arial" w:eastAsia="Arial" w:hAnsi="Arial"/>
                <w:sz w:val="18"/>
                <w:szCs w:val="18"/>
                <w:color w:val="auto"/>
              </w:rPr>
              <w:t>(5.8 %)</w:t>
            </w:r>
          </w:p>
        </w:tc>
        <w:tc>
          <w:tcPr>
            <w:tcW w:w="100" w:type="dxa"/>
            <w:vAlign w:val="bottom"/>
          </w:tcPr>
          <w:p>
            <w:pPr>
              <w:spacing w:after="0"/>
              <w:rPr>
                <w:sz w:val="24"/>
                <w:szCs w:val="24"/>
                <w:color w:val="auto"/>
              </w:rPr>
            </w:pPr>
          </w:p>
        </w:tc>
        <w:tc>
          <w:tcPr>
            <w:tcW w:w="2040" w:type="dxa"/>
            <w:vAlign w:val="bottom"/>
          </w:tcPr>
          <w:p>
            <w:pPr>
              <w:jc w:val="right"/>
              <w:ind w:right="110"/>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84"/>
        </w:trPr>
        <w:tc>
          <w:tcPr>
            <w:tcW w:w="394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20.8</w:t>
            </w:r>
          </w:p>
        </w:tc>
        <w:tc>
          <w:tcPr>
            <w:tcW w:w="1720" w:type="dxa"/>
            <w:vAlign w:val="bottom"/>
            <w:gridSpan w:val="3"/>
          </w:tcPr>
          <w:p>
            <w:pPr>
              <w:jc w:val="right"/>
              <w:ind w:right="130"/>
              <w:spacing w:after="0"/>
              <w:rPr>
                <w:sz w:val="20"/>
                <w:szCs w:val="20"/>
                <w:color w:val="auto"/>
              </w:rPr>
            </w:pPr>
            <w:r>
              <w:rPr>
                <w:rFonts w:ascii="Arial" w:cs="Arial" w:eastAsia="Arial" w:hAnsi="Arial"/>
                <w:sz w:val="18"/>
                <w:szCs w:val="18"/>
                <w:color w:val="auto"/>
              </w:rPr>
              <w:t>21.6</w:t>
            </w:r>
          </w:p>
        </w:tc>
        <w:tc>
          <w:tcPr>
            <w:tcW w:w="2160" w:type="dxa"/>
            <w:vAlign w:val="bottom"/>
            <w:gridSpan w:val="2"/>
          </w:tcPr>
          <w:p>
            <w:pPr>
              <w:jc w:val="right"/>
              <w:ind w:right="110"/>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24"/>
                <w:szCs w:val="24"/>
                <w:color w:val="auto"/>
              </w:rPr>
            </w:pPr>
          </w:p>
        </w:tc>
        <w:tc>
          <w:tcPr>
            <w:tcW w:w="2040" w:type="dxa"/>
            <w:vAlign w:val="bottom"/>
          </w:tcPr>
          <w:p>
            <w:pPr>
              <w:jc w:val="right"/>
              <w:ind w:right="110"/>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41"/>
        </w:trPr>
        <w:tc>
          <w:tcPr>
            <w:tcW w:w="3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160" w:type="dxa"/>
            <w:vAlign w:val="bottom"/>
            <w:gridSpan w:val="2"/>
            <w:vMerge w:val="restart"/>
          </w:tcPr>
          <w:p>
            <w:pPr>
              <w:jc w:val="right"/>
              <w:ind w:right="110"/>
              <w:spacing w:after="0"/>
              <w:rPr>
                <w:sz w:val="20"/>
                <w:szCs w:val="20"/>
                <w:color w:val="auto"/>
              </w:rPr>
            </w:pPr>
            <w:r>
              <w:rPr>
                <w:rFonts w:ascii="Arial" w:cs="Arial" w:eastAsia="Arial" w:hAnsi="Arial"/>
                <w:sz w:val="18"/>
                <w:szCs w:val="18"/>
                <w:b w:val="1"/>
                <w:bCs w:val="1"/>
                <w:color w:val="auto"/>
              </w:rPr>
              <w:t>(5.7 %)</w:t>
            </w:r>
          </w:p>
        </w:tc>
        <w:tc>
          <w:tcPr>
            <w:tcW w:w="100" w:type="dxa"/>
            <w:vAlign w:val="bottom"/>
          </w:tcPr>
          <w:p>
            <w:pPr>
              <w:spacing w:after="0"/>
              <w:rPr>
                <w:sz w:val="3"/>
                <w:szCs w:val="3"/>
                <w:color w:val="auto"/>
              </w:rPr>
            </w:pPr>
          </w:p>
        </w:tc>
        <w:tc>
          <w:tcPr>
            <w:tcW w:w="20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(3.3 %)</w:t>
            </w:r>
          </w:p>
        </w:tc>
        <w:tc>
          <w:tcPr>
            <w:tcW w:w="0" w:type="dxa"/>
            <w:vAlign w:val="bottom"/>
          </w:tcPr>
          <w:p>
            <w:pPr>
              <w:spacing w:after="0"/>
              <w:rPr>
                <w:sz w:val="1"/>
                <w:szCs w:val="1"/>
                <w:color w:val="auto"/>
              </w:rPr>
            </w:pPr>
          </w:p>
        </w:tc>
      </w:tr>
      <w:tr>
        <w:trPr>
          <w:trHeight w:val="237"/>
        </w:trPr>
        <w:tc>
          <w:tcPr>
            <w:tcW w:w="3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123.8</w:t>
            </w:r>
          </w:p>
        </w:tc>
        <w:tc>
          <w:tcPr>
            <w:tcW w:w="1720" w:type="dxa"/>
            <w:vAlign w:val="bottom"/>
            <w:gridSpan w:val="3"/>
          </w:tcPr>
          <w:p>
            <w:pPr>
              <w:jc w:val="right"/>
              <w:ind w:right="130"/>
              <w:spacing w:after="0"/>
              <w:rPr>
                <w:sz w:val="20"/>
                <w:szCs w:val="20"/>
                <w:color w:val="auto"/>
              </w:rPr>
            </w:pPr>
            <w:r>
              <w:rPr>
                <w:rFonts w:ascii="Arial" w:cs="Arial" w:eastAsia="Arial" w:hAnsi="Arial"/>
                <w:sz w:val="18"/>
                <w:szCs w:val="18"/>
                <w:color w:val="auto"/>
              </w:rPr>
              <w:t>131.3</w:t>
            </w:r>
          </w:p>
        </w:tc>
        <w:tc>
          <w:tcPr>
            <w:tcW w:w="21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Neuromodulation</w:t>
            </w:r>
          </w:p>
        </w:tc>
        <w:tc>
          <w:tcPr>
            <w:tcW w:w="13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9"/>
        </w:trPr>
        <w:tc>
          <w:tcPr>
            <w:tcW w:w="394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940" w:type="dxa"/>
            <w:vAlign w:val="bottom"/>
            <w:gridSpan w:val="2"/>
          </w:tcPr>
          <w:p>
            <w:pPr>
              <w:spacing w:after="0"/>
              <w:rPr>
                <w:sz w:val="20"/>
                <w:szCs w:val="20"/>
                <w:color w:val="auto"/>
              </w:rPr>
            </w:pPr>
            <w:r>
              <w:rPr>
                <w:rFonts w:ascii="Arial" w:cs="Arial" w:eastAsia="Arial" w:hAnsi="Arial"/>
                <w:sz w:val="18"/>
                <w:szCs w:val="18"/>
                <w:color w:val="auto"/>
              </w:rPr>
              <w:t>US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155.1</w:t>
            </w:r>
          </w:p>
        </w:tc>
        <w:tc>
          <w:tcPr>
            <w:tcW w:w="1720" w:type="dxa"/>
            <w:vAlign w:val="bottom"/>
            <w:gridSpan w:val="3"/>
          </w:tcPr>
          <w:p>
            <w:pPr>
              <w:jc w:val="right"/>
              <w:ind w:right="130"/>
              <w:spacing w:after="0"/>
              <w:rPr>
                <w:sz w:val="20"/>
                <w:szCs w:val="20"/>
                <w:color w:val="auto"/>
              </w:rPr>
            </w:pPr>
            <w:r>
              <w:rPr>
                <w:rFonts w:ascii="Arial" w:cs="Arial" w:eastAsia="Arial" w:hAnsi="Arial"/>
                <w:sz w:val="18"/>
                <w:szCs w:val="18"/>
                <w:color w:val="auto"/>
              </w:rPr>
              <w:t>146.0</w:t>
            </w:r>
          </w:p>
        </w:tc>
        <w:tc>
          <w:tcPr>
            <w:tcW w:w="2160" w:type="dxa"/>
            <w:vAlign w:val="bottom"/>
            <w:gridSpan w:val="2"/>
          </w:tcPr>
          <w:p>
            <w:pPr>
              <w:jc w:val="right"/>
              <w:ind w:right="170"/>
              <w:spacing w:after="0"/>
              <w:rPr>
                <w:sz w:val="20"/>
                <w:szCs w:val="20"/>
                <w:color w:val="auto"/>
              </w:rPr>
            </w:pPr>
            <w:r>
              <w:rPr>
                <w:rFonts w:ascii="Arial" w:cs="Arial" w:eastAsia="Arial" w:hAnsi="Arial"/>
                <w:sz w:val="18"/>
                <w:szCs w:val="18"/>
                <w:color w:val="auto"/>
              </w:rPr>
              <w:t>6.2 %</w:t>
            </w:r>
          </w:p>
        </w:tc>
        <w:tc>
          <w:tcPr>
            <w:tcW w:w="100" w:type="dxa"/>
            <w:vAlign w:val="bottom"/>
          </w:tcPr>
          <w:p>
            <w:pPr>
              <w:spacing w:after="0"/>
              <w:rPr>
                <w:sz w:val="24"/>
                <w:szCs w:val="24"/>
                <w:color w:val="auto"/>
              </w:rPr>
            </w:pPr>
          </w:p>
        </w:tc>
        <w:tc>
          <w:tcPr>
            <w:tcW w:w="2040" w:type="dxa"/>
            <w:vAlign w:val="bottom"/>
          </w:tcPr>
          <w:p>
            <w:pPr>
              <w:jc w:val="right"/>
              <w:ind w:right="170"/>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84"/>
        </w:trPr>
        <w:tc>
          <w:tcPr>
            <w:tcW w:w="394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17.4</w:t>
            </w:r>
          </w:p>
        </w:tc>
        <w:tc>
          <w:tcPr>
            <w:tcW w:w="1720" w:type="dxa"/>
            <w:vAlign w:val="bottom"/>
            <w:gridSpan w:val="3"/>
          </w:tcPr>
          <w:p>
            <w:pPr>
              <w:jc w:val="right"/>
              <w:ind w:right="130"/>
              <w:spacing w:after="0"/>
              <w:rPr>
                <w:sz w:val="20"/>
                <w:szCs w:val="20"/>
                <w:color w:val="auto"/>
              </w:rPr>
            </w:pPr>
            <w:r>
              <w:rPr>
                <w:rFonts w:ascii="Arial" w:cs="Arial" w:eastAsia="Arial" w:hAnsi="Arial"/>
                <w:sz w:val="18"/>
                <w:szCs w:val="18"/>
                <w:color w:val="auto"/>
              </w:rPr>
              <w:t>15.7</w:t>
            </w:r>
          </w:p>
        </w:tc>
        <w:tc>
          <w:tcPr>
            <w:tcW w:w="2160" w:type="dxa"/>
            <w:vAlign w:val="bottom"/>
            <w:gridSpan w:val="2"/>
          </w:tcPr>
          <w:p>
            <w:pPr>
              <w:jc w:val="right"/>
              <w:ind w:right="170"/>
              <w:spacing w:after="0"/>
              <w:rPr>
                <w:sz w:val="20"/>
                <w:szCs w:val="20"/>
                <w:color w:val="auto"/>
              </w:rPr>
            </w:pPr>
            <w:r>
              <w:rPr>
                <w:rFonts w:ascii="Arial" w:cs="Arial" w:eastAsia="Arial" w:hAnsi="Arial"/>
                <w:sz w:val="18"/>
                <w:szCs w:val="18"/>
                <w:color w:val="auto"/>
              </w:rPr>
              <w:t>11.0 %</w:t>
            </w:r>
          </w:p>
        </w:tc>
        <w:tc>
          <w:tcPr>
            <w:tcW w:w="100" w:type="dxa"/>
            <w:vAlign w:val="bottom"/>
          </w:tcPr>
          <w:p>
            <w:pPr>
              <w:spacing w:after="0"/>
              <w:rPr>
                <w:sz w:val="24"/>
                <w:szCs w:val="24"/>
                <w:color w:val="auto"/>
              </w:rPr>
            </w:pPr>
          </w:p>
        </w:tc>
        <w:tc>
          <w:tcPr>
            <w:tcW w:w="2040" w:type="dxa"/>
            <w:vAlign w:val="bottom"/>
          </w:tcPr>
          <w:p>
            <w:pPr>
              <w:jc w:val="right"/>
              <w:ind w:right="170"/>
              <w:spacing w:after="0"/>
              <w:rPr>
                <w:sz w:val="20"/>
                <w:szCs w:val="20"/>
                <w:color w:val="auto"/>
              </w:rPr>
            </w:pPr>
            <w:r>
              <w:rPr>
                <w:rFonts w:ascii="Arial" w:cs="Arial" w:eastAsia="Arial" w:hAnsi="Arial"/>
                <w:sz w:val="18"/>
                <w:szCs w:val="18"/>
                <w:color w:val="auto"/>
              </w:rPr>
              <w:t>17.5 %</w:t>
            </w:r>
          </w:p>
        </w:tc>
        <w:tc>
          <w:tcPr>
            <w:tcW w:w="0" w:type="dxa"/>
            <w:vAlign w:val="bottom"/>
          </w:tcPr>
          <w:p>
            <w:pPr>
              <w:spacing w:after="0"/>
              <w:rPr>
                <w:sz w:val="1"/>
                <w:szCs w:val="1"/>
                <w:color w:val="auto"/>
              </w:rPr>
            </w:pPr>
          </w:p>
        </w:tc>
      </w:tr>
      <w:tr>
        <w:trPr>
          <w:trHeight w:val="284"/>
        </w:trPr>
        <w:tc>
          <w:tcPr>
            <w:tcW w:w="394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1720" w:type="dxa"/>
            <w:vAlign w:val="bottom"/>
            <w:gridSpan w:val="3"/>
          </w:tcPr>
          <w:p>
            <w:pPr>
              <w:jc w:val="right"/>
              <w:ind w:right="130"/>
              <w:spacing w:after="0"/>
              <w:rPr>
                <w:sz w:val="20"/>
                <w:szCs w:val="20"/>
                <w:color w:val="auto"/>
              </w:rPr>
            </w:pPr>
            <w:r>
              <w:rPr>
                <w:rFonts w:ascii="Arial" w:cs="Arial" w:eastAsia="Arial" w:hAnsi="Arial"/>
                <w:sz w:val="18"/>
                <w:szCs w:val="18"/>
                <w:color w:val="auto"/>
              </w:rPr>
              <w:t>9.6</w:t>
            </w:r>
          </w:p>
        </w:tc>
        <w:tc>
          <w:tcPr>
            <w:tcW w:w="2160" w:type="dxa"/>
            <w:vAlign w:val="bottom"/>
            <w:gridSpan w:val="2"/>
          </w:tcPr>
          <w:p>
            <w:pPr>
              <w:jc w:val="right"/>
              <w:ind w:right="170"/>
              <w:spacing w:after="0"/>
              <w:rPr>
                <w:sz w:val="20"/>
                <w:szCs w:val="20"/>
                <w:color w:val="auto"/>
              </w:rPr>
            </w:pPr>
            <w:r>
              <w:rPr>
                <w:rFonts w:ascii="Arial" w:cs="Arial" w:eastAsia="Arial" w:hAnsi="Arial"/>
                <w:sz w:val="18"/>
                <w:szCs w:val="18"/>
                <w:color w:val="auto"/>
              </w:rPr>
              <w:t>20.9 %</w:t>
            </w:r>
          </w:p>
        </w:tc>
        <w:tc>
          <w:tcPr>
            <w:tcW w:w="100" w:type="dxa"/>
            <w:vAlign w:val="bottom"/>
          </w:tcPr>
          <w:p>
            <w:pPr>
              <w:spacing w:after="0"/>
              <w:rPr>
                <w:sz w:val="24"/>
                <w:szCs w:val="24"/>
                <w:color w:val="auto"/>
              </w:rPr>
            </w:pPr>
          </w:p>
        </w:tc>
        <w:tc>
          <w:tcPr>
            <w:tcW w:w="2040" w:type="dxa"/>
            <w:vAlign w:val="bottom"/>
          </w:tcPr>
          <w:p>
            <w:pPr>
              <w:jc w:val="right"/>
              <w:ind w:right="170"/>
              <w:spacing w:after="0"/>
              <w:rPr>
                <w:sz w:val="20"/>
                <w:szCs w:val="20"/>
                <w:color w:val="auto"/>
              </w:rPr>
            </w:pPr>
            <w:r>
              <w:rPr>
                <w:rFonts w:ascii="Arial" w:cs="Arial" w:eastAsia="Arial" w:hAnsi="Arial"/>
                <w:sz w:val="18"/>
                <w:szCs w:val="18"/>
                <w:color w:val="auto"/>
              </w:rPr>
              <w:t>20.7 %</w:t>
            </w:r>
          </w:p>
        </w:tc>
        <w:tc>
          <w:tcPr>
            <w:tcW w:w="0" w:type="dxa"/>
            <w:vAlign w:val="bottom"/>
          </w:tcPr>
          <w:p>
            <w:pPr>
              <w:spacing w:after="0"/>
              <w:rPr>
                <w:sz w:val="1"/>
                <w:szCs w:val="1"/>
                <w:color w:val="auto"/>
              </w:rPr>
            </w:pPr>
          </w:p>
        </w:tc>
      </w:tr>
      <w:tr>
        <w:trPr>
          <w:trHeight w:val="41"/>
        </w:trPr>
        <w:tc>
          <w:tcPr>
            <w:tcW w:w="3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160" w:type="dxa"/>
            <w:vAlign w:val="bottom"/>
            <w:gridSpan w:val="2"/>
            <w:vMerge w:val="restart"/>
          </w:tcPr>
          <w:p>
            <w:pPr>
              <w:jc w:val="right"/>
              <w:ind w:right="170"/>
              <w:spacing w:after="0"/>
              <w:rPr>
                <w:sz w:val="20"/>
                <w:szCs w:val="20"/>
                <w:color w:val="auto"/>
              </w:rPr>
            </w:pPr>
            <w:r>
              <w:rPr>
                <w:rFonts w:ascii="Arial" w:cs="Arial" w:eastAsia="Arial" w:hAnsi="Arial"/>
                <w:sz w:val="18"/>
                <w:szCs w:val="18"/>
                <w:b w:val="1"/>
                <w:bCs w:val="1"/>
                <w:color w:val="auto"/>
              </w:rPr>
              <w:t>7.5 %</w:t>
            </w:r>
          </w:p>
        </w:tc>
        <w:tc>
          <w:tcPr>
            <w:tcW w:w="100" w:type="dxa"/>
            <w:vAlign w:val="bottom"/>
          </w:tcPr>
          <w:p>
            <w:pPr>
              <w:spacing w:after="0"/>
              <w:rPr>
                <w:sz w:val="3"/>
                <w:szCs w:val="3"/>
                <w:color w:val="auto"/>
              </w:rPr>
            </w:pPr>
          </w:p>
        </w:tc>
        <w:tc>
          <w:tcPr>
            <w:tcW w:w="20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8.0 %</w:t>
            </w:r>
          </w:p>
        </w:tc>
        <w:tc>
          <w:tcPr>
            <w:tcW w:w="0" w:type="dxa"/>
            <w:vAlign w:val="bottom"/>
          </w:tcPr>
          <w:p>
            <w:pPr>
              <w:spacing w:after="0"/>
              <w:rPr>
                <w:sz w:val="1"/>
                <w:szCs w:val="1"/>
                <w:color w:val="auto"/>
              </w:rPr>
            </w:pPr>
          </w:p>
        </w:tc>
      </w:tr>
      <w:tr>
        <w:trPr>
          <w:trHeight w:val="237"/>
        </w:trPr>
        <w:tc>
          <w:tcPr>
            <w:tcW w:w="3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184.2</w:t>
            </w:r>
          </w:p>
        </w:tc>
        <w:tc>
          <w:tcPr>
            <w:tcW w:w="1720" w:type="dxa"/>
            <w:vAlign w:val="bottom"/>
            <w:gridSpan w:val="3"/>
          </w:tcPr>
          <w:p>
            <w:pPr>
              <w:jc w:val="right"/>
              <w:ind w:right="130"/>
              <w:spacing w:after="0"/>
              <w:rPr>
                <w:sz w:val="20"/>
                <w:szCs w:val="20"/>
                <w:color w:val="auto"/>
              </w:rPr>
            </w:pPr>
            <w:r>
              <w:rPr>
                <w:rFonts w:ascii="Arial" w:cs="Arial" w:eastAsia="Arial" w:hAnsi="Arial"/>
                <w:sz w:val="18"/>
                <w:szCs w:val="18"/>
                <w:color w:val="auto"/>
              </w:rPr>
              <w:t>171.4</w:t>
            </w:r>
          </w:p>
        </w:tc>
        <w:tc>
          <w:tcPr>
            <w:tcW w:w="21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w:t>
            </w:r>
          </w:p>
        </w:tc>
        <w:tc>
          <w:tcPr>
            <w:tcW w:w="13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26"/>
        </w:trPr>
        <w:tc>
          <w:tcPr>
            <w:tcW w:w="394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940" w:type="dxa"/>
            <w:vAlign w:val="bottom"/>
            <w:gridSpan w:val="2"/>
          </w:tcPr>
          <w:p>
            <w:pPr>
              <w:spacing w:after="0"/>
              <w:rPr>
                <w:sz w:val="20"/>
                <w:szCs w:val="20"/>
                <w:color w:val="auto"/>
              </w:rPr>
            </w:pPr>
            <w:r>
              <w:rPr>
                <w:rFonts w:ascii="Arial" w:cs="Arial" w:eastAsia="Arial" w:hAnsi="Arial"/>
                <w:sz w:val="18"/>
                <w:szCs w:val="18"/>
                <w:color w:val="auto"/>
              </w:rPr>
              <w:t>US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140" w:type="dxa"/>
            <w:vAlign w:val="bottom"/>
            <w:gridSpan w:val="2"/>
          </w:tcPr>
          <w:p>
            <w:pPr>
              <w:jc w:val="right"/>
              <w:ind w:right="580"/>
              <w:spacing w:after="0"/>
              <w:rPr>
                <w:sz w:val="20"/>
                <w:szCs w:val="20"/>
                <w:color w:val="auto"/>
              </w:rPr>
            </w:pPr>
            <w:r>
              <w:rPr>
                <w:rFonts w:ascii="Arial" w:cs="Arial" w:eastAsia="Arial" w:hAnsi="Arial"/>
                <w:sz w:val="18"/>
                <w:szCs w:val="18"/>
                <w:color w:val="auto"/>
              </w:rPr>
              <w:t>N/A</w:t>
            </w:r>
          </w:p>
        </w:tc>
        <w:tc>
          <w:tcPr>
            <w:tcW w:w="2040" w:type="dxa"/>
            <w:vAlign w:val="bottom"/>
          </w:tcPr>
          <w:p>
            <w:pPr>
              <w:jc w:val="right"/>
              <w:ind w:right="3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84"/>
        </w:trPr>
        <w:tc>
          <w:tcPr>
            <w:tcW w:w="394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13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4"/>
                <w:szCs w:val="24"/>
                <w:color w:val="auto"/>
              </w:rPr>
            </w:pPr>
          </w:p>
        </w:tc>
        <w:tc>
          <w:tcPr>
            <w:tcW w:w="2140" w:type="dxa"/>
            <w:vAlign w:val="bottom"/>
            <w:gridSpan w:val="2"/>
          </w:tcPr>
          <w:p>
            <w:pPr>
              <w:jc w:val="right"/>
              <w:ind w:right="580"/>
              <w:spacing w:after="0"/>
              <w:rPr>
                <w:sz w:val="20"/>
                <w:szCs w:val="20"/>
                <w:color w:val="auto"/>
              </w:rPr>
            </w:pPr>
            <w:r>
              <w:rPr>
                <w:rFonts w:ascii="Arial" w:cs="Arial" w:eastAsia="Arial" w:hAnsi="Arial"/>
                <w:sz w:val="18"/>
                <w:szCs w:val="18"/>
                <w:color w:val="auto"/>
              </w:rPr>
              <w:t>N/A</w:t>
            </w:r>
          </w:p>
        </w:tc>
        <w:tc>
          <w:tcPr>
            <w:tcW w:w="2040" w:type="dxa"/>
            <w:vAlign w:val="bottom"/>
          </w:tcPr>
          <w:p>
            <w:pPr>
              <w:jc w:val="right"/>
              <w:ind w:right="3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84"/>
        </w:trPr>
        <w:tc>
          <w:tcPr>
            <w:tcW w:w="394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1720" w:type="dxa"/>
            <w:vAlign w:val="bottom"/>
            <w:gridSpan w:val="3"/>
          </w:tcPr>
          <w:p>
            <w:pPr>
              <w:jc w:val="right"/>
              <w:ind w:right="13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4"/>
                <w:szCs w:val="24"/>
                <w:color w:val="auto"/>
              </w:rPr>
            </w:pPr>
          </w:p>
        </w:tc>
        <w:tc>
          <w:tcPr>
            <w:tcW w:w="2140" w:type="dxa"/>
            <w:vAlign w:val="bottom"/>
            <w:gridSpan w:val="2"/>
          </w:tcPr>
          <w:p>
            <w:pPr>
              <w:jc w:val="right"/>
              <w:ind w:right="580"/>
              <w:spacing w:after="0"/>
              <w:rPr>
                <w:sz w:val="20"/>
                <w:szCs w:val="20"/>
                <w:color w:val="auto"/>
              </w:rPr>
            </w:pPr>
            <w:r>
              <w:rPr>
                <w:rFonts w:ascii="Arial" w:cs="Arial" w:eastAsia="Arial" w:hAnsi="Arial"/>
                <w:sz w:val="18"/>
                <w:szCs w:val="18"/>
                <w:color w:val="auto"/>
              </w:rPr>
              <w:t>N/A</w:t>
            </w:r>
          </w:p>
        </w:tc>
        <w:tc>
          <w:tcPr>
            <w:tcW w:w="2040" w:type="dxa"/>
            <w:vAlign w:val="bottom"/>
          </w:tcPr>
          <w:p>
            <w:pPr>
              <w:jc w:val="right"/>
              <w:ind w:right="3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1"/>
        </w:trPr>
        <w:tc>
          <w:tcPr>
            <w:tcW w:w="3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gridSpan w:val="2"/>
            <w:vMerge w:val="restart"/>
          </w:tcPr>
          <w:p>
            <w:pPr>
              <w:jc w:val="right"/>
              <w:ind w:right="580"/>
              <w:spacing w:after="0"/>
              <w:rPr>
                <w:sz w:val="20"/>
                <w:szCs w:val="20"/>
                <w:color w:val="auto"/>
              </w:rPr>
            </w:pPr>
            <w:r>
              <w:rPr>
                <w:rFonts w:ascii="Arial" w:cs="Arial" w:eastAsia="Arial" w:hAnsi="Arial"/>
                <w:sz w:val="18"/>
                <w:szCs w:val="18"/>
                <w:b w:val="1"/>
                <w:bCs w:val="1"/>
                <w:color w:val="auto"/>
              </w:rPr>
              <w:t>N/A</w:t>
            </w:r>
          </w:p>
        </w:tc>
        <w:tc>
          <w:tcPr>
            <w:tcW w:w="204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37"/>
        </w:trPr>
        <w:tc>
          <w:tcPr>
            <w:tcW w:w="3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1720" w:type="dxa"/>
            <w:vAlign w:val="bottom"/>
            <w:gridSpan w:val="3"/>
          </w:tcPr>
          <w:p>
            <w:pPr>
              <w:jc w:val="right"/>
              <w:ind w:right="13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2140" w:type="dxa"/>
            <w:vAlign w:val="bottom"/>
            <w:gridSpan w:val="2"/>
            <w:vMerge w:val="continue"/>
          </w:tcPr>
          <w:p>
            <w:pPr>
              <w:spacing w:after="0"/>
              <w:rPr>
                <w:sz w:val="20"/>
                <w:szCs w:val="20"/>
                <w:color w:val="auto"/>
              </w:rPr>
            </w:pPr>
          </w:p>
        </w:tc>
        <w:tc>
          <w:tcPr>
            <w:tcW w:w="2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26"/>
        </w:trPr>
        <w:tc>
          <w:tcPr>
            <w:tcW w:w="394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940" w:type="dxa"/>
            <w:vAlign w:val="bottom"/>
            <w:gridSpan w:val="2"/>
          </w:tcPr>
          <w:p>
            <w:pPr>
              <w:spacing w:after="0"/>
              <w:rPr>
                <w:sz w:val="20"/>
                <w:szCs w:val="20"/>
                <w:color w:val="auto"/>
              </w:rPr>
            </w:pPr>
            <w:r>
              <w:rPr>
                <w:rFonts w:ascii="Arial" w:cs="Arial" w:eastAsia="Arial" w:hAnsi="Arial"/>
                <w:sz w:val="18"/>
                <w:szCs w:val="18"/>
                <w:color w:val="auto"/>
              </w:rPr>
              <w:t>US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243.9</w:t>
            </w:r>
          </w:p>
        </w:tc>
        <w:tc>
          <w:tcPr>
            <w:tcW w:w="1720" w:type="dxa"/>
            <w:vAlign w:val="bottom"/>
            <w:gridSpan w:val="3"/>
          </w:tcPr>
          <w:p>
            <w:pPr>
              <w:jc w:val="right"/>
              <w:ind w:right="130"/>
              <w:spacing w:after="0"/>
              <w:rPr>
                <w:sz w:val="20"/>
                <w:szCs w:val="20"/>
                <w:color w:val="auto"/>
              </w:rPr>
            </w:pPr>
            <w:r>
              <w:rPr>
                <w:rFonts w:ascii="Arial" w:cs="Arial" w:eastAsia="Arial" w:hAnsi="Arial"/>
                <w:sz w:val="18"/>
                <w:szCs w:val="18"/>
                <w:color w:val="auto"/>
              </w:rPr>
              <w:t>238.5</w:t>
            </w:r>
          </w:p>
        </w:tc>
        <w:tc>
          <w:tcPr>
            <w:tcW w:w="2160" w:type="dxa"/>
            <w:vAlign w:val="bottom"/>
            <w:gridSpan w:val="2"/>
          </w:tcPr>
          <w:p>
            <w:pPr>
              <w:jc w:val="right"/>
              <w:ind w:right="170"/>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24"/>
                <w:szCs w:val="24"/>
                <w:color w:val="auto"/>
              </w:rPr>
            </w:pPr>
          </w:p>
        </w:tc>
        <w:tc>
          <w:tcPr>
            <w:tcW w:w="2040" w:type="dxa"/>
            <w:vAlign w:val="bottom"/>
          </w:tcPr>
          <w:p>
            <w:pPr>
              <w:jc w:val="right"/>
              <w:ind w:right="170"/>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84"/>
        </w:trPr>
        <w:tc>
          <w:tcPr>
            <w:tcW w:w="394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201.4</w:t>
            </w:r>
          </w:p>
        </w:tc>
        <w:tc>
          <w:tcPr>
            <w:tcW w:w="1720" w:type="dxa"/>
            <w:vAlign w:val="bottom"/>
            <w:gridSpan w:val="3"/>
          </w:tcPr>
          <w:p>
            <w:pPr>
              <w:jc w:val="right"/>
              <w:ind w:right="130"/>
              <w:spacing w:after="0"/>
              <w:rPr>
                <w:sz w:val="20"/>
                <w:szCs w:val="20"/>
                <w:color w:val="auto"/>
              </w:rPr>
            </w:pPr>
            <w:r>
              <w:rPr>
                <w:rFonts w:ascii="Arial" w:cs="Arial" w:eastAsia="Arial" w:hAnsi="Arial"/>
                <w:sz w:val="18"/>
                <w:szCs w:val="18"/>
                <w:color w:val="auto"/>
              </w:rPr>
              <w:t>210.5</w:t>
            </w:r>
          </w:p>
        </w:tc>
        <w:tc>
          <w:tcPr>
            <w:tcW w:w="2160" w:type="dxa"/>
            <w:vAlign w:val="bottom"/>
            <w:gridSpan w:val="2"/>
          </w:tcPr>
          <w:p>
            <w:pPr>
              <w:jc w:val="right"/>
              <w:ind w:right="110"/>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24"/>
                <w:szCs w:val="24"/>
                <w:color w:val="auto"/>
              </w:rPr>
            </w:pPr>
          </w:p>
        </w:tc>
        <w:tc>
          <w:tcPr>
            <w:tcW w:w="2040" w:type="dxa"/>
            <w:vAlign w:val="bottom"/>
          </w:tcPr>
          <w:p>
            <w:pPr>
              <w:jc w:val="right"/>
              <w:ind w:right="110"/>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84"/>
        </w:trPr>
        <w:tc>
          <w:tcPr>
            <w:tcW w:w="394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161.2</w:t>
            </w:r>
          </w:p>
        </w:tc>
        <w:tc>
          <w:tcPr>
            <w:tcW w:w="1720" w:type="dxa"/>
            <w:vAlign w:val="bottom"/>
            <w:gridSpan w:val="3"/>
          </w:tcPr>
          <w:p>
            <w:pPr>
              <w:jc w:val="right"/>
              <w:ind w:right="130"/>
              <w:spacing w:after="0"/>
              <w:rPr>
                <w:sz w:val="20"/>
                <w:szCs w:val="20"/>
                <w:color w:val="auto"/>
              </w:rPr>
            </w:pPr>
            <w:r>
              <w:rPr>
                <w:rFonts w:ascii="Arial" w:cs="Arial" w:eastAsia="Arial" w:hAnsi="Arial"/>
                <w:sz w:val="18"/>
                <w:szCs w:val="18"/>
                <w:color w:val="auto"/>
              </w:rPr>
              <w:t>159.0</w:t>
            </w:r>
          </w:p>
        </w:tc>
        <w:tc>
          <w:tcPr>
            <w:tcW w:w="2160" w:type="dxa"/>
            <w:vAlign w:val="bottom"/>
            <w:gridSpan w:val="2"/>
          </w:tcPr>
          <w:p>
            <w:pPr>
              <w:jc w:val="right"/>
              <w:ind w:right="170"/>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4"/>
                <w:szCs w:val="24"/>
                <w:color w:val="auto"/>
              </w:rPr>
            </w:pPr>
          </w:p>
        </w:tc>
        <w:tc>
          <w:tcPr>
            <w:tcW w:w="2040" w:type="dxa"/>
            <w:vAlign w:val="bottom"/>
          </w:tcPr>
          <w:p>
            <w:pPr>
              <w:jc w:val="right"/>
              <w:ind w:right="170"/>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41"/>
        </w:trPr>
        <w:tc>
          <w:tcPr>
            <w:tcW w:w="3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$606.5</w:t>
            </w:r>
          </w:p>
        </w:tc>
        <w:tc>
          <w:tcPr>
            <w:tcW w:w="172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$608.0</w:t>
            </w:r>
          </w:p>
        </w:tc>
        <w:tc>
          <w:tcPr>
            <w:tcW w:w="21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(0.3 %)</w:t>
            </w:r>
          </w:p>
        </w:tc>
        <w:tc>
          <w:tcPr>
            <w:tcW w:w="100" w:type="dxa"/>
            <w:vAlign w:val="bottom"/>
          </w:tcPr>
          <w:p>
            <w:pPr>
              <w:spacing w:after="0"/>
              <w:rPr>
                <w:sz w:val="21"/>
                <w:szCs w:val="21"/>
                <w:color w:val="auto"/>
              </w:rPr>
            </w:pPr>
          </w:p>
        </w:tc>
        <w:tc>
          <w:tcPr>
            <w:tcW w:w="2040" w:type="dxa"/>
            <w:vAlign w:val="bottom"/>
          </w:tcPr>
          <w:p>
            <w:pPr>
              <w:jc w:val="right"/>
              <w:ind w:right="170"/>
              <w:spacing w:after="0"/>
              <w:rPr>
                <w:sz w:val="20"/>
                <w:szCs w:val="20"/>
                <w:color w:val="auto"/>
              </w:rPr>
            </w:pPr>
            <w:r>
              <w:rPr>
                <w:rFonts w:ascii="Arial" w:cs="Arial" w:eastAsia="Arial" w:hAnsi="Arial"/>
                <w:sz w:val="18"/>
                <w:szCs w:val="18"/>
                <w:b w:val="1"/>
                <w:bCs w:val="1"/>
                <w:color w:val="auto"/>
              </w:rPr>
              <w:t>1.0 %</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 The sales results presented are unaudited. Numbers may not add up precisely due to rounding.</w:t>
      </w:r>
    </w:p>
    <w:p>
      <w:pPr>
        <w:sectPr>
          <w:pgSz w:w="11900" w:h="16838" w:orient="portrait"/>
          <w:cols w:equalWidth="0" w:num="1">
            <w:col w:w="11340"/>
          </w:cols>
          <w:pgMar w:left="320" w:top="733" w:right="2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40"/>
          </w:cols>
          <w:pgMar w:left="320" w:top="733" w:right="239" w:bottom="1440" w:gutter="0" w:footer="0" w:header="0"/>
          <w:type w:val="continuous"/>
        </w:sectPr>
      </w:pPr>
    </w:p>
    <w:bookmarkStart w:id="12" w:name="page13"/>
    <w:bookmarkEnd w:id="12"/>
    <w:p>
      <w:pPr>
        <w:ind w:left="280"/>
        <w:spacing w:after="0"/>
        <w:rPr>
          <w:sz w:val="20"/>
          <w:szCs w:val="20"/>
          <w:color w:val="auto"/>
        </w:rPr>
      </w:pPr>
      <w:r>
        <w:rPr>
          <w:rFonts w:ascii="Arial" w:cs="Arial" w:eastAsia="Arial" w:hAnsi="Arial"/>
          <w:sz w:val="20"/>
          <w:szCs w:val="20"/>
          <w:b w:val="1"/>
          <w:bCs w:val="1"/>
          <w:color w:val="auto"/>
        </w:rPr>
        <w:t>LIVANOVA PLC AND SUBSIDIARIES</w:t>
      </w:r>
    </w:p>
    <w:p>
      <w:pPr>
        <w:spacing w:after="0" w:line="67" w:lineRule="exact"/>
        <w:rPr>
          <w:sz w:val="20"/>
          <w:szCs w:val="20"/>
          <w:color w:val="auto"/>
        </w:rPr>
      </w:pPr>
    </w:p>
    <w:p>
      <w:pPr>
        <w:ind w:left="280" w:right="5000"/>
        <w:spacing w:after="0" w:line="373" w:lineRule="auto"/>
        <w:rPr>
          <w:sz w:val="20"/>
          <w:szCs w:val="20"/>
          <w:color w:val="auto"/>
        </w:rPr>
      </w:pPr>
      <w:r>
        <w:rPr>
          <w:rFonts w:ascii="Arial" w:cs="Arial" w:eastAsia="Arial" w:hAnsi="Arial"/>
          <w:sz w:val="19"/>
          <w:szCs w:val="19"/>
          <w:b w:val="1"/>
          <w:bCs w:val="1"/>
          <w:color w:val="auto"/>
        </w:rPr>
        <w:t>CONSOLIDATED STATEMENT OF INCOME (LOSS) - UNAUDITED (U.S. dollars in millions, except per share amounts)</w:t>
      </w:r>
    </w:p>
    <w:p>
      <w:pPr>
        <w:spacing w:after="0" w:line="208" w:lineRule="exact"/>
        <w:rPr>
          <w:sz w:val="20"/>
          <w:szCs w:val="20"/>
          <w:color w:val="auto"/>
        </w:rPr>
      </w:pPr>
    </w:p>
    <w:tbl>
      <w:tblPr>
        <w:tblLayout w:type="fixed"/>
        <w:tblInd w:w="28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3260" w:type="dxa"/>
            <w:vAlign w:val="bottom"/>
            <w:gridSpan w:val="5"/>
          </w:tcPr>
          <w:p>
            <w:pPr>
              <w:jc w:val="right"/>
              <w:ind w:right="80"/>
              <w:spacing w:after="0"/>
              <w:rPr>
                <w:sz w:val="20"/>
                <w:szCs w:val="20"/>
                <w:color w:val="auto"/>
              </w:rPr>
            </w:pPr>
            <w:r>
              <w:rPr>
                <w:rFonts w:ascii="Arial" w:cs="Arial" w:eastAsia="Arial" w:hAnsi="Arial"/>
                <w:sz w:val="16"/>
                <w:szCs w:val="16"/>
                <w:b w:val="1"/>
                <w:bCs w:val="1"/>
                <w:color w:val="auto"/>
              </w:rPr>
              <w:t>Three Months Ended June 30,</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47"/>
        </w:trPr>
        <w:tc>
          <w:tcPr>
            <w:tcW w:w="496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3"/>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620" w:type="dxa"/>
            <w:vAlign w:val="bottom"/>
          </w:tcPr>
          <w:p>
            <w:pPr>
              <w:spacing w:after="0"/>
              <w:rPr>
                <w:sz w:val="4"/>
                <w:szCs w:val="4"/>
                <w:color w:val="auto"/>
              </w:rPr>
            </w:pPr>
          </w:p>
        </w:tc>
      </w:tr>
      <w:tr>
        <w:trPr>
          <w:trHeight w:val="217"/>
        </w:trPr>
        <w:tc>
          <w:tcPr>
            <w:tcW w:w="6160" w:type="dxa"/>
            <w:vAlign w:val="bottom"/>
            <w:gridSpan w:val="2"/>
          </w:tcPr>
          <w:p>
            <w:pPr>
              <w:ind w:left="5780"/>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18"/>
                <w:szCs w:val="18"/>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2016</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ind w:right="299"/>
              <w:spacing w:after="0"/>
              <w:rPr>
                <w:sz w:val="20"/>
                <w:szCs w:val="20"/>
                <w:color w:val="auto"/>
              </w:rPr>
            </w:pPr>
            <w:r>
              <w:rPr>
                <w:rFonts w:ascii="Arial" w:cs="Arial" w:eastAsia="Arial" w:hAnsi="Arial"/>
                <w:sz w:val="16"/>
                <w:szCs w:val="16"/>
                <w:b w:val="1"/>
                <w:bCs w:val="1"/>
                <w:color w:val="auto"/>
              </w:rPr>
              <w:t>% Change</w:t>
            </w:r>
          </w:p>
        </w:tc>
      </w:tr>
      <w:tr>
        <w:trPr>
          <w:trHeight w:val="47"/>
        </w:trPr>
        <w:tc>
          <w:tcPr>
            <w:tcW w:w="496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r>
      <w:tr>
        <w:trPr>
          <w:trHeight w:val="406"/>
        </w:trPr>
        <w:tc>
          <w:tcPr>
            <w:tcW w:w="6160" w:type="dxa"/>
            <w:vAlign w:val="bottom"/>
            <w:gridSpan w:val="2"/>
          </w:tcPr>
          <w:p>
            <w:pPr>
              <w:spacing w:after="0"/>
              <w:rPr>
                <w:sz w:val="20"/>
                <w:szCs w:val="20"/>
                <w:color w:val="auto"/>
              </w:rPr>
            </w:pPr>
            <w:r>
              <w:rPr>
                <w:rFonts w:ascii="Arial" w:cs="Arial" w:eastAsia="Arial" w:hAnsi="Arial"/>
                <w:sz w:val="16"/>
                <w:szCs w:val="16"/>
                <w:color w:val="auto"/>
              </w:rPr>
              <w:t>Net sales</w:t>
            </w:r>
          </w:p>
        </w:tc>
        <w:tc>
          <w:tcPr>
            <w:tcW w:w="580" w:type="dxa"/>
            <w:vAlign w:val="bottom"/>
          </w:tcPr>
          <w:p>
            <w:pPr>
              <w:jc w:val="right"/>
              <w:spacing w:after="0"/>
              <w:rPr>
                <w:sz w:val="20"/>
                <w:szCs w:val="20"/>
                <w:color w:val="auto"/>
              </w:rPr>
            </w:pPr>
            <w:r>
              <w:rPr>
                <w:rFonts w:ascii="Arial" w:cs="Arial" w:eastAsia="Arial" w:hAnsi="Arial"/>
                <w:sz w:val="16"/>
                <w:szCs w:val="16"/>
                <w:color w:val="auto"/>
              </w:rPr>
              <w:t>$321.4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$321.0</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0"/>
        </w:trPr>
        <w:tc>
          <w:tcPr>
            <w:tcW w:w="6160" w:type="dxa"/>
            <w:vAlign w:val="bottom"/>
            <w:gridSpan w:val="2"/>
          </w:tcPr>
          <w:p>
            <w:pPr>
              <w:ind w:left="660"/>
              <w:spacing w:after="0"/>
              <w:rPr>
                <w:sz w:val="20"/>
                <w:szCs w:val="20"/>
                <w:color w:val="auto"/>
              </w:rPr>
            </w:pPr>
            <w:r>
              <w:rPr>
                <w:rFonts w:ascii="Arial" w:cs="Arial" w:eastAsia="Arial" w:hAnsi="Arial"/>
                <w:sz w:val="16"/>
                <w:szCs w:val="16"/>
                <w:color w:val="auto"/>
              </w:rPr>
              <w:t>Cost of sales</w:t>
            </w:r>
          </w:p>
        </w:tc>
        <w:tc>
          <w:tcPr>
            <w:tcW w:w="580" w:type="dxa"/>
            <w:vAlign w:val="bottom"/>
          </w:tcPr>
          <w:p>
            <w:pPr>
              <w:jc w:val="right"/>
              <w:spacing w:after="0"/>
              <w:rPr>
                <w:sz w:val="20"/>
                <w:szCs w:val="20"/>
                <w:color w:val="auto"/>
              </w:rPr>
            </w:pPr>
            <w:r>
              <w:rPr>
                <w:rFonts w:ascii="Arial" w:cs="Arial" w:eastAsia="Arial" w:hAnsi="Arial"/>
                <w:sz w:val="16"/>
                <w:szCs w:val="16"/>
                <w:color w:val="auto"/>
              </w:rPr>
              <w:t>108.9</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130.6</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6160" w:type="dxa"/>
            <w:vAlign w:val="bottom"/>
            <w:gridSpan w:val="2"/>
          </w:tcPr>
          <w:p>
            <w:pPr>
              <w:ind w:left="660"/>
              <w:spacing w:after="0"/>
              <w:rPr>
                <w:sz w:val="20"/>
                <w:szCs w:val="20"/>
                <w:color w:val="auto"/>
              </w:rPr>
            </w:pPr>
            <w:r>
              <w:rPr>
                <w:rFonts w:ascii="Arial" w:cs="Arial" w:eastAsia="Arial" w:hAnsi="Arial"/>
                <w:sz w:val="16"/>
                <w:szCs w:val="16"/>
                <w:color w:val="auto"/>
              </w:rPr>
              <w:t>Product remediation</w:t>
            </w:r>
          </w:p>
        </w:tc>
        <w:tc>
          <w:tcPr>
            <w:tcW w:w="580" w:type="dxa"/>
            <w:vAlign w:val="bottom"/>
          </w:tcPr>
          <w:p>
            <w:pPr>
              <w:jc w:val="right"/>
              <w:spacing w:after="0"/>
              <w:rPr>
                <w:sz w:val="20"/>
                <w:szCs w:val="20"/>
                <w:color w:val="auto"/>
              </w:rPr>
            </w:pPr>
            <w:r>
              <w:rPr>
                <w:rFonts w:ascii="Arial" w:cs="Arial" w:eastAsia="Arial" w:hAnsi="Arial"/>
                <w:sz w:val="16"/>
                <w:szCs w:val="16"/>
                <w:color w:val="auto"/>
              </w:rPr>
              <w:t>1.7</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0.8</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47"/>
        </w:trPr>
        <w:tc>
          <w:tcPr>
            <w:tcW w:w="496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r>
      <w:tr>
        <w:trPr>
          <w:trHeight w:val="217"/>
        </w:trPr>
        <w:tc>
          <w:tcPr>
            <w:tcW w:w="616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580" w:type="dxa"/>
            <w:vAlign w:val="bottom"/>
          </w:tcPr>
          <w:p>
            <w:pPr>
              <w:jc w:val="right"/>
              <w:spacing w:after="0"/>
              <w:rPr>
                <w:sz w:val="20"/>
                <w:szCs w:val="20"/>
                <w:color w:val="auto"/>
              </w:rPr>
            </w:pPr>
            <w:r>
              <w:rPr>
                <w:rFonts w:ascii="Arial" w:cs="Arial" w:eastAsia="Arial" w:hAnsi="Arial"/>
                <w:sz w:val="16"/>
                <w:szCs w:val="16"/>
                <w:color w:val="auto"/>
              </w:rPr>
              <w:t>210.8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189.6</w:t>
            </w:r>
          </w:p>
        </w:tc>
        <w:tc>
          <w:tcPr>
            <w:tcW w:w="1980" w:type="dxa"/>
            <w:vAlign w:val="bottom"/>
            <w:gridSpan w:val="3"/>
          </w:tcPr>
          <w:p>
            <w:pPr>
              <w:jc w:val="right"/>
              <w:ind w:right="179"/>
              <w:spacing w:after="0"/>
              <w:rPr>
                <w:sz w:val="20"/>
                <w:szCs w:val="20"/>
                <w:color w:val="auto"/>
              </w:rPr>
            </w:pPr>
            <w:r>
              <w:rPr>
                <w:rFonts w:ascii="Arial" w:cs="Arial" w:eastAsia="Arial" w:hAnsi="Arial"/>
                <w:sz w:val="16"/>
                <w:szCs w:val="16"/>
                <w:color w:val="auto"/>
              </w:rPr>
              <w:t>11.2 %</w:t>
            </w:r>
          </w:p>
        </w:tc>
      </w:tr>
      <w:tr>
        <w:trPr>
          <w:trHeight w:val="47"/>
        </w:trPr>
        <w:tc>
          <w:tcPr>
            <w:tcW w:w="496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r>
      <w:tr>
        <w:trPr>
          <w:trHeight w:val="379"/>
        </w:trPr>
        <w:tc>
          <w:tcPr>
            <w:tcW w:w="616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0"/>
        </w:trPr>
        <w:tc>
          <w:tcPr>
            <w:tcW w:w="6160" w:type="dxa"/>
            <w:vAlign w:val="bottom"/>
            <w:gridSpan w:val="2"/>
          </w:tcPr>
          <w:p>
            <w:pPr>
              <w:ind w:left="660"/>
              <w:spacing w:after="0"/>
              <w:rPr>
                <w:sz w:val="20"/>
                <w:szCs w:val="20"/>
                <w:color w:val="auto"/>
              </w:rPr>
            </w:pPr>
            <w:r>
              <w:rPr>
                <w:rFonts w:ascii="Arial" w:cs="Arial" w:eastAsia="Arial" w:hAnsi="Arial"/>
                <w:sz w:val="16"/>
                <w:szCs w:val="16"/>
                <w:color w:val="auto"/>
              </w:rPr>
              <w:t>Selling, general and administrative</w:t>
            </w:r>
          </w:p>
        </w:tc>
        <w:tc>
          <w:tcPr>
            <w:tcW w:w="580" w:type="dxa"/>
            <w:vAlign w:val="bottom"/>
          </w:tcPr>
          <w:p>
            <w:pPr>
              <w:jc w:val="right"/>
              <w:spacing w:after="0"/>
              <w:rPr>
                <w:sz w:val="20"/>
                <w:szCs w:val="20"/>
                <w:color w:val="auto"/>
              </w:rPr>
            </w:pPr>
            <w:r>
              <w:rPr>
                <w:rFonts w:ascii="Arial" w:cs="Arial" w:eastAsia="Arial" w:hAnsi="Arial"/>
                <w:sz w:val="16"/>
                <w:szCs w:val="16"/>
                <w:color w:val="auto"/>
              </w:rPr>
              <w:t>120.4</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120.7</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6160" w:type="dxa"/>
            <w:vAlign w:val="bottom"/>
            <w:gridSpan w:val="2"/>
          </w:tcPr>
          <w:p>
            <w:pPr>
              <w:ind w:left="660"/>
              <w:spacing w:after="0"/>
              <w:rPr>
                <w:sz w:val="20"/>
                <w:szCs w:val="20"/>
                <w:color w:val="auto"/>
              </w:rPr>
            </w:pPr>
            <w:r>
              <w:rPr>
                <w:rFonts w:ascii="Arial" w:cs="Arial" w:eastAsia="Arial" w:hAnsi="Arial"/>
                <w:sz w:val="16"/>
                <w:szCs w:val="16"/>
                <w:color w:val="auto"/>
              </w:rPr>
              <w:t>Research and development</w:t>
            </w:r>
          </w:p>
        </w:tc>
        <w:tc>
          <w:tcPr>
            <w:tcW w:w="580" w:type="dxa"/>
            <w:vAlign w:val="bottom"/>
          </w:tcPr>
          <w:p>
            <w:pPr>
              <w:jc w:val="right"/>
              <w:spacing w:after="0"/>
              <w:rPr>
                <w:sz w:val="20"/>
                <w:szCs w:val="20"/>
                <w:color w:val="auto"/>
              </w:rPr>
            </w:pPr>
            <w:r>
              <w:rPr>
                <w:rFonts w:ascii="Arial" w:cs="Arial" w:eastAsia="Arial" w:hAnsi="Arial"/>
                <w:sz w:val="16"/>
                <w:szCs w:val="16"/>
                <w:color w:val="auto"/>
              </w:rPr>
              <w:t>43.0</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30.1</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6160" w:type="dxa"/>
            <w:vAlign w:val="bottom"/>
            <w:gridSpan w:val="2"/>
          </w:tcPr>
          <w:p>
            <w:pPr>
              <w:ind w:left="660"/>
              <w:spacing w:after="0"/>
              <w:rPr>
                <w:sz w:val="20"/>
                <w:szCs w:val="20"/>
                <w:color w:val="auto"/>
              </w:rPr>
            </w:pPr>
            <w:r>
              <w:rPr>
                <w:rFonts w:ascii="Arial" w:cs="Arial" w:eastAsia="Arial" w:hAnsi="Arial"/>
                <w:sz w:val="16"/>
                <w:szCs w:val="16"/>
                <w:color w:val="auto"/>
              </w:rPr>
              <w:t>Merger and integration expense</w:t>
            </w:r>
          </w:p>
        </w:tc>
        <w:tc>
          <w:tcPr>
            <w:tcW w:w="580" w:type="dxa"/>
            <w:vAlign w:val="bottom"/>
          </w:tcPr>
          <w:p>
            <w:pPr>
              <w:jc w:val="right"/>
              <w:spacing w:after="0"/>
              <w:rPr>
                <w:sz w:val="20"/>
                <w:szCs w:val="20"/>
                <w:color w:val="auto"/>
              </w:rPr>
            </w:pPr>
            <w:r>
              <w:rPr>
                <w:rFonts w:ascii="Arial" w:cs="Arial" w:eastAsia="Arial" w:hAnsi="Arial"/>
                <w:sz w:val="16"/>
                <w:szCs w:val="16"/>
                <w:color w:val="auto"/>
              </w:rPr>
              <w:t>3.5</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6.2</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6160" w:type="dxa"/>
            <w:vAlign w:val="bottom"/>
            <w:gridSpan w:val="2"/>
          </w:tcPr>
          <w:p>
            <w:pPr>
              <w:ind w:left="660"/>
              <w:spacing w:after="0"/>
              <w:rPr>
                <w:sz w:val="20"/>
                <w:szCs w:val="20"/>
                <w:color w:val="auto"/>
              </w:rPr>
            </w:pPr>
            <w:r>
              <w:rPr>
                <w:rFonts w:ascii="Arial" w:cs="Arial" w:eastAsia="Arial" w:hAnsi="Arial"/>
                <w:sz w:val="16"/>
                <w:szCs w:val="16"/>
                <w:color w:val="auto"/>
              </w:rPr>
              <w:t>Restructuring expense</w:t>
            </w:r>
          </w:p>
        </w:tc>
        <w:tc>
          <w:tcPr>
            <w:tcW w:w="580" w:type="dxa"/>
            <w:vAlign w:val="bottom"/>
          </w:tcPr>
          <w:p>
            <w:pPr>
              <w:jc w:val="right"/>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6160" w:type="dxa"/>
            <w:vAlign w:val="bottom"/>
            <w:gridSpan w:val="2"/>
          </w:tcPr>
          <w:p>
            <w:pPr>
              <w:ind w:left="660"/>
              <w:spacing w:after="0"/>
              <w:rPr>
                <w:sz w:val="20"/>
                <w:szCs w:val="20"/>
                <w:color w:val="auto"/>
              </w:rPr>
            </w:pPr>
            <w:r>
              <w:rPr>
                <w:rFonts w:ascii="Arial" w:cs="Arial" w:eastAsia="Arial" w:hAnsi="Arial"/>
                <w:sz w:val="16"/>
                <w:szCs w:val="16"/>
                <w:color w:val="auto"/>
              </w:rPr>
              <w:t>Amortization of intangibles</w:t>
            </w:r>
          </w:p>
        </w:tc>
        <w:tc>
          <w:tcPr>
            <w:tcW w:w="580" w:type="dxa"/>
            <w:vAlign w:val="bottom"/>
          </w:tcPr>
          <w:p>
            <w:pPr>
              <w:jc w:val="right"/>
              <w:spacing w:after="0"/>
              <w:rPr>
                <w:sz w:val="20"/>
                <w:szCs w:val="20"/>
                <w:color w:val="auto"/>
              </w:rPr>
            </w:pPr>
            <w:r>
              <w:rPr>
                <w:rFonts w:ascii="Arial" w:cs="Arial" w:eastAsia="Arial" w:hAnsi="Arial"/>
                <w:sz w:val="16"/>
                <w:szCs w:val="16"/>
                <w:color w:val="auto"/>
              </w:rPr>
              <w:t>11.7</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6.3</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47"/>
        </w:trPr>
        <w:tc>
          <w:tcPr>
            <w:tcW w:w="496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r>
      <w:tr>
        <w:trPr>
          <w:trHeight w:val="217"/>
        </w:trPr>
        <w:tc>
          <w:tcPr>
            <w:tcW w:w="6160" w:type="dxa"/>
            <w:vAlign w:val="bottom"/>
            <w:gridSpan w:val="2"/>
          </w:tcPr>
          <w:p>
            <w:pPr>
              <w:spacing w:after="0"/>
              <w:rPr>
                <w:sz w:val="20"/>
                <w:szCs w:val="20"/>
                <w:color w:val="auto"/>
              </w:rPr>
            </w:pPr>
            <w:r>
              <w:rPr>
                <w:rFonts w:ascii="Arial" w:cs="Arial" w:eastAsia="Arial" w:hAnsi="Arial"/>
                <w:sz w:val="16"/>
                <w:szCs w:val="16"/>
                <w:color w:val="auto"/>
              </w:rPr>
              <w:t>Total operating expenses</w:t>
            </w:r>
          </w:p>
        </w:tc>
        <w:tc>
          <w:tcPr>
            <w:tcW w:w="580" w:type="dxa"/>
            <w:vAlign w:val="bottom"/>
          </w:tcPr>
          <w:p>
            <w:pPr>
              <w:jc w:val="right"/>
              <w:spacing w:after="0"/>
              <w:rPr>
                <w:sz w:val="20"/>
                <w:szCs w:val="20"/>
                <w:color w:val="auto"/>
              </w:rPr>
            </w:pPr>
            <w:r>
              <w:rPr>
                <w:rFonts w:ascii="Arial" w:cs="Arial" w:eastAsia="Arial" w:hAnsi="Arial"/>
                <w:sz w:val="16"/>
                <w:szCs w:val="16"/>
                <w:color w:val="auto"/>
              </w:rPr>
              <w:t>179.7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167.6</w:t>
            </w:r>
          </w:p>
        </w:tc>
        <w:tc>
          <w:tcPr>
            <w:tcW w:w="1980" w:type="dxa"/>
            <w:vAlign w:val="bottom"/>
            <w:gridSpan w:val="3"/>
          </w:tcPr>
          <w:p>
            <w:pPr>
              <w:jc w:val="right"/>
              <w:ind w:right="179"/>
              <w:spacing w:after="0"/>
              <w:rPr>
                <w:sz w:val="20"/>
                <w:szCs w:val="20"/>
                <w:color w:val="auto"/>
              </w:rPr>
            </w:pPr>
            <w:r>
              <w:rPr>
                <w:rFonts w:ascii="Arial" w:cs="Arial" w:eastAsia="Arial" w:hAnsi="Arial"/>
                <w:sz w:val="16"/>
                <w:szCs w:val="16"/>
                <w:color w:val="auto"/>
              </w:rPr>
              <w:t>7.2 %</w:t>
            </w:r>
          </w:p>
        </w:tc>
      </w:tr>
      <w:tr>
        <w:trPr>
          <w:trHeight w:val="47"/>
        </w:trPr>
        <w:tc>
          <w:tcPr>
            <w:tcW w:w="6160" w:type="dxa"/>
            <w:vAlign w:val="bottom"/>
            <w:gridSpan w:val="2"/>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980" w:type="dxa"/>
            <w:vAlign w:val="bottom"/>
            <w:gridSpan w:val="3"/>
          </w:tcPr>
          <w:p>
            <w:pPr>
              <w:spacing w:after="0"/>
              <w:rPr>
                <w:sz w:val="4"/>
                <w:szCs w:val="4"/>
                <w:color w:val="auto"/>
              </w:rPr>
            </w:pPr>
          </w:p>
        </w:tc>
      </w:tr>
      <w:tr>
        <w:trPr>
          <w:trHeight w:val="183"/>
        </w:trPr>
        <w:tc>
          <w:tcPr>
            <w:tcW w:w="4960" w:type="dxa"/>
            <w:vAlign w:val="bottom"/>
          </w:tcPr>
          <w:p>
            <w:pPr>
              <w:spacing w:after="0"/>
              <w:rPr>
                <w:sz w:val="15"/>
                <w:szCs w:val="15"/>
                <w:color w:val="auto"/>
              </w:rPr>
            </w:pPr>
          </w:p>
        </w:tc>
        <w:tc>
          <w:tcPr>
            <w:tcW w:w="12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Borders>
              <w:top w:val="single" w:sz="8" w:color="auto"/>
              <w:bottom w:val="single" w:sz="8" w:color="auto"/>
            </w:tcBorders>
          </w:tcPr>
          <w:p>
            <w:pPr>
              <w:spacing w:after="0"/>
              <w:rPr>
                <w:sz w:val="15"/>
                <w:szCs w:val="15"/>
                <w:color w:val="auto"/>
              </w:rPr>
            </w:pPr>
          </w:p>
        </w:tc>
      </w:tr>
      <w:tr>
        <w:trPr>
          <w:trHeight w:val="217"/>
        </w:trPr>
        <w:tc>
          <w:tcPr>
            <w:tcW w:w="6160" w:type="dxa"/>
            <w:vAlign w:val="bottom"/>
            <w:gridSpan w:val="2"/>
          </w:tcPr>
          <w:p>
            <w:pPr>
              <w:spacing w:after="0"/>
              <w:rPr>
                <w:sz w:val="20"/>
                <w:szCs w:val="20"/>
                <w:color w:val="auto"/>
              </w:rPr>
            </w:pPr>
            <w:r>
              <w:rPr>
                <w:rFonts w:ascii="Arial" w:cs="Arial" w:eastAsia="Arial" w:hAnsi="Arial"/>
                <w:sz w:val="16"/>
                <w:szCs w:val="16"/>
                <w:color w:val="auto"/>
              </w:rPr>
              <w:t>Income from operations</w:t>
            </w:r>
          </w:p>
        </w:tc>
        <w:tc>
          <w:tcPr>
            <w:tcW w:w="580" w:type="dxa"/>
            <w:vAlign w:val="bottom"/>
          </w:tcPr>
          <w:p>
            <w:pPr>
              <w:jc w:val="right"/>
              <w:spacing w:after="0"/>
              <w:rPr>
                <w:sz w:val="20"/>
                <w:szCs w:val="20"/>
                <w:color w:val="auto"/>
              </w:rPr>
            </w:pPr>
            <w:r>
              <w:rPr>
                <w:rFonts w:ascii="Arial" w:cs="Arial" w:eastAsia="Arial" w:hAnsi="Arial"/>
                <w:sz w:val="16"/>
                <w:szCs w:val="16"/>
                <w:color w:val="auto"/>
              </w:rPr>
              <w:t>31.1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21.9</w:t>
            </w:r>
          </w:p>
        </w:tc>
        <w:tc>
          <w:tcPr>
            <w:tcW w:w="1980" w:type="dxa"/>
            <w:vAlign w:val="bottom"/>
            <w:gridSpan w:val="3"/>
          </w:tcPr>
          <w:p>
            <w:pPr>
              <w:jc w:val="right"/>
              <w:ind w:right="179"/>
              <w:spacing w:after="0"/>
              <w:rPr>
                <w:sz w:val="20"/>
                <w:szCs w:val="20"/>
                <w:color w:val="auto"/>
              </w:rPr>
            </w:pPr>
            <w:r>
              <w:rPr>
                <w:rFonts w:ascii="Arial" w:cs="Arial" w:eastAsia="Arial" w:hAnsi="Arial"/>
                <w:sz w:val="16"/>
                <w:szCs w:val="16"/>
                <w:color w:val="auto"/>
              </w:rPr>
              <w:t>42.0 %</w:t>
            </w:r>
          </w:p>
        </w:tc>
      </w:tr>
      <w:tr>
        <w:trPr>
          <w:trHeight w:val="47"/>
        </w:trPr>
        <w:tc>
          <w:tcPr>
            <w:tcW w:w="496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r>
      <w:tr>
        <w:trPr>
          <w:trHeight w:val="352"/>
        </w:trPr>
        <w:tc>
          <w:tcPr>
            <w:tcW w:w="6160" w:type="dxa"/>
            <w:vAlign w:val="bottom"/>
            <w:gridSpan w:val="2"/>
          </w:tcPr>
          <w:p>
            <w:pPr>
              <w:ind w:left="660"/>
              <w:spacing w:after="0"/>
              <w:rPr>
                <w:sz w:val="20"/>
                <w:szCs w:val="20"/>
                <w:color w:val="auto"/>
              </w:rPr>
            </w:pPr>
            <w:r>
              <w:rPr>
                <w:rFonts w:ascii="Arial" w:cs="Arial" w:eastAsia="Arial" w:hAnsi="Arial"/>
                <w:sz w:val="16"/>
                <w:szCs w:val="16"/>
                <w:color w:val="auto"/>
              </w:rPr>
              <w:t>Interest expense, net</w:t>
            </w:r>
          </w:p>
        </w:tc>
        <w:tc>
          <w:tcPr>
            <w:tcW w:w="580" w:type="dxa"/>
            <w:vAlign w:val="bottom"/>
          </w:tcPr>
          <w:p>
            <w:pPr>
              <w:jc w:val="right"/>
              <w:spacing w:after="0"/>
              <w:rPr>
                <w:sz w:val="20"/>
                <w:szCs w:val="20"/>
                <w:color w:val="auto"/>
              </w:rPr>
            </w:pPr>
            <w:r>
              <w:rPr>
                <w:rFonts w:ascii="Arial" w:cs="Arial" w:eastAsia="Arial" w:hAnsi="Arial"/>
                <w:sz w:val="16"/>
                <w:szCs w:val="16"/>
                <w:color w:val="auto"/>
              </w:rPr>
              <w:t>(1.3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0"/>
        </w:trPr>
        <w:tc>
          <w:tcPr>
            <w:tcW w:w="6160" w:type="dxa"/>
            <w:vAlign w:val="bottom"/>
            <w:gridSpan w:val="2"/>
          </w:tcPr>
          <w:p>
            <w:pPr>
              <w:ind w:left="660"/>
              <w:spacing w:after="0"/>
              <w:rPr>
                <w:sz w:val="20"/>
                <w:szCs w:val="20"/>
                <w:color w:val="auto"/>
              </w:rPr>
            </w:pPr>
            <w:r>
              <w:rPr>
                <w:rFonts w:ascii="Arial" w:cs="Arial" w:eastAsia="Arial" w:hAnsi="Arial"/>
                <w:sz w:val="16"/>
                <w:szCs w:val="16"/>
                <w:color w:val="auto"/>
              </w:rPr>
              <w:t>Gain on acquisition of Caisson</w:t>
            </w:r>
          </w:p>
        </w:tc>
        <w:tc>
          <w:tcPr>
            <w:tcW w:w="580" w:type="dxa"/>
            <w:vAlign w:val="bottom"/>
          </w:tcPr>
          <w:p>
            <w:pPr>
              <w:jc w:val="right"/>
              <w:spacing w:after="0"/>
              <w:rPr>
                <w:sz w:val="20"/>
                <w:szCs w:val="20"/>
                <w:color w:val="auto"/>
              </w:rPr>
            </w:pPr>
            <w:r>
              <w:rPr>
                <w:rFonts w:ascii="Arial" w:cs="Arial" w:eastAsia="Arial" w:hAnsi="Arial"/>
                <w:sz w:val="16"/>
                <w:szCs w:val="16"/>
                <w:color w:val="auto"/>
              </w:rPr>
              <w:t>39.4</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6160" w:type="dxa"/>
            <w:vAlign w:val="bottom"/>
            <w:gridSpan w:val="2"/>
          </w:tcPr>
          <w:p>
            <w:pPr>
              <w:ind w:left="660"/>
              <w:spacing w:after="0"/>
              <w:rPr>
                <w:sz w:val="20"/>
                <w:szCs w:val="20"/>
                <w:color w:val="auto"/>
              </w:rPr>
            </w:pPr>
            <w:r>
              <w:rPr>
                <w:rFonts w:ascii="Arial" w:cs="Arial" w:eastAsia="Arial" w:hAnsi="Arial"/>
                <w:sz w:val="16"/>
                <w:szCs w:val="16"/>
                <w:color w:val="auto"/>
              </w:rPr>
              <w:t>Foreign exchange and other - gain (loss)</w:t>
            </w:r>
          </w:p>
        </w:tc>
        <w:tc>
          <w:tcPr>
            <w:tcW w:w="580" w:type="dxa"/>
            <w:vAlign w:val="bottom"/>
          </w:tcPr>
          <w:p>
            <w:pPr>
              <w:jc w:val="right"/>
              <w:spacing w:after="0"/>
              <w:rPr>
                <w:sz w:val="20"/>
                <w:szCs w:val="20"/>
                <w:color w:val="auto"/>
              </w:rPr>
            </w:pPr>
            <w:r>
              <w:rPr>
                <w:rFonts w:ascii="Arial" w:cs="Arial" w:eastAsia="Arial" w:hAnsi="Arial"/>
                <w:sz w:val="16"/>
                <w:szCs w:val="16"/>
                <w:color w:val="auto"/>
              </w:rPr>
              <w:t>(3.0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0.6</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47"/>
        </w:trPr>
        <w:tc>
          <w:tcPr>
            <w:tcW w:w="496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r>
      <w:tr>
        <w:trPr>
          <w:trHeight w:val="217"/>
        </w:trPr>
        <w:tc>
          <w:tcPr>
            <w:tcW w:w="6160" w:type="dxa"/>
            <w:vAlign w:val="bottom"/>
            <w:gridSpan w:val="2"/>
          </w:tcPr>
          <w:p>
            <w:pPr>
              <w:spacing w:after="0"/>
              <w:rPr>
                <w:sz w:val="20"/>
                <w:szCs w:val="20"/>
                <w:color w:val="auto"/>
              </w:rPr>
            </w:pPr>
            <w:r>
              <w:rPr>
                <w:rFonts w:ascii="Arial" w:cs="Arial" w:eastAsia="Arial" w:hAnsi="Arial"/>
                <w:sz w:val="16"/>
                <w:szCs w:val="16"/>
                <w:color w:val="auto"/>
              </w:rPr>
              <w:t>Income before income taxes</w:t>
            </w:r>
          </w:p>
        </w:tc>
        <w:tc>
          <w:tcPr>
            <w:tcW w:w="580" w:type="dxa"/>
            <w:vAlign w:val="bottom"/>
          </w:tcPr>
          <w:p>
            <w:pPr>
              <w:jc w:val="right"/>
              <w:spacing w:after="0"/>
              <w:rPr>
                <w:sz w:val="20"/>
                <w:szCs w:val="20"/>
                <w:color w:val="auto"/>
              </w:rPr>
            </w:pPr>
            <w:r>
              <w:rPr>
                <w:rFonts w:ascii="Arial" w:cs="Arial" w:eastAsia="Arial" w:hAnsi="Arial"/>
                <w:sz w:val="16"/>
                <w:szCs w:val="16"/>
                <w:color w:val="auto"/>
              </w:rPr>
              <w:t>66.2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20.9</w:t>
            </w:r>
          </w:p>
        </w:tc>
        <w:tc>
          <w:tcPr>
            <w:tcW w:w="1980" w:type="dxa"/>
            <w:vAlign w:val="bottom"/>
            <w:gridSpan w:val="3"/>
          </w:tcPr>
          <w:p>
            <w:pPr>
              <w:jc w:val="right"/>
              <w:ind w:right="179"/>
              <w:spacing w:after="0"/>
              <w:rPr>
                <w:sz w:val="20"/>
                <w:szCs w:val="20"/>
                <w:color w:val="auto"/>
              </w:rPr>
            </w:pPr>
            <w:r>
              <w:rPr>
                <w:rFonts w:ascii="Arial" w:cs="Arial" w:eastAsia="Arial" w:hAnsi="Arial"/>
                <w:sz w:val="16"/>
                <w:szCs w:val="16"/>
                <w:color w:val="auto"/>
              </w:rPr>
              <w:t>216.7 %</w:t>
            </w:r>
          </w:p>
        </w:tc>
      </w:tr>
      <w:tr>
        <w:trPr>
          <w:trHeight w:val="47"/>
        </w:trPr>
        <w:tc>
          <w:tcPr>
            <w:tcW w:w="496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r>
      <w:tr>
        <w:trPr>
          <w:trHeight w:val="379"/>
        </w:trPr>
        <w:tc>
          <w:tcPr>
            <w:tcW w:w="6160" w:type="dxa"/>
            <w:vAlign w:val="bottom"/>
            <w:gridSpan w:val="2"/>
          </w:tcPr>
          <w:p>
            <w:pPr>
              <w:ind w:left="660"/>
              <w:spacing w:after="0"/>
              <w:rPr>
                <w:sz w:val="20"/>
                <w:szCs w:val="20"/>
                <w:color w:val="auto"/>
              </w:rPr>
            </w:pPr>
            <w:r>
              <w:rPr>
                <w:rFonts w:ascii="Arial" w:cs="Arial" w:eastAsia="Arial" w:hAnsi="Arial"/>
                <w:sz w:val="16"/>
                <w:szCs w:val="16"/>
                <w:color w:val="auto"/>
              </w:rPr>
              <w:t>Losses from equity method investments</w:t>
            </w:r>
          </w:p>
        </w:tc>
        <w:tc>
          <w:tcPr>
            <w:tcW w:w="580" w:type="dxa"/>
            <w:vAlign w:val="bottom"/>
          </w:tcPr>
          <w:p>
            <w:pPr>
              <w:jc w:val="right"/>
              <w:spacing w:after="0"/>
              <w:rPr>
                <w:sz w:val="20"/>
                <w:szCs w:val="20"/>
                <w:color w:val="auto"/>
              </w:rPr>
            </w:pPr>
            <w:r>
              <w:rPr>
                <w:rFonts w:ascii="Arial" w:cs="Arial" w:eastAsia="Arial" w:hAnsi="Arial"/>
                <w:sz w:val="16"/>
                <w:szCs w:val="16"/>
                <w:color w:val="auto"/>
              </w:rPr>
              <w:t>(15.4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0"/>
        </w:trPr>
        <w:tc>
          <w:tcPr>
            <w:tcW w:w="6160" w:type="dxa"/>
            <w:vAlign w:val="bottom"/>
            <w:gridSpan w:val="2"/>
          </w:tcPr>
          <w:p>
            <w:pPr>
              <w:ind w:left="660"/>
              <w:spacing w:after="0"/>
              <w:rPr>
                <w:sz w:val="20"/>
                <w:szCs w:val="20"/>
                <w:color w:val="auto"/>
              </w:rPr>
            </w:pPr>
            <w:r>
              <w:rPr>
                <w:rFonts w:ascii="Arial" w:cs="Arial" w:eastAsia="Arial" w:hAnsi="Arial"/>
                <w:sz w:val="16"/>
                <w:szCs w:val="16"/>
                <w:color w:val="auto"/>
              </w:rPr>
              <w:t>Income tax expense (benefit)</w:t>
            </w:r>
          </w:p>
        </w:tc>
        <w:tc>
          <w:tcPr>
            <w:tcW w:w="580" w:type="dxa"/>
            <w:vAlign w:val="bottom"/>
          </w:tcPr>
          <w:p>
            <w:pPr>
              <w:jc w:val="right"/>
              <w:spacing w:after="0"/>
              <w:rPr>
                <w:sz w:val="20"/>
                <w:szCs w:val="20"/>
                <w:color w:val="auto"/>
              </w:rPr>
            </w:pPr>
            <w:r>
              <w:rPr>
                <w:rFonts w:ascii="Arial" w:cs="Arial" w:eastAsia="Arial" w:hAnsi="Arial"/>
                <w:sz w:val="16"/>
                <w:szCs w:val="16"/>
                <w:color w:val="auto"/>
              </w:rPr>
              <w:t>3.3</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8.4</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47"/>
        </w:trPr>
        <w:tc>
          <w:tcPr>
            <w:tcW w:w="496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r>
      <w:tr>
        <w:trPr>
          <w:trHeight w:val="231"/>
        </w:trPr>
        <w:tc>
          <w:tcPr>
            <w:tcW w:w="616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580" w:type="dxa"/>
            <w:vAlign w:val="bottom"/>
          </w:tcPr>
          <w:p>
            <w:pPr>
              <w:jc w:val="right"/>
              <w:spacing w:after="0"/>
              <w:rPr>
                <w:sz w:val="20"/>
                <w:szCs w:val="20"/>
                <w:color w:val="auto"/>
              </w:rPr>
            </w:pPr>
            <w:r>
              <w:rPr>
                <w:rFonts w:ascii="Arial" w:cs="Arial" w:eastAsia="Arial" w:hAnsi="Arial"/>
                <w:sz w:val="16"/>
                <w:szCs w:val="16"/>
                <w:color w:val="auto"/>
              </w:rPr>
              <w:t>$47.5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$9.0</w:t>
            </w:r>
          </w:p>
        </w:tc>
        <w:tc>
          <w:tcPr>
            <w:tcW w:w="1980" w:type="dxa"/>
            <w:vAlign w:val="bottom"/>
            <w:gridSpan w:val="3"/>
          </w:tcPr>
          <w:p>
            <w:pPr>
              <w:jc w:val="right"/>
              <w:ind w:right="179"/>
              <w:spacing w:after="0"/>
              <w:rPr>
                <w:sz w:val="20"/>
                <w:szCs w:val="20"/>
                <w:color w:val="auto"/>
              </w:rPr>
            </w:pPr>
            <w:r>
              <w:rPr>
                <w:rFonts w:ascii="Arial" w:cs="Arial" w:eastAsia="Arial" w:hAnsi="Arial"/>
                <w:sz w:val="16"/>
                <w:szCs w:val="16"/>
                <w:color w:val="auto"/>
              </w:rPr>
              <w:t>427.8 %</w:t>
            </w:r>
          </w:p>
        </w:tc>
      </w:tr>
      <w:tr>
        <w:trPr>
          <w:trHeight w:val="33"/>
        </w:trPr>
        <w:tc>
          <w:tcPr>
            <w:tcW w:w="49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49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366"/>
        </w:trPr>
        <w:tc>
          <w:tcPr>
            <w:tcW w:w="6160" w:type="dxa"/>
            <w:vAlign w:val="bottom"/>
            <w:gridSpan w:val="2"/>
          </w:tcPr>
          <w:p>
            <w:pPr>
              <w:spacing w:after="0"/>
              <w:rPr>
                <w:sz w:val="20"/>
                <w:szCs w:val="20"/>
                <w:color w:val="auto"/>
              </w:rPr>
            </w:pPr>
            <w:r>
              <w:rPr>
                <w:rFonts w:ascii="Arial" w:cs="Arial" w:eastAsia="Arial" w:hAnsi="Arial"/>
                <w:sz w:val="16"/>
                <w:szCs w:val="16"/>
                <w:color w:val="auto"/>
              </w:rPr>
              <w:t>Earnings Per Common Share:</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0"/>
        </w:trPr>
        <w:tc>
          <w:tcPr>
            <w:tcW w:w="6160" w:type="dxa"/>
            <w:vAlign w:val="bottom"/>
            <w:gridSpan w:val="2"/>
          </w:tcPr>
          <w:p>
            <w:pPr>
              <w:ind w:left="660"/>
              <w:spacing w:after="0"/>
              <w:rPr>
                <w:sz w:val="20"/>
                <w:szCs w:val="20"/>
                <w:color w:val="auto"/>
              </w:rPr>
            </w:pPr>
            <w:r>
              <w:rPr>
                <w:rFonts w:ascii="Arial" w:cs="Arial" w:eastAsia="Arial" w:hAnsi="Arial"/>
                <w:sz w:val="16"/>
                <w:szCs w:val="16"/>
                <w:color w:val="auto"/>
              </w:rPr>
              <w:t>Basic</w:t>
            </w:r>
          </w:p>
        </w:tc>
        <w:tc>
          <w:tcPr>
            <w:tcW w:w="580" w:type="dxa"/>
            <w:vAlign w:val="bottom"/>
          </w:tcPr>
          <w:p>
            <w:pPr>
              <w:jc w:val="right"/>
              <w:spacing w:after="0"/>
              <w:rPr>
                <w:sz w:val="20"/>
                <w:szCs w:val="20"/>
                <w:color w:val="auto"/>
              </w:rPr>
            </w:pPr>
            <w:r>
              <w:rPr>
                <w:rFonts w:ascii="Arial" w:cs="Arial" w:eastAsia="Arial" w:hAnsi="Arial"/>
                <w:sz w:val="16"/>
                <w:szCs w:val="16"/>
                <w:color w:val="auto"/>
              </w:rPr>
              <w:t>$0.99</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$0.18</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6160" w:type="dxa"/>
            <w:vAlign w:val="bottom"/>
            <w:gridSpan w:val="2"/>
          </w:tcPr>
          <w:p>
            <w:pPr>
              <w:ind w:left="660"/>
              <w:spacing w:after="0"/>
              <w:rPr>
                <w:sz w:val="20"/>
                <w:szCs w:val="20"/>
                <w:color w:val="auto"/>
              </w:rPr>
            </w:pPr>
            <w:r>
              <w:rPr>
                <w:rFonts w:ascii="Arial" w:cs="Arial" w:eastAsia="Arial" w:hAnsi="Arial"/>
                <w:sz w:val="16"/>
                <w:szCs w:val="16"/>
                <w:color w:val="auto"/>
              </w:rPr>
              <w:t>Diluted</w:t>
            </w:r>
          </w:p>
        </w:tc>
        <w:tc>
          <w:tcPr>
            <w:tcW w:w="580" w:type="dxa"/>
            <w:vAlign w:val="bottom"/>
          </w:tcPr>
          <w:p>
            <w:pPr>
              <w:jc w:val="right"/>
              <w:spacing w:after="0"/>
              <w:rPr>
                <w:sz w:val="20"/>
                <w:szCs w:val="20"/>
                <w:color w:val="auto"/>
              </w:rPr>
            </w:pPr>
            <w:r>
              <w:rPr>
                <w:rFonts w:ascii="Arial" w:cs="Arial" w:eastAsia="Arial" w:hAnsi="Arial"/>
                <w:sz w:val="16"/>
                <w:szCs w:val="16"/>
                <w:color w:val="auto"/>
              </w:rPr>
              <w:t>$0.98</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$0.18</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432"/>
        </w:trPr>
        <w:tc>
          <w:tcPr>
            <w:tcW w:w="6160" w:type="dxa"/>
            <w:vAlign w:val="bottom"/>
            <w:gridSpan w:val="2"/>
          </w:tcPr>
          <w:p>
            <w:pPr>
              <w:spacing w:after="0"/>
              <w:rPr>
                <w:sz w:val="20"/>
                <w:szCs w:val="20"/>
                <w:color w:val="auto"/>
              </w:rPr>
            </w:pPr>
            <w:r>
              <w:rPr>
                <w:rFonts w:ascii="Arial" w:cs="Arial" w:eastAsia="Arial" w:hAnsi="Arial"/>
                <w:sz w:val="16"/>
                <w:szCs w:val="16"/>
                <w:color w:val="auto"/>
              </w:rPr>
              <w:t>Weighted Average Common Shares Outstanding</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0"/>
        </w:trPr>
        <w:tc>
          <w:tcPr>
            <w:tcW w:w="6160" w:type="dxa"/>
            <w:vAlign w:val="bottom"/>
            <w:gridSpan w:val="2"/>
          </w:tcPr>
          <w:p>
            <w:pPr>
              <w:ind w:left="660"/>
              <w:spacing w:after="0"/>
              <w:rPr>
                <w:sz w:val="20"/>
                <w:szCs w:val="20"/>
                <w:color w:val="auto"/>
              </w:rPr>
            </w:pPr>
            <w:r>
              <w:rPr>
                <w:rFonts w:ascii="Arial" w:cs="Arial" w:eastAsia="Arial" w:hAnsi="Arial"/>
                <w:sz w:val="16"/>
                <w:szCs w:val="16"/>
                <w:color w:val="auto"/>
              </w:rPr>
              <w:t>Basic</w:t>
            </w:r>
          </w:p>
        </w:tc>
        <w:tc>
          <w:tcPr>
            <w:tcW w:w="580" w:type="dxa"/>
            <w:vAlign w:val="bottom"/>
          </w:tcPr>
          <w:p>
            <w:pPr>
              <w:jc w:val="right"/>
              <w:spacing w:after="0"/>
              <w:rPr>
                <w:sz w:val="20"/>
                <w:szCs w:val="20"/>
                <w:color w:val="auto"/>
              </w:rPr>
            </w:pPr>
            <w:r>
              <w:rPr>
                <w:rFonts w:ascii="Arial" w:cs="Arial" w:eastAsia="Arial" w:hAnsi="Arial"/>
                <w:sz w:val="16"/>
                <w:szCs w:val="16"/>
                <w:color w:val="auto"/>
              </w:rPr>
              <w:t>48.1</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49.1</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6160" w:type="dxa"/>
            <w:vAlign w:val="bottom"/>
            <w:gridSpan w:val="2"/>
          </w:tcPr>
          <w:p>
            <w:pPr>
              <w:ind w:left="660"/>
              <w:spacing w:after="0"/>
              <w:rPr>
                <w:sz w:val="20"/>
                <w:szCs w:val="20"/>
                <w:color w:val="auto"/>
              </w:rPr>
            </w:pPr>
            <w:r>
              <w:rPr>
                <w:rFonts w:ascii="Arial" w:cs="Arial" w:eastAsia="Arial" w:hAnsi="Arial"/>
                <w:sz w:val="16"/>
                <w:szCs w:val="16"/>
                <w:color w:val="auto"/>
              </w:rPr>
              <w:t>Diluted</w:t>
            </w:r>
          </w:p>
        </w:tc>
        <w:tc>
          <w:tcPr>
            <w:tcW w:w="580" w:type="dxa"/>
            <w:vAlign w:val="bottom"/>
          </w:tcPr>
          <w:p>
            <w:pPr>
              <w:jc w:val="right"/>
              <w:spacing w:after="0"/>
              <w:rPr>
                <w:sz w:val="20"/>
                <w:szCs w:val="20"/>
                <w:color w:val="auto"/>
              </w:rPr>
            </w:pPr>
            <w:r>
              <w:rPr>
                <w:rFonts w:ascii="Arial" w:cs="Arial" w:eastAsia="Arial" w:hAnsi="Arial"/>
                <w:sz w:val="16"/>
                <w:szCs w:val="16"/>
                <w:color w:val="auto"/>
              </w:rPr>
              <w:t>48.3</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49.2</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509"/>
        </w:trPr>
        <w:tc>
          <w:tcPr>
            <w:tcW w:w="6160" w:type="dxa"/>
            <w:vAlign w:val="bottom"/>
            <w:gridSpan w:val="2"/>
          </w:tcPr>
          <w:p>
            <w:pPr>
              <w:spacing w:after="0"/>
              <w:rPr>
                <w:sz w:val="20"/>
                <w:szCs w:val="20"/>
                <w:color w:val="auto"/>
              </w:rPr>
            </w:pPr>
            <w:r>
              <w:rPr>
                <w:rFonts w:ascii="Arial" w:cs="Arial" w:eastAsia="Arial" w:hAnsi="Arial"/>
                <w:sz w:val="16"/>
                <w:szCs w:val="16"/>
                <w:color w:val="auto"/>
              </w:rPr>
              <w:t xml:space="preserve">Adjusted Gross Profit </w:t>
            </w:r>
            <w:r>
              <w:rPr>
                <w:rFonts w:ascii="Arial" w:cs="Arial" w:eastAsia="Arial" w:hAnsi="Arial"/>
                <w:sz w:val="21"/>
                <w:szCs w:val="21"/>
                <w:color w:val="auto"/>
                <w:vertAlign w:val="superscript"/>
              </w:rPr>
              <w:t>(1)</w:t>
            </w:r>
          </w:p>
        </w:tc>
        <w:tc>
          <w:tcPr>
            <w:tcW w:w="580" w:type="dxa"/>
            <w:vAlign w:val="bottom"/>
          </w:tcPr>
          <w:p>
            <w:pPr>
              <w:jc w:val="right"/>
              <w:spacing w:after="0"/>
              <w:rPr>
                <w:sz w:val="20"/>
                <w:szCs w:val="20"/>
                <w:color w:val="auto"/>
              </w:rPr>
            </w:pPr>
            <w:r>
              <w:rPr>
                <w:rFonts w:ascii="Arial" w:cs="Arial" w:eastAsia="Arial" w:hAnsi="Arial"/>
                <w:sz w:val="16"/>
                <w:szCs w:val="16"/>
                <w:color w:val="auto"/>
              </w:rPr>
              <w:t>$214.0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$209.0</w:t>
            </w:r>
          </w:p>
        </w:tc>
        <w:tc>
          <w:tcPr>
            <w:tcW w:w="1980" w:type="dxa"/>
            <w:vAlign w:val="bottom"/>
            <w:gridSpan w:val="3"/>
          </w:tcPr>
          <w:p>
            <w:pPr>
              <w:jc w:val="right"/>
              <w:ind w:right="179"/>
              <w:spacing w:after="0"/>
              <w:rPr>
                <w:sz w:val="20"/>
                <w:szCs w:val="20"/>
                <w:color w:val="auto"/>
              </w:rPr>
            </w:pPr>
            <w:r>
              <w:rPr>
                <w:rFonts w:ascii="Arial" w:cs="Arial" w:eastAsia="Arial" w:hAnsi="Arial"/>
                <w:sz w:val="16"/>
                <w:szCs w:val="16"/>
                <w:color w:val="auto"/>
              </w:rPr>
              <w:t>2.4 %</w:t>
            </w:r>
          </w:p>
        </w:tc>
      </w:tr>
      <w:tr>
        <w:trPr>
          <w:trHeight w:val="297"/>
        </w:trPr>
        <w:tc>
          <w:tcPr>
            <w:tcW w:w="6160" w:type="dxa"/>
            <w:vAlign w:val="bottom"/>
            <w:gridSpan w:val="2"/>
          </w:tcPr>
          <w:p>
            <w:pPr>
              <w:spacing w:after="0"/>
              <w:rPr>
                <w:sz w:val="20"/>
                <w:szCs w:val="20"/>
                <w:color w:val="auto"/>
              </w:rPr>
            </w:pPr>
            <w:r>
              <w:rPr>
                <w:rFonts w:ascii="Arial" w:cs="Arial" w:eastAsia="Arial" w:hAnsi="Arial"/>
                <w:sz w:val="16"/>
                <w:szCs w:val="16"/>
                <w:color w:val="auto"/>
              </w:rPr>
              <w:t xml:space="preserve">Adjusted SG&amp;A </w:t>
            </w:r>
            <w:r>
              <w:rPr>
                <w:rFonts w:ascii="Arial" w:cs="Arial" w:eastAsia="Arial" w:hAnsi="Arial"/>
                <w:sz w:val="21"/>
                <w:szCs w:val="21"/>
                <w:color w:val="auto"/>
                <w:vertAlign w:val="superscript"/>
              </w:rPr>
              <w:t>(1)</w:t>
            </w:r>
          </w:p>
        </w:tc>
        <w:tc>
          <w:tcPr>
            <w:tcW w:w="580" w:type="dxa"/>
            <w:vAlign w:val="bottom"/>
          </w:tcPr>
          <w:p>
            <w:pPr>
              <w:jc w:val="right"/>
              <w:spacing w:after="0"/>
              <w:rPr>
                <w:sz w:val="20"/>
                <w:szCs w:val="20"/>
                <w:color w:val="auto"/>
              </w:rPr>
            </w:pPr>
            <w:r>
              <w:rPr>
                <w:rFonts w:ascii="Arial" w:cs="Arial" w:eastAsia="Arial" w:hAnsi="Arial"/>
                <w:sz w:val="16"/>
                <w:szCs w:val="16"/>
                <w:color w:val="auto"/>
              </w:rPr>
              <w:t>111.9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116.3</w:t>
            </w:r>
          </w:p>
        </w:tc>
        <w:tc>
          <w:tcPr>
            <w:tcW w:w="1980" w:type="dxa"/>
            <w:vAlign w:val="bottom"/>
            <w:gridSpan w:val="3"/>
          </w:tcPr>
          <w:p>
            <w:pPr>
              <w:jc w:val="right"/>
              <w:ind w:right="119"/>
              <w:spacing w:after="0"/>
              <w:rPr>
                <w:sz w:val="20"/>
                <w:szCs w:val="20"/>
                <w:color w:val="auto"/>
              </w:rPr>
            </w:pPr>
            <w:r>
              <w:rPr>
                <w:rFonts w:ascii="Arial" w:cs="Arial" w:eastAsia="Arial" w:hAnsi="Arial"/>
                <w:sz w:val="16"/>
                <w:szCs w:val="16"/>
                <w:color w:val="auto"/>
              </w:rPr>
              <w:t>(3.8 %)</w:t>
            </w:r>
          </w:p>
        </w:tc>
      </w:tr>
      <w:tr>
        <w:trPr>
          <w:trHeight w:val="297"/>
        </w:trPr>
        <w:tc>
          <w:tcPr>
            <w:tcW w:w="6160" w:type="dxa"/>
            <w:vAlign w:val="bottom"/>
            <w:gridSpan w:val="2"/>
          </w:tcPr>
          <w:p>
            <w:pPr>
              <w:spacing w:after="0"/>
              <w:rPr>
                <w:sz w:val="20"/>
                <w:szCs w:val="20"/>
                <w:color w:val="auto"/>
              </w:rPr>
            </w:pPr>
            <w:r>
              <w:rPr>
                <w:rFonts w:ascii="Arial" w:cs="Arial" w:eastAsia="Arial" w:hAnsi="Arial"/>
                <w:sz w:val="16"/>
                <w:szCs w:val="16"/>
                <w:color w:val="auto"/>
              </w:rPr>
              <w:t xml:space="preserve">Adjusted R&amp;D </w:t>
            </w:r>
            <w:r>
              <w:rPr>
                <w:rFonts w:ascii="Arial" w:cs="Arial" w:eastAsia="Arial" w:hAnsi="Arial"/>
                <w:sz w:val="21"/>
                <w:szCs w:val="21"/>
                <w:color w:val="auto"/>
                <w:vertAlign w:val="superscript"/>
              </w:rPr>
              <w:t>(1)</w:t>
            </w:r>
          </w:p>
        </w:tc>
        <w:tc>
          <w:tcPr>
            <w:tcW w:w="580" w:type="dxa"/>
            <w:vAlign w:val="bottom"/>
          </w:tcPr>
          <w:p>
            <w:pPr>
              <w:jc w:val="right"/>
              <w:spacing w:after="0"/>
              <w:rPr>
                <w:sz w:val="20"/>
                <w:szCs w:val="20"/>
                <w:color w:val="auto"/>
              </w:rPr>
            </w:pPr>
            <w:r>
              <w:rPr>
                <w:rFonts w:ascii="Arial" w:cs="Arial" w:eastAsia="Arial" w:hAnsi="Arial"/>
                <w:sz w:val="16"/>
                <w:szCs w:val="16"/>
                <w:color w:val="auto"/>
              </w:rPr>
              <w:t>31.7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30.0</w:t>
            </w:r>
          </w:p>
        </w:tc>
        <w:tc>
          <w:tcPr>
            <w:tcW w:w="1980" w:type="dxa"/>
            <w:vAlign w:val="bottom"/>
            <w:gridSpan w:val="3"/>
          </w:tcPr>
          <w:p>
            <w:pPr>
              <w:jc w:val="right"/>
              <w:ind w:right="179"/>
              <w:spacing w:after="0"/>
              <w:rPr>
                <w:sz w:val="20"/>
                <w:szCs w:val="20"/>
                <w:color w:val="auto"/>
              </w:rPr>
            </w:pPr>
            <w:r>
              <w:rPr>
                <w:rFonts w:ascii="Arial" w:cs="Arial" w:eastAsia="Arial" w:hAnsi="Arial"/>
                <w:sz w:val="16"/>
                <w:szCs w:val="16"/>
                <w:color w:val="auto"/>
              </w:rPr>
              <w:t>5.7 %</w:t>
            </w:r>
          </w:p>
        </w:tc>
      </w:tr>
      <w:tr>
        <w:trPr>
          <w:trHeight w:val="297"/>
        </w:trPr>
        <w:tc>
          <w:tcPr>
            <w:tcW w:w="6160" w:type="dxa"/>
            <w:vAlign w:val="bottom"/>
            <w:gridSpan w:val="2"/>
          </w:tcPr>
          <w:p>
            <w:pPr>
              <w:spacing w:after="0"/>
              <w:rPr>
                <w:sz w:val="20"/>
                <w:szCs w:val="20"/>
                <w:color w:val="auto"/>
              </w:rPr>
            </w:pPr>
            <w:r>
              <w:rPr>
                <w:rFonts w:ascii="Arial" w:cs="Arial" w:eastAsia="Arial" w:hAnsi="Arial"/>
                <w:sz w:val="16"/>
                <w:szCs w:val="16"/>
                <w:color w:val="auto"/>
              </w:rPr>
              <w:t xml:space="preserve">Adjusted Income from Operations </w:t>
            </w:r>
            <w:r>
              <w:rPr>
                <w:rFonts w:ascii="Arial" w:cs="Arial" w:eastAsia="Arial" w:hAnsi="Arial"/>
                <w:sz w:val="21"/>
                <w:szCs w:val="21"/>
                <w:color w:val="auto"/>
                <w:vertAlign w:val="superscript"/>
              </w:rPr>
              <w:t>(1)</w:t>
            </w:r>
          </w:p>
        </w:tc>
        <w:tc>
          <w:tcPr>
            <w:tcW w:w="580" w:type="dxa"/>
            <w:vAlign w:val="bottom"/>
          </w:tcPr>
          <w:p>
            <w:pPr>
              <w:jc w:val="right"/>
              <w:spacing w:after="0"/>
              <w:rPr>
                <w:sz w:val="20"/>
                <w:szCs w:val="20"/>
                <w:color w:val="auto"/>
              </w:rPr>
            </w:pPr>
            <w:r>
              <w:rPr>
                <w:rFonts w:ascii="Arial" w:cs="Arial" w:eastAsia="Arial" w:hAnsi="Arial"/>
                <w:sz w:val="16"/>
                <w:szCs w:val="16"/>
                <w:color w:val="auto"/>
              </w:rPr>
              <w:t>70.3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62.8</w:t>
            </w:r>
          </w:p>
        </w:tc>
        <w:tc>
          <w:tcPr>
            <w:tcW w:w="1980" w:type="dxa"/>
            <w:vAlign w:val="bottom"/>
            <w:gridSpan w:val="3"/>
          </w:tcPr>
          <w:p>
            <w:pPr>
              <w:jc w:val="right"/>
              <w:ind w:right="179"/>
              <w:spacing w:after="0"/>
              <w:rPr>
                <w:sz w:val="20"/>
                <w:szCs w:val="20"/>
                <w:color w:val="auto"/>
              </w:rPr>
            </w:pPr>
            <w:r>
              <w:rPr>
                <w:rFonts w:ascii="Arial" w:cs="Arial" w:eastAsia="Arial" w:hAnsi="Arial"/>
                <w:sz w:val="16"/>
                <w:szCs w:val="16"/>
                <w:color w:val="auto"/>
              </w:rPr>
              <w:t>11.9 %</w:t>
            </w:r>
          </w:p>
        </w:tc>
      </w:tr>
      <w:tr>
        <w:trPr>
          <w:trHeight w:val="297"/>
        </w:trPr>
        <w:tc>
          <w:tcPr>
            <w:tcW w:w="6160" w:type="dxa"/>
            <w:vAlign w:val="bottom"/>
            <w:gridSpan w:val="2"/>
          </w:tcPr>
          <w:p>
            <w:pPr>
              <w:spacing w:after="0"/>
              <w:rPr>
                <w:sz w:val="20"/>
                <w:szCs w:val="20"/>
                <w:color w:val="auto"/>
              </w:rPr>
            </w:pPr>
            <w:r>
              <w:rPr>
                <w:rFonts w:ascii="Arial" w:cs="Arial" w:eastAsia="Arial" w:hAnsi="Arial"/>
                <w:sz w:val="16"/>
                <w:szCs w:val="16"/>
                <w:color w:val="auto"/>
              </w:rPr>
              <w:t xml:space="preserve">Adjusted Net Income </w:t>
            </w:r>
            <w:r>
              <w:rPr>
                <w:rFonts w:ascii="Arial" w:cs="Arial" w:eastAsia="Arial" w:hAnsi="Arial"/>
                <w:sz w:val="21"/>
                <w:szCs w:val="21"/>
                <w:color w:val="auto"/>
                <w:vertAlign w:val="superscript"/>
              </w:rPr>
              <w:t>(1)</w:t>
            </w:r>
          </w:p>
        </w:tc>
        <w:tc>
          <w:tcPr>
            <w:tcW w:w="580" w:type="dxa"/>
            <w:vAlign w:val="bottom"/>
          </w:tcPr>
          <w:p>
            <w:pPr>
              <w:jc w:val="right"/>
              <w:spacing w:after="0"/>
              <w:rPr>
                <w:sz w:val="20"/>
                <w:szCs w:val="20"/>
                <w:color w:val="auto"/>
              </w:rPr>
            </w:pPr>
            <w:r>
              <w:rPr>
                <w:rFonts w:ascii="Arial" w:cs="Arial" w:eastAsia="Arial" w:hAnsi="Arial"/>
                <w:sz w:val="16"/>
                <w:szCs w:val="16"/>
                <w:color w:val="auto"/>
              </w:rPr>
              <w:t>48.8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43.0</w:t>
            </w:r>
          </w:p>
        </w:tc>
        <w:tc>
          <w:tcPr>
            <w:tcW w:w="1980" w:type="dxa"/>
            <w:vAlign w:val="bottom"/>
            <w:gridSpan w:val="3"/>
          </w:tcPr>
          <w:p>
            <w:pPr>
              <w:jc w:val="right"/>
              <w:ind w:right="179"/>
              <w:spacing w:after="0"/>
              <w:rPr>
                <w:sz w:val="20"/>
                <w:szCs w:val="20"/>
                <w:color w:val="auto"/>
              </w:rPr>
            </w:pPr>
            <w:r>
              <w:rPr>
                <w:rFonts w:ascii="Arial" w:cs="Arial" w:eastAsia="Arial" w:hAnsi="Arial"/>
                <w:sz w:val="16"/>
                <w:szCs w:val="16"/>
                <w:color w:val="auto"/>
              </w:rPr>
              <w:t>13.5 %</w:t>
            </w:r>
          </w:p>
        </w:tc>
      </w:tr>
      <w:tr>
        <w:trPr>
          <w:trHeight w:val="297"/>
        </w:trPr>
        <w:tc>
          <w:tcPr>
            <w:tcW w:w="6160" w:type="dxa"/>
            <w:vAlign w:val="bottom"/>
            <w:gridSpan w:val="2"/>
          </w:tcPr>
          <w:p>
            <w:pPr>
              <w:spacing w:after="0"/>
              <w:rPr>
                <w:sz w:val="20"/>
                <w:szCs w:val="20"/>
                <w:color w:val="auto"/>
              </w:rPr>
            </w:pPr>
            <w:r>
              <w:rPr>
                <w:rFonts w:ascii="Arial" w:cs="Arial" w:eastAsia="Arial" w:hAnsi="Arial"/>
                <w:sz w:val="16"/>
                <w:szCs w:val="16"/>
                <w:color w:val="auto"/>
              </w:rPr>
              <w:t xml:space="preserve">Adjusted Diluted Earnings Per Share </w:t>
            </w:r>
            <w:r>
              <w:rPr>
                <w:rFonts w:ascii="Arial" w:cs="Arial" w:eastAsia="Arial" w:hAnsi="Arial"/>
                <w:sz w:val="21"/>
                <w:szCs w:val="21"/>
                <w:color w:val="auto"/>
                <w:vertAlign w:val="superscript"/>
              </w:rPr>
              <w:t>(1)</w:t>
            </w:r>
          </w:p>
        </w:tc>
        <w:tc>
          <w:tcPr>
            <w:tcW w:w="580" w:type="dxa"/>
            <w:vAlign w:val="bottom"/>
          </w:tcPr>
          <w:p>
            <w:pPr>
              <w:jc w:val="right"/>
              <w:spacing w:after="0"/>
              <w:rPr>
                <w:sz w:val="20"/>
                <w:szCs w:val="20"/>
                <w:color w:val="auto"/>
              </w:rPr>
            </w:pPr>
            <w:r>
              <w:rPr>
                <w:rFonts w:ascii="Arial" w:cs="Arial" w:eastAsia="Arial" w:hAnsi="Arial"/>
                <w:sz w:val="16"/>
                <w:szCs w:val="16"/>
                <w:color w:val="auto"/>
              </w:rPr>
              <w:t>$1.01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$0.87</w:t>
            </w:r>
          </w:p>
        </w:tc>
        <w:tc>
          <w:tcPr>
            <w:tcW w:w="1980" w:type="dxa"/>
            <w:vAlign w:val="bottom"/>
            <w:gridSpan w:val="3"/>
          </w:tcPr>
          <w:p>
            <w:pPr>
              <w:jc w:val="right"/>
              <w:ind w:right="179"/>
              <w:spacing w:after="0"/>
              <w:rPr>
                <w:sz w:val="20"/>
                <w:szCs w:val="20"/>
                <w:color w:val="auto"/>
              </w:rPr>
            </w:pPr>
            <w:r>
              <w:rPr>
                <w:rFonts w:ascii="Arial" w:cs="Arial" w:eastAsia="Arial" w:hAnsi="Arial"/>
                <w:sz w:val="16"/>
                <w:szCs w:val="16"/>
                <w:color w:val="auto"/>
              </w:rPr>
              <w:t>16.1 %</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Statistics (as a % of net sales, except for income tax rate)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260" w:type="dxa"/>
            <w:vAlign w:val="bottom"/>
          </w:tcPr>
          <w:p>
            <w:pPr>
              <w:spacing w:after="0"/>
              <w:rPr>
                <w:sz w:val="23"/>
                <w:szCs w:val="23"/>
                <w:color w:val="auto"/>
              </w:rPr>
            </w:pPr>
          </w:p>
        </w:tc>
        <w:tc>
          <w:tcPr>
            <w:tcW w:w="3340" w:type="dxa"/>
            <w:vAlign w:val="bottom"/>
            <w:gridSpan w:val="4"/>
          </w:tcPr>
          <w:p>
            <w:pPr>
              <w:jc w:val="right"/>
              <w:ind w:right="100"/>
              <w:spacing w:after="0"/>
              <w:rPr>
                <w:sz w:val="20"/>
                <w:szCs w:val="20"/>
                <w:color w:val="auto"/>
              </w:rPr>
            </w:pPr>
            <w:r>
              <w:rPr>
                <w:rFonts w:ascii="Arial" w:cs="Arial" w:eastAsia="Arial" w:hAnsi="Arial"/>
                <w:sz w:val="16"/>
                <w:szCs w:val="16"/>
                <w:color w:val="auto"/>
              </w:rPr>
              <w:t>GAAP Three Months Ended June 30,</w:t>
            </w: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960" w:type="dxa"/>
            <w:vAlign w:val="bottom"/>
            <w:gridSpan w:val="4"/>
          </w:tcPr>
          <w:p>
            <w:pPr>
              <w:jc w:val="right"/>
              <w:ind w:right="359"/>
              <w:spacing w:after="0"/>
              <w:rPr>
                <w:sz w:val="20"/>
                <w:szCs w:val="20"/>
                <w:color w:val="auto"/>
              </w:rPr>
            </w:pPr>
            <w:r>
              <w:rPr>
                <w:rFonts w:ascii="Arial" w:cs="Arial" w:eastAsia="Arial" w:hAnsi="Arial"/>
                <w:sz w:val="16"/>
                <w:szCs w:val="16"/>
                <w:color w:val="auto"/>
              </w:rPr>
              <w:t xml:space="preserve">Adjusted </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Three Months Ended June 30,</w:t>
            </w:r>
          </w:p>
        </w:tc>
      </w:tr>
      <w:tr>
        <w:trPr>
          <w:trHeight w:val="195"/>
        </w:trPr>
        <w:tc>
          <w:tcPr>
            <w:tcW w:w="4520" w:type="dxa"/>
            <w:vAlign w:val="bottom"/>
            <w:gridSpan w:val="2"/>
          </w:tcPr>
          <w:p>
            <w:pPr>
              <w:ind w:left="4060"/>
              <w:spacing w:after="0"/>
              <w:rPr>
                <w:sz w:val="20"/>
                <w:szCs w:val="20"/>
                <w:color w:val="auto"/>
              </w:rPr>
            </w:pPr>
            <w:r>
              <w:rPr>
                <w:rFonts w:ascii="Arial" w:cs="Arial" w:eastAsia="Arial" w:hAnsi="Arial"/>
                <w:sz w:val="16"/>
                <w:szCs w:val="16"/>
                <w:color w:val="auto"/>
              </w:rPr>
              <w:t>2017</w:t>
            </w:r>
          </w:p>
        </w:tc>
        <w:tc>
          <w:tcPr>
            <w:tcW w:w="2080" w:type="dxa"/>
            <w:vAlign w:val="bottom"/>
            <w:gridSpan w:val="3"/>
          </w:tcPr>
          <w:p>
            <w:pPr>
              <w:jc w:val="right"/>
              <w:ind w:right="100"/>
              <w:spacing w:after="0"/>
              <w:rPr>
                <w:sz w:val="20"/>
                <w:szCs w:val="20"/>
                <w:color w:val="auto"/>
              </w:rPr>
            </w:pPr>
            <w:r>
              <w:rPr>
                <w:rFonts w:ascii="Arial" w:cs="Arial" w:eastAsia="Arial" w:hAnsi="Arial"/>
                <w:sz w:val="16"/>
                <w:szCs w:val="16"/>
                <w:color w:val="auto"/>
              </w:rPr>
              <w:t>2016</w:t>
            </w:r>
          </w:p>
        </w:tc>
        <w:tc>
          <w:tcPr>
            <w:tcW w:w="2060" w:type="dxa"/>
            <w:vAlign w:val="bottom"/>
            <w:gridSpan w:val="3"/>
          </w:tcPr>
          <w:p>
            <w:pPr>
              <w:jc w:val="right"/>
              <w:ind w:right="19"/>
              <w:spacing w:after="0"/>
              <w:rPr>
                <w:sz w:val="20"/>
                <w:szCs w:val="20"/>
                <w:color w:val="auto"/>
              </w:rPr>
            </w:pPr>
            <w:r>
              <w:rPr>
                <w:rFonts w:ascii="Arial" w:cs="Arial" w:eastAsia="Arial" w:hAnsi="Arial"/>
                <w:sz w:val="16"/>
                <w:szCs w:val="16"/>
                <w:color w:val="auto"/>
              </w:rPr>
              <w:t>2017</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jc w:val="right"/>
              <w:ind w:right="679"/>
              <w:spacing w:after="0"/>
              <w:rPr>
                <w:sz w:val="20"/>
                <w:szCs w:val="20"/>
                <w:color w:val="auto"/>
              </w:rPr>
            </w:pPr>
            <w:r>
              <w:rPr>
                <w:rFonts w:ascii="Arial" w:cs="Arial" w:eastAsia="Arial" w:hAnsi="Arial"/>
                <w:sz w:val="16"/>
                <w:szCs w:val="16"/>
                <w:color w:val="auto"/>
              </w:rPr>
              <w:t>2016</w:t>
            </w:r>
          </w:p>
        </w:tc>
      </w:tr>
      <w:tr>
        <w:trPr>
          <w:trHeight w:val="47"/>
        </w:trPr>
        <w:tc>
          <w:tcPr>
            <w:tcW w:w="326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r>
      <w:tr>
        <w:trPr>
          <w:trHeight w:val="217"/>
        </w:trPr>
        <w:tc>
          <w:tcPr>
            <w:tcW w:w="452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680" w:type="dxa"/>
            <w:vAlign w:val="bottom"/>
          </w:tcPr>
          <w:p>
            <w:pPr>
              <w:jc w:val="right"/>
              <w:spacing w:after="0"/>
              <w:rPr>
                <w:sz w:val="20"/>
                <w:szCs w:val="20"/>
                <w:color w:val="auto"/>
              </w:rPr>
            </w:pPr>
            <w:r>
              <w:rPr>
                <w:rFonts w:ascii="Arial" w:cs="Arial" w:eastAsia="Arial" w:hAnsi="Arial"/>
                <w:sz w:val="16"/>
                <w:szCs w:val="16"/>
                <w:color w:val="auto"/>
              </w:rPr>
              <w:t>65.6 %</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59.0 %</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66.6 %</w:t>
            </w:r>
          </w:p>
        </w:tc>
        <w:tc>
          <w:tcPr>
            <w:tcW w:w="1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65.1 %</w:t>
            </w:r>
          </w:p>
        </w:tc>
      </w:tr>
      <w:tr>
        <w:trPr>
          <w:trHeight w:val="270"/>
        </w:trPr>
        <w:tc>
          <w:tcPr>
            <w:tcW w:w="4520" w:type="dxa"/>
            <w:vAlign w:val="bottom"/>
            <w:gridSpan w:val="2"/>
          </w:tcPr>
          <w:p>
            <w:pPr>
              <w:spacing w:after="0"/>
              <w:rPr>
                <w:sz w:val="20"/>
                <w:szCs w:val="20"/>
                <w:color w:val="auto"/>
              </w:rPr>
            </w:pPr>
            <w:r>
              <w:rPr>
                <w:rFonts w:ascii="Arial" w:cs="Arial" w:eastAsia="Arial" w:hAnsi="Arial"/>
                <w:sz w:val="16"/>
                <w:szCs w:val="16"/>
                <w:color w:val="auto"/>
              </w:rPr>
              <w:t>SG&amp;A</w:t>
            </w:r>
          </w:p>
        </w:tc>
        <w:tc>
          <w:tcPr>
            <w:tcW w:w="680" w:type="dxa"/>
            <w:vAlign w:val="bottom"/>
          </w:tcPr>
          <w:p>
            <w:pPr>
              <w:jc w:val="right"/>
              <w:spacing w:after="0"/>
              <w:rPr>
                <w:sz w:val="20"/>
                <w:szCs w:val="20"/>
                <w:color w:val="auto"/>
              </w:rPr>
            </w:pPr>
            <w:r>
              <w:rPr>
                <w:rFonts w:ascii="Arial" w:cs="Arial" w:eastAsia="Arial" w:hAnsi="Arial"/>
                <w:sz w:val="16"/>
                <w:szCs w:val="16"/>
                <w:color w:val="auto"/>
              </w:rPr>
              <w:t>37.5 %</w:t>
            </w: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37.6 %</w:t>
            </w: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34.8 %</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36.2 %</w:t>
            </w:r>
          </w:p>
        </w:tc>
      </w:tr>
      <w:tr>
        <w:trPr>
          <w:trHeight w:val="270"/>
        </w:trPr>
        <w:tc>
          <w:tcPr>
            <w:tcW w:w="4520" w:type="dxa"/>
            <w:vAlign w:val="bottom"/>
            <w:gridSpan w:val="2"/>
          </w:tcPr>
          <w:p>
            <w:pPr>
              <w:spacing w:after="0"/>
              <w:rPr>
                <w:sz w:val="20"/>
                <w:szCs w:val="20"/>
                <w:color w:val="auto"/>
              </w:rPr>
            </w:pPr>
            <w:r>
              <w:rPr>
                <w:rFonts w:ascii="Arial" w:cs="Arial" w:eastAsia="Arial" w:hAnsi="Arial"/>
                <w:sz w:val="16"/>
                <w:szCs w:val="16"/>
                <w:color w:val="auto"/>
              </w:rPr>
              <w:t>R&amp;D</w:t>
            </w:r>
          </w:p>
        </w:tc>
        <w:tc>
          <w:tcPr>
            <w:tcW w:w="680" w:type="dxa"/>
            <w:vAlign w:val="bottom"/>
          </w:tcPr>
          <w:p>
            <w:pPr>
              <w:jc w:val="right"/>
              <w:spacing w:after="0"/>
              <w:rPr>
                <w:sz w:val="20"/>
                <w:szCs w:val="20"/>
                <w:color w:val="auto"/>
              </w:rPr>
            </w:pPr>
            <w:r>
              <w:rPr>
                <w:rFonts w:ascii="Arial" w:cs="Arial" w:eastAsia="Arial" w:hAnsi="Arial"/>
                <w:sz w:val="16"/>
                <w:szCs w:val="16"/>
                <w:color w:val="auto"/>
              </w:rPr>
              <w:t>13.4 %</w:t>
            </w: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9.4 %</w:t>
            </w: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9.9 %</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9.3 %</w:t>
            </w:r>
          </w:p>
        </w:tc>
      </w:tr>
      <w:tr>
        <w:trPr>
          <w:trHeight w:val="270"/>
        </w:trPr>
        <w:tc>
          <w:tcPr>
            <w:tcW w:w="4520" w:type="dxa"/>
            <w:vAlign w:val="bottom"/>
            <w:gridSpan w:val="2"/>
          </w:tcPr>
          <w:p>
            <w:pPr>
              <w:spacing w:after="0"/>
              <w:rPr>
                <w:sz w:val="20"/>
                <w:szCs w:val="20"/>
                <w:color w:val="auto"/>
              </w:rPr>
            </w:pPr>
            <w:r>
              <w:rPr>
                <w:rFonts w:ascii="Arial" w:cs="Arial" w:eastAsia="Arial" w:hAnsi="Arial"/>
                <w:sz w:val="16"/>
                <w:szCs w:val="16"/>
                <w:color w:val="auto"/>
              </w:rPr>
              <w:t>Income (loss) from Operations</w:t>
            </w:r>
          </w:p>
        </w:tc>
        <w:tc>
          <w:tcPr>
            <w:tcW w:w="680" w:type="dxa"/>
            <w:vAlign w:val="bottom"/>
          </w:tcPr>
          <w:p>
            <w:pPr>
              <w:jc w:val="right"/>
              <w:spacing w:after="0"/>
              <w:rPr>
                <w:sz w:val="20"/>
                <w:szCs w:val="20"/>
                <w:color w:val="auto"/>
              </w:rPr>
            </w:pPr>
            <w:r>
              <w:rPr>
                <w:rFonts w:ascii="Arial" w:cs="Arial" w:eastAsia="Arial" w:hAnsi="Arial"/>
                <w:sz w:val="16"/>
                <w:szCs w:val="16"/>
                <w:color w:val="auto"/>
              </w:rPr>
              <w:t>9.7 %</w:t>
            </w: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6.8 %</w:t>
            </w: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21.9 %</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19.5 %</w:t>
            </w:r>
          </w:p>
        </w:tc>
      </w:tr>
      <w:tr>
        <w:trPr>
          <w:trHeight w:val="270"/>
        </w:trPr>
        <w:tc>
          <w:tcPr>
            <w:tcW w:w="4520" w:type="dxa"/>
            <w:vAlign w:val="bottom"/>
            <w:gridSpan w:val="2"/>
          </w:tcPr>
          <w:p>
            <w:pPr>
              <w:spacing w:after="0"/>
              <w:rPr>
                <w:sz w:val="20"/>
                <w:szCs w:val="20"/>
                <w:color w:val="auto"/>
              </w:rPr>
            </w:pPr>
            <w:r>
              <w:rPr>
                <w:rFonts w:ascii="Arial" w:cs="Arial" w:eastAsia="Arial" w:hAnsi="Arial"/>
                <w:sz w:val="16"/>
                <w:szCs w:val="16"/>
                <w:color w:val="auto"/>
              </w:rPr>
              <w:t>Net (loss) Income</w:t>
            </w:r>
          </w:p>
        </w:tc>
        <w:tc>
          <w:tcPr>
            <w:tcW w:w="680" w:type="dxa"/>
            <w:vAlign w:val="bottom"/>
          </w:tcPr>
          <w:p>
            <w:pPr>
              <w:jc w:val="right"/>
              <w:spacing w:after="0"/>
              <w:rPr>
                <w:sz w:val="20"/>
                <w:szCs w:val="20"/>
                <w:color w:val="auto"/>
              </w:rPr>
            </w:pPr>
            <w:r>
              <w:rPr>
                <w:rFonts w:ascii="Arial" w:cs="Arial" w:eastAsia="Arial" w:hAnsi="Arial"/>
                <w:sz w:val="16"/>
                <w:szCs w:val="16"/>
                <w:color w:val="auto"/>
              </w:rPr>
              <w:t>14.8 %</w:t>
            </w: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2.8 %</w:t>
            </w: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15.2 %</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13.4 %</w:t>
            </w:r>
          </w:p>
        </w:tc>
      </w:tr>
      <w:tr>
        <w:trPr>
          <w:trHeight w:val="270"/>
        </w:trPr>
        <w:tc>
          <w:tcPr>
            <w:tcW w:w="4520" w:type="dxa"/>
            <w:vAlign w:val="bottom"/>
            <w:gridSpan w:val="2"/>
          </w:tcPr>
          <w:p>
            <w:pPr>
              <w:spacing w:after="0"/>
              <w:rPr>
                <w:sz w:val="20"/>
                <w:szCs w:val="20"/>
                <w:color w:val="auto"/>
              </w:rPr>
            </w:pPr>
            <w:r>
              <w:rPr>
                <w:rFonts w:ascii="Arial" w:cs="Arial" w:eastAsia="Arial" w:hAnsi="Arial"/>
                <w:sz w:val="16"/>
                <w:szCs w:val="16"/>
                <w:color w:val="auto"/>
              </w:rPr>
              <w:t>Income Tax Rate</w:t>
            </w:r>
          </w:p>
        </w:tc>
        <w:tc>
          <w:tcPr>
            <w:tcW w:w="680" w:type="dxa"/>
            <w:vAlign w:val="bottom"/>
          </w:tcPr>
          <w:p>
            <w:pPr>
              <w:jc w:val="right"/>
              <w:spacing w:after="0"/>
              <w:rPr>
                <w:sz w:val="20"/>
                <w:szCs w:val="20"/>
                <w:color w:val="auto"/>
              </w:rPr>
            </w:pPr>
            <w:r>
              <w:rPr>
                <w:rFonts w:ascii="Arial" w:cs="Arial" w:eastAsia="Arial" w:hAnsi="Arial"/>
                <w:sz w:val="16"/>
                <w:szCs w:val="16"/>
                <w:color w:val="auto"/>
              </w:rPr>
              <w:t>5.0 %</w:t>
            </w: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40.3 %</w:t>
            </w: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22.8 %</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25.9 %</w:t>
            </w:r>
          </w:p>
        </w:tc>
      </w:tr>
    </w:tbl>
    <w:p>
      <w:pPr>
        <w:spacing w:after="0" w:line="267" w:lineRule="exact"/>
        <w:rPr>
          <w:sz w:val="20"/>
          <w:szCs w:val="20"/>
          <w:color w:val="auto"/>
        </w:rPr>
      </w:pPr>
    </w:p>
    <w:p>
      <w:pPr>
        <w:ind w:left="460" w:right="280" w:hanging="363"/>
        <w:spacing w:after="0" w:line="258" w:lineRule="auto"/>
        <w:tabs>
          <w:tab w:leader="none" w:pos="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Adjusted financial measures are Non-GAAP measures and exclude specified items as described and reconciled in the "Reconciliation of GAAP to non-GAAP Financial Measures" contained in the press release.</w:t>
      </w:r>
    </w:p>
    <w:p>
      <w:pPr>
        <w:spacing w:after="0" w:line="86" w:lineRule="exact"/>
        <w:rPr>
          <w:sz w:val="20"/>
          <w:szCs w:val="20"/>
          <w:color w:val="auto"/>
        </w:rPr>
      </w:pPr>
    </w:p>
    <w:p>
      <w:pPr>
        <w:ind w:left="460" w:hanging="303"/>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Numbers may not add up precisely due to rounding.</w:t>
      </w:r>
    </w:p>
    <w:p>
      <w:pPr>
        <w:sectPr>
          <w:pgSz w:w="11900" w:h="16838" w:orient="portrait"/>
          <w:cols w:equalWidth="0" w:num="1">
            <w:col w:w="11340"/>
          </w:cols>
          <w:pgMar w:left="320" w:top="733" w:right="239" w:bottom="0"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019"/>
          </w:cols>
          <w:pgMar w:left="1440" w:top="159" w:right="1440" w:bottom="1440" w:gutter="0" w:footer="0" w:header="0"/>
        </w:sectPr>
      </w:pPr>
    </w:p>
    <w:bookmarkStart w:id="14" w:name="page15"/>
    <w:bookmarkEnd w:id="14"/>
    <w:p>
      <w:pPr>
        <w:ind w:left="80"/>
        <w:spacing w:after="0"/>
        <w:rPr>
          <w:sz w:val="20"/>
          <w:szCs w:val="20"/>
          <w:color w:val="auto"/>
        </w:rPr>
      </w:pPr>
      <w:r>
        <w:rPr>
          <w:rFonts w:ascii="Arial" w:cs="Arial" w:eastAsia="Arial" w:hAnsi="Arial"/>
          <w:sz w:val="20"/>
          <w:szCs w:val="20"/>
          <w:b w:val="1"/>
          <w:bCs w:val="1"/>
          <w:color w:val="auto"/>
        </w:rPr>
        <w:t>LIVANOVA PLC AND SUBSIDIARIES</w:t>
      </w:r>
    </w:p>
    <w:p>
      <w:pPr>
        <w:spacing w:after="0" w:line="67" w:lineRule="exact"/>
        <w:rPr>
          <w:sz w:val="20"/>
          <w:szCs w:val="20"/>
          <w:color w:val="auto"/>
        </w:rPr>
      </w:pPr>
    </w:p>
    <w:p>
      <w:pPr>
        <w:ind w:left="80" w:right="4660"/>
        <w:spacing w:after="0" w:line="373" w:lineRule="auto"/>
        <w:rPr>
          <w:sz w:val="20"/>
          <w:szCs w:val="20"/>
          <w:color w:val="auto"/>
        </w:rPr>
      </w:pPr>
      <w:r>
        <w:rPr>
          <w:rFonts w:ascii="Arial" w:cs="Arial" w:eastAsia="Arial" w:hAnsi="Arial"/>
          <w:sz w:val="19"/>
          <w:szCs w:val="19"/>
          <w:b w:val="1"/>
          <w:bCs w:val="1"/>
          <w:color w:val="auto"/>
        </w:rPr>
        <w:t>CONSOLIDATED STATEMENT OF INCOME (LOSS) - UNAUDITED (U.S. dollars in millions, except per share amounts)</w:t>
      </w:r>
    </w:p>
    <w:p>
      <w:pPr>
        <w:spacing w:after="0" w:line="208"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3240" w:type="dxa"/>
            <w:vAlign w:val="bottom"/>
            <w:gridSpan w:val="5"/>
          </w:tcPr>
          <w:p>
            <w:pPr>
              <w:jc w:val="right"/>
              <w:ind w:right="180"/>
              <w:spacing w:after="0"/>
              <w:rPr>
                <w:sz w:val="20"/>
                <w:szCs w:val="20"/>
                <w:color w:val="auto"/>
              </w:rPr>
            </w:pPr>
            <w:r>
              <w:rPr>
                <w:rFonts w:ascii="Arial" w:cs="Arial" w:eastAsia="Arial" w:hAnsi="Arial"/>
                <w:sz w:val="16"/>
                <w:szCs w:val="16"/>
                <w:b w:val="1"/>
                <w:bCs w:val="1"/>
                <w:color w:val="auto"/>
              </w:rPr>
              <w:t>Six Months Ended June 30,</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47"/>
        </w:trPr>
        <w:tc>
          <w:tcPr>
            <w:tcW w:w="498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r>
      <w:tr>
        <w:trPr>
          <w:trHeight w:val="217"/>
        </w:trPr>
        <w:tc>
          <w:tcPr>
            <w:tcW w:w="6180" w:type="dxa"/>
            <w:vAlign w:val="bottom"/>
            <w:gridSpan w:val="2"/>
          </w:tcPr>
          <w:p>
            <w:pPr>
              <w:ind w:left="5800"/>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18"/>
                <w:szCs w:val="18"/>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2016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ind w:right="299"/>
              <w:spacing w:after="0"/>
              <w:rPr>
                <w:sz w:val="20"/>
                <w:szCs w:val="20"/>
                <w:color w:val="auto"/>
              </w:rPr>
            </w:pPr>
            <w:r>
              <w:rPr>
                <w:rFonts w:ascii="Arial" w:cs="Arial" w:eastAsia="Arial" w:hAnsi="Arial"/>
                <w:sz w:val="16"/>
                <w:szCs w:val="16"/>
                <w:b w:val="1"/>
                <w:bCs w:val="1"/>
                <w:color w:val="auto"/>
              </w:rPr>
              <w:t>% Change</w:t>
            </w:r>
          </w:p>
        </w:tc>
      </w:tr>
      <w:tr>
        <w:trPr>
          <w:trHeight w:val="47"/>
        </w:trPr>
        <w:tc>
          <w:tcPr>
            <w:tcW w:w="498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406"/>
        </w:trPr>
        <w:tc>
          <w:tcPr>
            <w:tcW w:w="6180" w:type="dxa"/>
            <w:vAlign w:val="bottom"/>
            <w:gridSpan w:val="2"/>
          </w:tcPr>
          <w:p>
            <w:pPr>
              <w:spacing w:after="0"/>
              <w:rPr>
                <w:sz w:val="20"/>
                <w:szCs w:val="20"/>
                <w:color w:val="auto"/>
              </w:rPr>
            </w:pPr>
            <w:r>
              <w:rPr>
                <w:rFonts w:ascii="Arial" w:cs="Arial" w:eastAsia="Arial" w:hAnsi="Arial"/>
                <w:sz w:val="16"/>
                <w:szCs w:val="16"/>
                <w:color w:val="auto"/>
              </w:rPr>
              <w:t>Net sales</w:t>
            </w:r>
          </w:p>
        </w:tc>
        <w:tc>
          <w:tcPr>
            <w:tcW w:w="600" w:type="dxa"/>
            <w:vAlign w:val="bottom"/>
          </w:tcPr>
          <w:p>
            <w:pPr>
              <w:jc w:val="right"/>
              <w:spacing w:after="0"/>
              <w:rPr>
                <w:sz w:val="20"/>
                <w:szCs w:val="20"/>
                <w:color w:val="auto"/>
              </w:rPr>
            </w:pPr>
            <w:r>
              <w:rPr>
                <w:rFonts w:ascii="Arial" w:cs="Arial" w:eastAsia="Arial" w:hAnsi="Arial"/>
                <w:sz w:val="16"/>
                <w:szCs w:val="16"/>
                <w:color w:val="auto"/>
              </w:rPr>
              <w:t>$606.5</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$608.0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0"/>
        </w:trPr>
        <w:tc>
          <w:tcPr>
            <w:tcW w:w="6180" w:type="dxa"/>
            <w:vAlign w:val="bottom"/>
            <w:gridSpan w:val="2"/>
          </w:tcPr>
          <w:p>
            <w:pPr>
              <w:ind w:left="640"/>
              <w:spacing w:after="0"/>
              <w:rPr>
                <w:sz w:val="20"/>
                <w:szCs w:val="20"/>
                <w:color w:val="auto"/>
              </w:rPr>
            </w:pPr>
            <w:r>
              <w:rPr>
                <w:rFonts w:ascii="Arial" w:cs="Arial" w:eastAsia="Arial" w:hAnsi="Arial"/>
                <w:sz w:val="16"/>
                <w:szCs w:val="16"/>
                <w:color w:val="auto"/>
              </w:rPr>
              <w:t>Cost of sales</w:t>
            </w:r>
          </w:p>
        </w:tc>
        <w:tc>
          <w:tcPr>
            <w:tcW w:w="600" w:type="dxa"/>
            <w:vAlign w:val="bottom"/>
          </w:tcPr>
          <w:p>
            <w:pPr>
              <w:jc w:val="right"/>
              <w:spacing w:after="0"/>
              <w:rPr>
                <w:sz w:val="20"/>
                <w:szCs w:val="20"/>
                <w:color w:val="auto"/>
              </w:rPr>
            </w:pPr>
            <w:r>
              <w:rPr>
                <w:rFonts w:ascii="Arial" w:cs="Arial" w:eastAsia="Arial" w:hAnsi="Arial"/>
                <w:sz w:val="16"/>
                <w:szCs w:val="16"/>
                <w:color w:val="auto"/>
              </w:rPr>
              <w:t>210.4</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254.2</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6180" w:type="dxa"/>
            <w:vAlign w:val="bottom"/>
            <w:gridSpan w:val="2"/>
          </w:tcPr>
          <w:p>
            <w:pPr>
              <w:ind w:left="640"/>
              <w:spacing w:after="0"/>
              <w:rPr>
                <w:sz w:val="20"/>
                <w:szCs w:val="20"/>
                <w:color w:val="auto"/>
              </w:rPr>
            </w:pPr>
            <w:r>
              <w:rPr>
                <w:rFonts w:ascii="Arial" w:cs="Arial" w:eastAsia="Arial" w:hAnsi="Arial"/>
                <w:sz w:val="16"/>
                <w:szCs w:val="16"/>
                <w:color w:val="auto"/>
              </w:rPr>
              <w:t>Product remediation</w:t>
            </w:r>
          </w:p>
        </w:tc>
        <w:tc>
          <w:tcPr>
            <w:tcW w:w="600" w:type="dxa"/>
            <w:vAlign w:val="bottom"/>
          </w:tcPr>
          <w:p>
            <w:pPr>
              <w:jc w:val="right"/>
              <w:spacing w:after="0"/>
              <w:rPr>
                <w:sz w:val="20"/>
                <w:szCs w:val="20"/>
                <w:color w:val="auto"/>
              </w:rPr>
            </w:pPr>
            <w:r>
              <w:rPr>
                <w:rFonts w:ascii="Arial" w:cs="Arial" w:eastAsia="Arial" w:hAnsi="Arial"/>
                <w:sz w:val="16"/>
                <w:szCs w:val="16"/>
                <w:color w:val="auto"/>
              </w:rPr>
              <w:t>0.9</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47"/>
        </w:trPr>
        <w:tc>
          <w:tcPr>
            <w:tcW w:w="498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217"/>
        </w:trPr>
        <w:tc>
          <w:tcPr>
            <w:tcW w:w="618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600" w:type="dxa"/>
            <w:vAlign w:val="bottom"/>
          </w:tcPr>
          <w:p>
            <w:pPr>
              <w:jc w:val="right"/>
              <w:spacing w:after="0"/>
              <w:rPr>
                <w:sz w:val="20"/>
                <w:szCs w:val="20"/>
                <w:color w:val="auto"/>
              </w:rPr>
            </w:pPr>
            <w:r>
              <w:rPr>
                <w:rFonts w:ascii="Arial" w:cs="Arial" w:eastAsia="Arial" w:hAnsi="Arial"/>
                <w:sz w:val="16"/>
                <w:szCs w:val="16"/>
                <w:color w:val="auto"/>
              </w:rPr>
              <w:t>395.2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ind w:right="179"/>
              <w:spacing w:after="0"/>
              <w:rPr>
                <w:sz w:val="20"/>
                <w:szCs w:val="20"/>
                <w:color w:val="auto"/>
              </w:rPr>
            </w:pPr>
            <w:r>
              <w:rPr>
                <w:rFonts w:ascii="Arial" w:cs="Arial" w:eastAsia="Arial" w:hAnsi="Arial"/>
                <w:sz w:val="16"/>
                <w:szCs w:val="16"/>
                <w:color w:val="auto"/>
              </w:rPr>
              <w:t>12.2 %</w:t>
            </w:r>
          </w:p>
        </w:tc>
      </w:tr>
      <w:tr>
        <w:trPr>
          <w:trHeight w:val="47"/>
        </w:trPr>
        <w:tc>
          <w:tcPr>
            <w:tcW w:w="498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379"/>
        </w:trPr>
        <w:tc>
          <w:tcPr>
            <w:tcW w:w="618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0"/>
        </w:trPr>
        <w:tc>
          <w:tcPr>
            <w:tcW w:w="6180" w:type="dxa"/>
            <w:vAlign w:val="bottom"/>
            <w:gridSpan w:val="2"/>
          </w:tcPr>
          <w:p>
            <w:pPr>
              <w:ind w:left="640"/>
              <w:spacing w:after="0"/>
              <w:rPr>
                <w:sz w:val="20"/>
                <w:szCs w:val="20"/>
                <w:color w:val="auto"/>
              </w:rPr>
            </w:pPr>
            <w:r>
              <w:rPr>
                <w:rFonts w:ascii="Arial" w:cs="Arial" w:eastAsia="Arial" w:hAnsi="Arial"/>
                <w:sz w:val="16"/>
                <w:szCs w:val="16"/>
                <w:color w:val="auto"/>
              </w:rPr>
              <w:t>Selling, general and administrative</w:t>
            </w:r>
          </w:p>
        </w:tc>
        <w:tc>
          <w:tcPr>
            <w:tcW w:w="600" w:type="dxa"/>
            <w:vAlign w:val="bottom"/>
          </w:tcPr>
          <w:p>
            <w:pPr>
              <w:jc w:val="right"/>
              <w:spacing w:after="0"/>
              <w:rPr>
                <w:sz w:val="20"/>
                <w:szCs w:val="20"/>
                <w:color w:val="auto"/>
              </w:rPr>
            </w:pPr>
            <w:r>
              <w:rPr>
                <w:rFonts w:ascii="Arial" w:cs="Arial" w:eastAsia="Arial" w:hAnsi="Arial"/>
                <w:sz w:val="16"/>
                <w:szCs w:val="16"/>
                <w:color w:val="auto"/>
              </w:rPr>
              <w:t>232.8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236.5</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6180" w:type="dxa"/>
            <w:vAlign w:val="bottom"/>
            <w:gridSpan w:val="2"/>
          </w:tcPr>
          <w:p>
            <w:pPr>
              <w:ind w:left="640"/>
              <w:spacing w:after="0"/>
              <w:rPr>
                <w:sz w:val="20"/>
                <w:szCs w:val="20"/>
                <w:color w:val="auto"/>
              </w:rPr>
            </w:pPr>
            <w:r>
              <w:rPr>
                <w:rFonts w:ascii="Arial" w:cs="Arial" w:eastAsia="Arial" w:hAnsi="Arial"/>
                <w:sz w:val="16"/>
                <w:szCs w:val="16"/>
                <w:color w:val="auto"/>
              </w:rPr>
              <w:t>Research and development</w:t>
            </w:r>
          </w:p>
        </w:tc>
        <w:tc>
          <w:tcPr>
            <w:tcW w:w="600" w:type="dxa"/>
            <w:vAlign w:val="bottom"/>
          </w:tcPr>
          <w:p>
            <w:pPr>
              <w:jc w:val="right"/>
              <w:spacing w:after="0"/>
              <w:rPr>
                <w:sz w:val="20"/>
                <w:szCs w:val="20"/>
                <w:color w:val="auto"/>
              </w:rPr>
            </w:pPr>
            <w:r>
              <w:rPr>
                <w:rFonts w:ascii="Arial" w:cs="Arial" w:eastAsia="Arial" w:hAnsi="Arial"/>
                <w:sz w:val="16"/>
                <w:szCs w:val="16"/>
                <w:color w:val="auto"/>
              </w:rPr>
              <w:t>72.7</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61.9</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6180" w:type="dxa"/>
            <w:vAlign w:val="bottom"/>
            <w:gridSpan w:val="2"/>
          </w:tcPr>
          <w:p>
            <w:pPr>
              <w:ind w:left="640"/>
              <w:spacing w:after="0"/>
              <w:rPr>
                <w:sz w:val="20"/>
                <w:szCs w:val="20"/>
                <w:color w:val="auto"/>
              </w:rPr>
            </w:pPr>
            <w:r>
              <w:rPr>
                <w:rFonts w:ascii="Arial" w:cs="Arial" w:eastAsia="Arial" w:hAnsi="Arial"/>
                <w:sz w:val="16"/>
                <w:szCs w:val="16"/>
                <w:color w:val="auto"/>
              </w:rPr>
              <w:t>Merger and integration expense</w:t>
            </w:r>
          </w:p>
        </w:tc>
        <w:tc>
          <w:tcPr>
            <w:tcW w:w="600" w:type="dxa"/>
            <w:vAlign w:val="bottom"/>
          </w:tcPr>
          <w:p>
            <w:pPr>
              <w:jc w:val="right"/>
              <w:spacing w:after="0"/>
              <w:rPr>
                <w:sz w:val="20"/>
                <w:szCs w:val="20"/>
                <w:color w:val="auto"/>
              </w:rPr>
            </w:pPr>
            <w:r>
              <w:rPr>
                <w:rFonts w:ascii="Arial" w:cs="Arial" w:eastAsia="Arial" w:hAnsi="Arial"/>
                <w:sz w:val="16"/>
                <w:szCs w:val="16"/>
                <w:color w:val="auto"/>
              </w:rPr>
              <w:t>5.7</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6180" w:type="dxa"/>
            <w:vAlign w:val="bottom"/>
            <w:gridSpan w:val="2"/>
          </w:tcPr>
          <w:p>
            <w:pPr>
              <w:ind w:left="640"/>
              <w:spacing w:after="0"/>
              <w:rPr>
                <w:sz w:val="20"/>
                <w:szCs w:val="20"/>
                <w:color w:val="auto"/>
              </w:rPr>
            </w:pPr>
            <w:r>
              <w:rPr>
                <w:rFonts w:ascii="Arial" w:cs="Arial" w:eastAsia="Arial" w:hAnsi="Arial"/>
                <w:sz w:val="16"/>
                <w:szCs w:val="16"/>
                <w:color w:val="auto"/>
              </w:rPr>
              <w:t>Restructuring expense</w:t>
            </w:r>
          </w:p>
        </w:tc>
        <w:tc>
          <w:tcPr>
            <w:tcW w:w="600" w:type="dxa"/>
            <w:vAlign w:val="bottom"/>
          </w:tcPr>
          <w:p>
            <w:pPr>
              <w:jc w:val="right"/>
              <w:spacing w:after="0"/>
              <w:rPr>
                <w:sz w:val="20"/>
                <w:szCs w:val="20"/>
                <w:color w:val="auto"/>
              </w:rPr>
            </w:pPr>
            <w:r>
              <w:rPr>
                <w:rFonts w:ascii="Arial" w:cs="Arial" w:eastAsia="Arial" w:hAnsi="Arial"/>
                <w:sz w:val="16"/>
                <w:szCs w:val="16"/>
                <w:color w:val="auto"/>
              </w:rPr>
              <w:t>11.3</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32.8</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6180" w:type="dxa"/>
            <w:vAlign w:val="bottom"/>
            <w:gridSpan w:val="2"/>
          </w:tcPr>
          <w:p>
            <w:pPr>
              <w:ind w:left="640"/>
              <w:spacing w:after="0"/>
              <w:rPr>
                <w:sz w:val="20"/>
                <w:szCs w:val="20"/>
                <w:color w:val="auto"/>
              </w:rPr>
            </w:pPr>
            <w:r>
              <w:rPr>
                <w:rFonts w:ascii="Arial" w:cs="Arial" w:eastAsia="Arial" w:hAnsi="Arial"/>
                <w:sz w:val="16"/>
                <w:szCs w:val="16"/>
                <w:color w:val="auto"/>
              </w:rPr>
              <w:t>Amortization of intangibles</w:t>
            </w:r>
          </w:p>
        </w:tc>
        <w:tc>
          <w:tcPr>
            <w:tcW w:w="600" w:type="dxa"/>
            <w:vAlign w:val="bottom"/>
          </w:tcPr>
          <w:p>
            <w:pPr>
              <w:jc w:val="right"/>
              <w:spacing w:after="0"/>
              <w:rPr>
                <w:sz w:val="20"/>
                <w:szCs w:val="20"/>
                <w:color w:val="auto"/>
              </w:rPr>
            </w:pPr>
            <w:r>
              <w:rPr>
                <w:rFonts w:ascii="Arial" w:cs="Arial" w:eastAsia="Arial" w:hAnsi="Arial"/>
                <w:sz w:val="16"/>
                <w:szCs w:val="16"/>
                <w:color w:val="auto"/>
              </w:rPr>
              <w:t>23.1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22.2</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47"/>
        </w:trPr>
        <w:tc>
          <w:tcPr>
            <w:tcW w:w="498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217"/>
        </w:trPr>
        <w:tc>
          <w:tcPr>
            <w:tcW w:w="6180" w:type="dxa"/>
            <w:vAlign w:val="bottom"/>
            <w:gridSpan w:val="2"/>
          </w:tcPr>
          <w:p>
            <w:pPr>
              <w:spacing w:after="0"/>
              <w:rPr>
                <w:sz w:val="20"/>
                <w:szCs w:val="20"/>
                <w:color w:val="auto"/>
              </w:rPr>
            </w:pPr>
            <w:r>
              <w:rPr>
                <w:rFonts w:ascii="Arial" w:cs="Arial" w:eastAsia="Arial" w:hAnsi="Arial"/>
                <w:sz w:val="16"/>
                <w:szCs w:val="16"/>
                <w:color w:val="auto"/>
              </w:rPr>
              <w:t>Total operating expenses</w:t>
            </w:r>
          </w:p>
        </w:tc>
        <w:tc>
          <w:tcPr>
            <w:tcW w:w="600" w:type="dxa"/>
            <w:vAlign w:val="bottom"/>
          </w:tcPr>
          <w:p>
            <w:pPr>
              <w:jc w:val="right"/>
              <w:spacing w:after="0"/>
              <w:rPr>
                <w:sz w:val="20"/>
                <w:szCs w:val="20"/>
                <w:color w:val="auto"/>
              </w:rPr>
            </w:pPr>
            <w:r>
              <w:rPr>
                <w:rFonts w:ascii="Arial" w:cs="Arial" w:eastAsia="Arial" w:hAnsi="Arial"/>
                <w:sz w:val="16"/>
                <w:szCs w:val="16"/>
                <w:color w:val="auto"/>
              </w:rPr>
              <w:t>345.5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(5.7 %)</w:t>
            </w:r>
          </w:p>
        </w:tc>
      </w:tr>
      <w:tr>
        <w:trPr>
          <w:trHeight w:val="47"/>
        </w:trPr>
        <w:tc>
          <w:tcPr>
            <w:tcW w:w="6180" w:type="dxa"/>
            <w:vAlign w:val="bottom"/>
            <w:gridSpan w:val="2"/>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r>
      <w:tr>
        <w:trPr>
          <w:trHeight w:val="183"/>
        </w:trPr>
        <w:tc>
          <w:tcPr>
            <w:tcW w:w="4980" w:type="dxa"/>
            <w:vAlign w:val="bottom"/>
          </w:tcPr>
          <w:p>
            <w:pPr>
              <w:spacing w:after="0"/>
              <w:rPr>
                <w:sz w:val="15"/>
                <w:szCs w:val="15"/>
                <w:color w:val="auto"/>
              </w:rPr>
            </w:pPr>
          </w:p>
        </w:tc>
        <w:tc>
          <w:tcPr>
            <w:tcW w:w="12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Borders>
              <w:top w:val="single" w:sz="8" w:color="auto"/>
              <w:bottom w:val="single" w:sz="8" w:color="auto"/>
            </w:tcBorders>
          </w:tcPr>
          <w:p>
            <w:pPr>
              <w:spacing w:after="0"/>
              <w:rPr>
                <w:sz w:val="15"/>
                <w:szCs w:val="15"/>
                <w:color w:val="auto"/>
              </w:rPr>
            </w:pPr>
          </w:p>
        </w:tc>
      </w:tr>
      <w:tr>
        <w:trPr>
          <w:trHeight w:val="217"/>
        </w:trPr>
        <w:tc>
          <w:tcPr>
            <w:tcW w:w="6180" w:type="dxa"/>
            <w:vAlign w:val="bottom"/>
            <w:gridSpan w:val="2"/>
          </w:tcPr>
          <w:p>
            <w:pPr>
              <w:spacing w:after="0"/>
              <w:rPr>
                <w:sz w:val="20"/>
                <w:szCs w:val="20"/>
                <w:color w:val="auto"/>
              </w:rPr>
            </w:pPr>
            <w:r>
              <w:rPr>
                <w:rFonts w:ascii="Arial" w:cs="Arial" w:eastAsia="Arial" w:hAnsi="Arial"/>
                <w:sz w:val="16"/>
                <w:szCs w:val="16"/>
                <w:color w:val="auto"/>
              </w:rPr>
              <w:t>Income (loss) from operations</w:t>
            </w:r>
          </w:p>
        </w:tc>
        <w:tc>
          <w:tcPr>
            <w:tcW w:w="600" w:type="dxa"/>
            <w:vAlign w:val="bottom"/>
          </w:tcPr>
          <w:p>
            <w:pPr>
              <w:jc w:val="right"/>
              <w:spacing w:after="0"/>
              <w:rPr>
                <w:sz w:val="20"/>
                <w:szCs w:val="20"/>
                <w:color w:val="auto"/>
              </w:rPr>
            </w:pPr>
            <w:r>
              <w:rPr>
                <w:rFonts w:ascii="Arial" w:cs="Arial" w:eastAsia="Arial" w:hAnsi="Arial"/>
                <w:sz w:val="16"/>
                <w:szCs w:val="16"/>
                <w:color w:val="auto"/>
              </w:rPr>
              <w:t>49.7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0" w:type="dxa"/>
            <w:vAlign w:val="bottom"/>
          </w:tcPr>
          <w:p>
            <w:pPr>
              <w:jc w:val="right"/>
              <w:ind w:right="179"/>
              <w:spacing w:after="0"/>
              <w:rPr>
                <w:sz w:val="20"/>
                <w:szCs w:val="20"/>
                <w:color w:val="auto"/>
              </w:rPr>
            </w:pPr>
            <w:r>
              <w:rPr>
                <w:rFonts w:ascii="Arial" w:cs="Arial" w:eastAsia="Arial" w:hAnsi="Arial"/>
                <w:sz w:val="16"/>
                <w:szCs w:val="16"/>
                <w:color w:val="auto"/>
              </w:rPr>
              <w:t>450.0 %</w:t>
            </w:r>
          </w:p>
        </w:tc>
      </w:tr>
      <w:tr>
        <w:trPr>
          <w:trHeight w:val="47"/>
        </w:trPr>
        <w:tc>
          <w:tcPr>
            <w:tcW w:w="498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352"/>
        </w:trPr>
        <w:tc>
          <w:tcPr>
            <w:tcW w:w="6180" w:type="dxa"/>
            <w:vAlign w:val="bottom"/>
            <w:gridSpan w:val="2"/>
          </w:tcPr>
          <w:p>
            <w:pPr>
              <w:ind w:left="640"/>
              <w:spacing w:after="0"/>
              <w:rPr>
                <w:sz w:val="20"/>
                <w:szCs w:val="20"/>
                <w:color w:val="auto"/>
              </w:rPr>
            </w:pPr>
            <w:r>
              <w:rPr>
                <w:rFonts w:ascii="Arial" w:cs="Arial" w:eastAsia="Arial" w:hAnsi="Arial"/>
                <w:sz w:val="16"/>
                <w:szCs w:val="16"/>
                <w:color w:val="auto"/>
              </w:rPr>
              <w:t>Interest expense, net</w:t>
            </w:r>
          </w:p>
        </w:tc>
        <w:tc>
          <w:tcPr>
            <w:tcW w:w="600" w:type="dxa"/>
            <w:vAlign w:val="bottom"/>
          </w:tcPr>
          <w:p>
            <w:pPr>
              <w:jc w:val="right"/>
              <w:spacing w:after="0"/>
              <w:rPr>
                <w:sz w:val="20"/>
                <w:szCs w:val="20"/>
                <w:color w:val="auto"/>
              </w:rPr>
            </w:pPr>
            <w:r>
              <w:rPr>
                <w:rFonts w:ascii="Arial" w:cs="Arial" w:eastAsia="Arial" w:hAnsi="Arial"/>
                <w:sz w:val="16"/>
                <w:szCs w:val="16"/>
                <w:color w:val="auto"/>
              </w:rPr>
              <w:t>(3.4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0"/>
        </w:trPr>
        <w:tc>
          <w:tcPr>
            <w:tcW w:w="6180" w:type="dxa"/>
            <w:vAlign w:val="bottom"/>
            <w:gridSpan w:val="2"/>
          </w:tcPr>
          <w:p>
            <w:pPr>
              <w:ind w:left="640"/>
              <w:spacing w:after="0"/>
              <w:rPr>
                <w:sz w:val="20"/>
                <w:szCs w:val="20"/>
                <w:color w:val="auto"/>
              </w:rPr>
            </w:pPr>
            <w:r>
              <w:rPr>
                <w:rFonts w:ascii="Arial" w:cs="Arial" w:eastAsia="Arial" w:hAnsi="Arial"/>
                <w:sz w:val="16"/>
                <w:szCs w:val="16"/>
                <w:color w:val="auto"/>
              </w:rPr>
              <w:t>Gain on acquisition of Caisson</w:t>
            </w:r>
          </w:p>
        </w:tc>
        <w:tc>
          <w:tcPr>
            <w:tcW w:w="600" w:type="dxa"/>
            <w:vAlign w:val="bottom"/>
          </w:tcPr>
          <w:p>
            <w:pPr>
              <w:jc w:val="right"/>
              <w:spacing w:after="0"/>
              <w:rPr>
                <w:sz w:val="20"/>
                <w:szCs w:val="20"/>
                <w:color w:val="auto"/>
              </w:rPr>
            </w:pPr>
            <w:r>
              <w:rPr>
                <w:rFonts w:ascii="Arial" w:cs="Arial" w:eastAsia="Arial" w:hAnsi="Arial"/>
                <w:sz w:val="16"/>
                <w:szCs w:val="16"/>
                <w:color w:val="auto"/>
              </w:rPr>
              <w:t>39.4</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6180" w:type="dxa"/>
            <w:vAlign w:val="bottom"/>
            <w:gridSpan w:val="2"/>
          </w:tcPr>
          <w:p>
            <w:pPr>
              <w:ind w:left="640"/>
              <w:spacing w:after="0"/>
              <w:rPr>
                <w:sz w:val="20"/>
                <w:szCs w:val="20"/>
                <w:color w:val="auto"/>
              </w:rPr>
            </w:pPr>
            <w:r>
              <w:rPr>
                <w:rFonts w:ascii="Arial" w:cs="Arial" w:eastAsia="Arial" w:hAnsi="Arial"/>
                <w:sz w:val="16"/>
                <w:szCs w:val="16"/>
                <w:color w:val="auto"/>
              </w:rPr>
              <w:t>Foreign exchange and other - gain (loss)</w:t>
            </w:r>
          </w:p>
        </w:tc>
        <w:tc>
          <w:tcPr>
            <w:tcW w:w="600" w:type="dxa"/>
            <w:vAlign w:val="bottom"/>
          </w:tcPr>
          <w:p>
            <w:pPr>
              <w:jc w:val="right"/>
              <w:spacing w:after="0"/>
              <w:rPr>
                <w:sz w:val="20"/>
                <w:szCs w:val="20"/>
                <w:color w:val="auto"/>
              </w:rPr>
            </w:pPr>
            <w:r>
              <w:rPr>
                <w:rFonts w:ascii="Arial" w:cs="Arial" w:eastAsia="Arial" w:hAnsi="Arial"/>
                <w:sz w:val="16"/>
                <w:szCs w:val="16"/>
                <w:color w:val="auto"/>
              </w:rPr>
              <w:t>0.5</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47"/>
        </w:trPr>
        <w:tc>
          <w:tcPr>
            <w:tcW w:w="498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217"/>
        </w:trPr>
        <w:tc>
          <w:tcPr>
            <w:tcW w:w="6180" w:type="dxa"/>
            <w:vAlign w:val="bottom"/>
            <w:gridSpan w:val="2"/>
          </w:tcPr>
          <w:p>
            <w:pPr>
              <w:spacing w:after="0"/>
              <w:rPr>
                <w:sz w:val="20"/>
                <w:szCs w:val="20"/>
                <w:color w:val="auto"/>
              </w:rPr>
            </w:pPr>
            <w:r>
              <w:rPr>
                <w:rFonts w:ascii="Arial" w:cs="Arial" w:eastAsia="Arial" w:hAnsi="Arial"/>
                <w:sz w:val="16"/>
                <w:szCs w:val="16"/>
                <w:color w:val="auto"/>
              </w:rPr>
              <w:t>Income (loss) before income taxes</w:t>
            </w:r>
          </w:p>
        </w:tc>
        <w:tc>
          <w:tcPr>
            <w:tcW w:w="600" w:type="dxa"/>
            <w:vAlign w:val="bottom"/>
          </w:tcPr>
          <w:p>
            <w:pPr>
              <w:jc w:val="right"/>
              <w:spacing w:after="0"/>
              <w:rPr>
                <w:sz w:val="20"/>
                <w:szCs w:val="20"/>
                <w:color w:val="auto"/>
              </w:rPr>
            </w:pPr>
            <w:r>
              <w:rPr>
                <w:rFonts w:ascii="Arial" w:cs="Arial" w:eastAsia="Arial" w:hAnsi="Arial"/>
                <w:sz w:val="16"/>
                <w:szCs w:val="16"/>
                <w:color w:val="auto"/>
              </w:rPr>
              <w:t>86.2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0" w:type="dxa"/>
            <w:vAlign w:val="bottom"/>
          </w:tcPr>
          <w:p>
            <w:pPr>
              <w:jc w:val="right"/>
              <w:ind w:right="179"/>
              <w:spacing w:after="0"/>
              <w:rPr>
                <w:sz w:val="20"/>
                <w:szCs w:val="20"/>
                <w:color w:val="auto"/>
              </w:rPr>
            </w:pPr>
            <w:r>
              <w:rPr>
                <w:rFonts w:ascii="Arial" w:cs="Arial" w:eastAsia="Arial" w:hAnsi="Arial"/>
                <w:sz w:val="16"/>
                <w:szCs w:val="16"/>
                <w:color w:val="auto"/>
              </w:rPr>
              <w:t>578.9 %</w:t>
            </w:r>
          </w:p>
        </w:tc>
      </w:tr>
      <w:tr>
        <w:trPr>
          <w:trHeight w:val="47"/>
        </w:trPr>
        <w:tc>
          <w:tcPr>
            <w:tcW w:w="498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379"/>
        </w:trPr>
        <w:tc>
          <w:tcPr>
            <w:tcW w:w="6180" w:type="dxa"/>
            <w:vAlign w:val="bottom"/>
            <w:gridSpan w:val="2"/>
          </w:tcPr>
          <w:p>
            <w:pPr>
              <w:ind w:left="640"/>
              <w:spacing w:after="0"/>
              <w:rPr>
                <w:sz w:val="20"/>
                <w:szCs w:val="20"/>
                <w:color w:val="auto"/>
              </w:rPr>
            </w:pPr>
            <w:r>
              <w:rPr>
                <w:rFonts w:ascii="Arial" w:cs="Arial" w:eastAsia="Arial" w:hAnsi="Arial"/>
                <w:sz w:val="16"/>
                <w:szCs w:val="16"/>
                <w:color w:val="auto"/>
              </w:rPr>
              <w:t>Losses from equity method investments</w:t>
            </w:r>
          </w:p>
        </w:tc>
        <w:tc>
          <w:tcPr>
            <w:tcW w:w="600" w:type="dxa"/>
            <w:vAlign w:val="bottom"/>
          </w:tcPr>
          <w:p>
            <w:pPr>
              <w:jc w:val="right"/>
              <w:spacing w:after="0"/>
              <w:rPr>
                <w:sz w:val="20"/>
                <w:szCs w:val="20"/>
                <w:color w:val="auto"/>
              </w:rPr>
            </w:pPr>
            <w:r>
              <w:rPr>
                <w:rFonts w:ascii="Arial" w:cs="Arial" w:eastAsia="Arial" w:hAnsi="Arial"/>
                <w:sz w:val="16"/>
                <w:szCs w:val="16"/>
                <w:color w:val="auto"/>
              </w:rPr>
              <w:t>(18.5</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0"/>
        </w:trPr>
        <w:tc>
          <w:tcPr>
            <w:tcW w:w="6180" w:type="dxa"/>
            <w:vAlign w:val="bottom"/>
            <w:gridSpan w:val="2"/>
          </w:tcPr>
          <w:p>
            <w:pPr>
              <w:ind w:left="640"/>
              <w:spacing w:after="0"/>
              <w:rPr>
                <w:sz w:val="20"/>
                <w:szCs w:val="20"/>
                <w:color w:val="auto"/>
              </w:rPr>
            </w:pPr>
            <w:r>
              <w:rPr>
                <w:rFonts w:ascii="Arial" w:cs="Arial" w:eastAsia="Arial" w:hAnsi="Arial"/>
                <w:sz w:val="16"/>
                <w:szCs w:val="16"/>
                <w:color w:val="auto"/>
              </w:rPr>
              <w:t>Income tax expense</w:t>
            </w:r>
          </w:p>
        </w:tc>
        <w:tc>
          <w:tcPr>
            <w:tcW w:w="600" w:type="dxa"/>
            <w:vAlign w:val="bottom"/>
          </w:tcPr>
          <w:p>
            <w:pPr>
              <w:jc w:val="right"/>
              <w:spacing w:after="0"/>
              <w:rPr>
                <w:sz w:val="20"/>
                <w:szCs w:val="20"/>
                <w:color w:val="auto"/>
              </w:rPr>
            </w:pPr>
            <w:r>
              <w:rPr>
                <w:rFonts w:ascii="Arial" w:cs="Arial" w:eastAsia="Arial" w:hAnsi="Arial"/>
                <w:sz w:val="16"/>
                <w:szCs w:val="16"/>
                <w:color w:val="auto"/>
              </w:rPr>
              <w:t>9.0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7.2</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47"/>
        </w:trPr>
        <w:tc>
          <w:tcPr>
            <w:tcW w:w="498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231"/>
        </w:trPr>
        <w:tc>
          <w:tcPr>
            <w:tcW w:w="618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600" w:type="dxa"/>
            <w:vAlign w:val="bottom"/>
          </w:tcPr>
          <w:p>
            <w:pPr>
              <w:jc w:val="right"/>
              <w:spacing w:after="0"/>
              <w:rPr>
                <w:sz w:val="20"/>
                <w:szCs w:val="20"/>
                <w:color w:val="auto"/>
              </w:rPr>
            </w:pPr>
            <w:r>
              <w:rPr>
                <w:rFonts w:ascii="Arial" w:cs="Arial" w:eastAsia="Arial" w:hAnsi="Arial"/>
                <w:sz w:val="16"/>
                <w:szCs w:val="16"/>
                <w:color w:val="auto"/>
              </w:rPr>
              <w:t>$58.8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0" w:type="dxa"/>
            <w:vAlign w:val="bottom"/>
          </w:tcPr>
          <w:p>
            <w:pPr>
              <w:jc w:val="right"/>
              <w:ind w:right="179"/>
              <w:spacing w:after="0"/>
              <w:rPr>
                <w:sz w:val="20"/>
                <w:szCs w:val="20"/>
                <w:color w:val="auto"/>
              </w:rPr>
            </w:pPr>
            <w:r>
              <w:rPr>
                <w:rFonts w:ascii="Arial" w:cs="Arial" w:eastAsia="Arial" w:hAnsi="Arial"/>
                <w:sz w:val="16"/>
                <w:szCs w:val="16"/>
                <w:color w:val="auto"/>
              </w:rPr>
              <w:t>287.3 %</w:t>
            </w:r>
          </w:p>
        </w:tc>
      </w:tr>
      <w:tr>
        <w:trPr>
          <w:trHeight w:val="33"/>
        </w:trPr>
        <w:tc>
          <w:tcPr>
            <w:tcW w:w="49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4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366"/>
        </w:trPr>
        <w:tc>
          <w:tcPr>
            <w:tcW w:w="6180" w:type="dxa"/>
            <w:vAlign w:val="bottom"/>
            <w:gridSpan w:val="2"/>
          </w:tcPr>
          <w:p>
            <w:pPr>
              <w:spacing w:after="0"/>
              <w:rPr>
                <w:sz w:val="20"/>
                <w:szCs w:val="20"/>
                <w:color w:val="auto"/>
              </w:rPr>
            </w:pPr>
            <w:r>
              <w:rPr>
                <w:rFonts w:ascii="Arial" w:cs="Arial" w:eastAsia="Arial" w:hAnsi="Arial"/>
                <w:sz w:val="16"/>
                <w:szCs w:val="16"/>
                <w:color w:val="auto"/>
              </w:rPr>
              <w:t>Earnings (Loss) Per Common Share:</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0"/>
        </w:trPr>
        <w:tc>
          <w:tcPr>
            <w:tcW w:w="6180" w:type="dxa"/>
            <w:vAlign w:val="bottom"/>
            <w:gridSpan w:val="2"/>
          </w:tcPr>
          <w:p>
            <w:pPr>
              <w:ind w:left="640"/>
              <w:spacing w:after="0"/>
              <w:rPr>
                <w:sz w:val="20"/>
                <w:szCs w:val="20"/>
                <w:color w:val="auto"/>
              </w:rPr>
            </w:pPr>
            <w:r>
              <w:rPr>
                <w:rFonts w:ascii="Arial" w:cs="Arial" w:eastAsia="Arial" w:hAnsi="Arial"/>
                <w:sz w:val="16"/>
                <w:szCs w:val="16"/>
                <w:color w:val="auto"/>
              </w:rPr>
              <w:t>Basic</w:t>
            </w:r>
          </w:p>
        </w:tc>
        <w:tc>
          <w:tcPr>
            <w:tcW w:w="600" w:type="dxa"/>
            <w:vAlign w:val="bottom"/>
          </w:tcPr>
          <w:p>
            <w:pPr>
              <w:jc w:val="right"/>
              <w:spacing w:after="0"/>
              <w:rPr>
                <w:sz w:val="20"/>
                <w:szCs w:val="20"/>
                <w:color w:val="auto"/>
              </w:rPr>
            </w:pPr>
            <w:r>
              <w:rPr>
                <w:rFonts w:ascii="Arial" w:cs="Arial" w:eastAsia="Arial" w:hAnsi="Arial"/>
                <w:sz w:val="16"/>
                <w:szCs w:val="16"/>
                <w:color w:val="auto"/>
              </w:rPr>
              <w:t>$1.22</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($0.64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6180" w:type="dxa"/>
            <w:vAlign w:val="bottom"/>
            <w:gridSpan w:val="2"/>
          </w:tcPr>
          <w:p>
            <w:pPr>
              <w:ind w:left="640"/>
              <w:spacing w:after="0"/>
              <w:rPr>
                <w:sz w:val="20"/>
                <w:szCs w:val="20"/>
                <w:color w:val="auto"/>
              </w:rPr>
            </w:pPr>
            <w:r>
              <w:rPr>
                <w:rFonts w:ascii="Arial" w:cs="Arial" w:eastAsia="Arial" w:hAnsi="Arial"/>
                <w:sz w:val="16"/>
                <w:szCs w:val="16"/>
                <w:color w:val="auto"/>
              </w:rPr>
              <w:t>Diluted</w:t>
            </w:r>
          </w:p>
        </w:tc>
        <w:tc>
          <w:tcPr>
            <w:tcW w:w="600" w:type="dxa"/>
            <w:vAlign w:val="bottom"/>
          </w:tcPr>
          <w:p>
            <w:pPr>
              <w:jc w:val="right"/>
              <w:spacing w:after="0"/>
              <w:rPr>
                <w:sz w:val="20"/>
                <w:szCs w:val="20"/>
                <w:color w:val="auto"/>
              </w:rPr>
            </w:pPr>
            <w:r>
              <w:rPr>
                <w:rFonts w:ascii="Arial" w:cs="Arial" w:eastAsia="Arial" w:hAnsi="Arial"/>
                <w:sz w:val="16"/>
                <w:szCs w:val="16"/>
                <w:color w:val="auto"/>
              </w:rPr>
              <w:t>$1.22</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($0.64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432"/>
        </w:trPr>
        <w:tc>
          <w:tcPr>
            <w:tcW w:w="6180" w:type="dxa"/>
            <w:vAlign w:val="bottom"/>
            <w:gridSpan w:val="2"/>
          </w:tcPr>
          <w:p>
            <w:pPr>
              <w:spacing w:after="0"/>
              <w:rPr>
                <w:sz w:val="20"/>
                <w:szCs w:val="20"/>
                <w:color w:val="auto"/>
              </w:rPr>
            </w:pPr>
            <w:r>
              <w:rPr>
                <w:rFonts w:ascii="Arial" w:cs="Arial" w:eastAsia="Arial" w:hAnsi="Arial"/>
                <w:sz w:val="16"/>
                <w:szCs w:val="16"/>
                <w:color w:val="auto"/>
              </w:rPr>
              <w:t>Weighted Average Common Shares Outstanding</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0"/>
        </w:trPr>
        <w:tc>
          <w:tcPr>
            <w:tcW w:w="6180" w:type="dxa"/>
            <w:vAlign w:val="bottom"/>
            <w:gridSpan w:val="2"/>
          </w:tcPr>
          <w:p>
            <w:pPr>
              <w:ind w:left="640"/>
              <w:spacing w:after="0"/>
              <w:rPr>
                <w:sz w:val="20"/>
                <w:szCs w:val="20"/>
                <w:color w:val="auto"/>
              </w:rPr>
            </w:pPr>
            <w:r>
              <w:rPr>
                <w:rFonts w:ascii="Arial" w:cs="Arial" w:eastAsia="Arial" w:hAnsi="Arial"/>
                <w:sz w:val="16"/>
                <w:szCs w:val="16"/>
                <w:color w:val="auto"/>
              </w:rPr>
              <w:t>Basic</w:t>
            </w:r>
          </w:p>
        </w:tc>
        <w:tc>
          <w:tcPr>
            <w:tcW w:w="600" w:type="dxa"/>
            <w:vAlign w:val="bottom"/>
          </w:tcPr>
          <w:p>
            <w:pPr>
              <w:jc w:val="right"/>
              <w:spacing w:after="0"/>
              <w:rPr>
                <w:sz w:val="20"/>
                <w:szCs w:val="20"/>
                <w:color w:val="auto"/>
              </w:rPr>
            </w:pPr>
            <w:r>
              <w:rPr>
                <w:rFonts w:ascii="Arial" w:cs="Arial" w:eastAsia="Arial" w:hAnsi="Arial"/>
                <w:sz w:val="16"/>
                <w:szCs w:val="16"/>
                <w:color w:val="auto"/>
              </w:rPr>
              <w:t>48.1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49.0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6180" w:type="dxa"/>
            <w:vAlign w:val="bottom"/>
            <w:gridSpan w:val="2"/>
          </w:tcPr>
          <w:p>
            <w:pPr>
              <w:ind w:left="640"/>
              <w:spacing w:after="0"/>
              <w:rPr>
                <w:sz w:val="20"/>
                <w:szCs w:val="20"/>
                <w:color w:val="auto"/>
              </w:rPr>
            </w:pPr>
            <w:r>
              <w:rPr>
                <w:rFonts w:ascii="Arial" w:cs="Arial" w:eastAsia="Arial" w:hAnsi="Arial"/>
                <w:sz w:val="16"/>
                <w:szCs w:val="16"/>
                <w:color w:val="auto"/>
              </w:rPr>
              <w:t>Diluted</w:t>
            </w:r>
          </w:p>
        </w:tc>
        <w:tc>
          <w:tcPr>
            <w:tcW w:w="600" w:type="dxa"/>
            <w:vAlign w:val="bottom"/>
          </w:tcPr>
          <w:p>
            <w:pPr>
              <w:jc w:val="right"/>
              <w:spacing w:after="0"/>
              <w:rPr>
                <w:sz w:val="20"/>
                <w:szCs w:val="20"/>
                <w:color w:val="auto"/>
              </w:rPr>
            </w:pPr>
            <w:r>
              <w:rPr>
                <w:rFonts w:ascii="Arial" w:cs="Arial" w:eastAsia="Arial" w:hAnsi="Arial"/>
                <w:sz w:val="16"/>
                <w:szCs w:val="16"/>
                <w:color w:val="auto"/>
              </w:rPr>
              <w:t>48.2</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49.0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509"/>
        </w:trPr>
        <w:tc>
          <w:tcPr>
            <w:tcW w:w="6180" w:type="dxa"/>
            <w:vAlign w:val="bottom"/>
            <w:gridSpan w:val="2"/>
          </w:tcPr>
          <w:p>
            <w:pPr>
              <w:spacing w:after="0"/>
              <w:rPr>
                <w:sz w:val="20"/>
                <w:szCs w:val="20"/>
                <w:color w:val="auto"/>
              </w:rPr>
            </w:pPr>
            <w:r>
              <w:rPr>
                <w:rFonts w:ascii="Arial" w:cs="Arial" w:eastAsia="Arial" w:hAnsi="Arial"/>
                <w:sz w:val="16"/>
                <w:szCs w:val="16"/>
                <w:color w:val="auto"/>
              </w:rPr>
              <w:t xml:space="preserve">Adjusted Gross Profit </w:t>
            </w:r>
            <w:r>
              <w:rPr>
                <w:rFonts w:ascii="Arial" w:cs="Arial" w:eastAsia="Arial" w:hAnsi="Arial"/>
                <w:sz w:val="21"/>
                <w:szCs w:val="21"/>
                <w:color w:val="auto"/>
                <w:vertAlign w:val="superscript"/>
              </w:rPr>
              <w:t>(1)</w:t>
            </w:r>
          </w:p>
        </w:tc>
        <w:tc>
          <w:tcPr>
            <w:tcW w:w="600" w:type="dxa"/>
            <w:vAlign w:val="bottom"/>
          </w:tcPr>
          <w:p>
            <w:pPr>
              <w:jc w:val="right"/>
              <w:spacing w:after="0"/>
              <w:rPr>
                <w:sz w:val="20"/>
                <w:szCs w:val="20"/>
                <w:color w:val="auto"/>
              </w:rPr>
            </w:pPr>
            <w:r>
              <w:rPr>
                <w:rFonts w:ascii="Arial" w:cs="Arial" w:eastAsia="Arial" w:hAnsi="Arial"/>
                <w:sz w:val="16"/>
                <w:szCs w:val="16"/>
                <w:color w:val="auto"/>
              </w:rPr>
              <w:t>$399.0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$394.1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jc w:val="right"/>
              <w:ind w:right="179"/>
              <w:spacing w:after="0"/>
              <w:rPr>
                <w:sz w:val="20"/>
                <w:szCs w:val="20"/>
                <w:color w:val="auto"/>
              </w:rPr>
            </w:pPr>
            <w:r>
              <w:rPr>
                <w:rFonts w:ascii="Arial" w:cs="Arial" w:eastAsia="Arial" w:hAnsi="Arial"/>
                <w:sz w:val="16"/>
                <w:szCs w:val="16"/>
                <w:color w:val="auto"/>
              </w:rPr>
              <w:t>1.2 %</w:t>
            </w:r>
          </w:p>
        </w:tc>
      </w:tr>
      <w:tr>
        <w:trPr>
          <w:trHeight w:val="297"/>
        </w:trPr>
        <w:tc>
          <w:tcPr>
            <w:tcW w:w="6180" w:type="dxa"/>
            <w:vAlign w:val="bottom"/>
            <w:gridSpan w:val="2"/>
          </w:tcPr>
          <w:p>
            <w:pPr>
              <w:spacing w:after="0"/>
              <w:rPr>
                <w:sz w:val="20"/>
                <w:szCs w:val="20"/>
                <w:color w:val="auto"/>
              </w:rPr>
            </w:pPr>
            <w:r>
              <w:rPr>
                <w:rFonts w:ascii="Arial" w:cs="Arial" w:eastAsia="Arial" w:hAnsi="Arial"/>
                <w:sz w:val="16"/>
                <w:szCs w:val="16"/>
                <w:color w:val="auto"/>
              </w:rPr>
              <w:t xml:space="preserve">Adjusted SG&amp;A </w:t>
            </w:r>
            <w:r>
              <w:rPr>
                <w:rFonts w:ascii="Arial" w:cs="Arial" w:eastAsia="Arial" w:hAnsi="Arial"/>
                <w:sz w:val="21"/>
                <w:szCs w:val="21"/>
                <w:color w:val="auto"/>
                <w:vertAlign w:val="superscript"/>
              </w:rPr>
              <w:t>(1)</w:t>
            </w:r>
          </w:p>
        </w:tc>
        <w:tc>
          <w:tcPr>
            <w:tcW w:w="600" w:type="dxa"/>
            <w:vAlign w:val="bottom"/>
          </w:tcPr>
          <w:p>
            <w:pPr>
              <w:jc w:val="right"/>
              <w:spacing w:after="0"/>
              <w:rPr>
                <w:sz w:val="20"/>
                <w:szCs w:val="20"/>
                <w:color w:val="auto"/>
              </w:rPr>
            </w:pPr>
            <w:r>
              <w:rPr>
                <w:rFonts w:ascii="Arial" w:cs="Arial" w:eastAsia="Arial" w:hAnsi="Arial"/>
                <w:sz w:val="16"/>
                <w:szCs w:val="16"/>
                <w:color w:val="auto"/>
              </w:rPr>
              <w:t>218.7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226.5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(3.4 %)</w:t>
            </w:r>
          </w:p>
        </w:tc>
      </w:tr>
      <w:tr>
        <w:trPr>
          <w:trHeight w:val="297"/>
        </w:trPr>
        <w:tc>
          <w:tcPr>
            <w:tcW w:w="6180" w:type="dxa"/>
            <w:vAlign w:val="bottom"/>
            <w:gridSpan w:val="2"/>
          </w:tcPr>
          <w:p>
            <w:pPr>
              <w:spacing w:after="0"/>
              <w:rPr>
                <w:sz w:val="20"/>
                <w:szCs w:val="20"/>
                <w:color w:val="auto"/>
              </w:rPr>
            </w:pPr>
            <w:r>
              <w:rPr>
                <w:rFonts w:ascii="Arial" w:cs="Arial" w:eastAsia="Arial" w:hAnsi="Arial"/>
                <w:sz w:val="16"/>
                <w:szCs w:val="16"/>
                <w:color w:val="auto"/>
              </w:rPr>
              <w:t xml:space="preserve">Adjusted R&amp;D </w:t>
            </w:r>
            <w:r>
              <w:rPr>
                <w:rFonts w:ascii="Arial" w:cs="Arial" w:eastAsia="Arial" w:hAnsi="Arial"/>
                <w:sz w:val="21"/>
                <w:szCs w:val="21"/>
                <w:color w:val="auto"/>
                <w:vertAlign w:val="superscript"/>
              </w:rPr>
              <w:t>(1)</w:t>
            </w:r>
          </w:p>
        </w:tc>
        <w:tc>
          <w:tcPr>
            <w:tcW w:w="600" w:type="dxa"/>
            <w:vAlign w:val="bottom"/>
          </w:tcPr>
          <w:p>
            <w:pPr>
              <w:jc w:val="right"/>
              <w:spacing w:after="0"/>
              <w:rPr>
                <w:sz w:val="20"/>
                <w:szCs w:val="20"/>
                <w:color w:val="auto"/>
              </w:rPr>
            </w:pPr>
            <w:r>
              <w:rPr>
                <w:rFonts w:ascii="Arial" w:cs="Arial" w:eastAsia="Arial" w:hAnsi="Arial"/>
                <w:sz w:val="16"/>
                <w:szCs w:val="16"/>
                <w:color w:val="auto"/>
              </w:rPr>
              <w:t>61.2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61.3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(0.2 %)</w:t>
            </w:r>
          </w:p>
        </w:tc>
      </w:tr>
      <w:tr>
        <w:trPr>
          <w:trHeight w:val="297"/>
        </w:trPr>
        <w:tc>
          <w:tcPr>
            <w:tcW w:w="6180" w:type="dxa"/>
            <w:vAlign w:val="bottom"/>
            <w:gridSpan w:val="2"/>
          </w:tcPr>
          <w:p>
            <w:pPr>
              <w:spacing w:after="0"/>
              <w:rPr>
                <w:sz w:val="20"/>
                <w:szCs w:val="20"/>
                <w:color w:val="auto"/>
              </w:rPr>
            </w:pPr>
            <w:r>
              <w:rPr>
                <w:rFonts w:ascii="Arial" w:cs="Arial" w:eastAsia="Arial" w:hAnsi="Arial"/>
                <w:sz w:val="16"/>
                <w:szCs w:val="16"/>
                <w:color w:val="auto"/>
              </w:rPr>
              <w:t xml:space="preserve">Adjusted Income from Operations </w:t>
            </w:r>
            <w:r>
              <w:rPr>
                <w:rFonts w:ascii="Arial" w:cs="Arial" w:eastAsia="Arial" w:hAnsi="Arial"/>
                <w:sz w:val="21"/>
                <w:szCs w:val="21"/>
                <w:color w:val="auto"/>
                <w:vertAlign w:val="superscript"/>
              </w:rPr>
              <w:t>(1)</w:t>
            </w:r>
          </w:p>
        </w:tc>
        <w:tc>
          <w:tcPr>
            <w:tcW w:w="600" w:type="dxa"/>
            <w:vAlign w:val="bottom"/>
          </w:tcPr>
          <w:p>
            <w:pPr>
              <w:jc w:val="right"/>
              <w:spacing w:after="0"/>
              <w:rPr>
                <w:sz w:val="20"/>
                <w:szCs w:val="20"/>
                <w:color w:val="auto"/>
              </w:rPr>
            </w:pPr>
            <w:r>
              <w:rPr>
                <w:rFonts w:ascii="Arial" w:cs="Arial" w:eastAsia="Arial" w:hAnsi="Arial"/>
                <w:sz w:val="16"/>
                <w:szCs w:val="16"/>
                <w:color w:val="auto"/>
              </w:rPr>
              <w:t>119.1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106.3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jc w:val="right"/>
              <w:ind w:right="179"/>
              <w:spacing w:after="0"/>
              <w:rPr>
                <w:sz w:val="20"/>
                <w:szCs w:val="20"/>
                <w:color w:val="auto"/>
              </w:rPr>
            </w:pPr>
            <w:r>
              <w:rPr>
                <w:rFonts w:ascii="Arial" w:cs="Arial" w:eastAsia="Arial" w:hAnsi="Arial"/>
                <w:sz w:val="16"/>
                <w:szCs w:val="16"/>
                <w:color w:val="auto"/>
              </w:rPr>
              <w:t>12.0 %</w:t>
            </w:r>
          </w:p>
        </w:tc>
      </w:tr>
      <w:tr>
        <w:trPr>
          <w:trHeight w:val="297"/>
        </w:trPr>
        <w:tc>
          <w:tcPr>
            <w:tcW w:w="6180" w:type="dxa"/>
            <w:vAlign w:val="bottom"/>
            <w:gridSpan w:val="2"/>
          </w:tcPr>
          <w:p>
            <w:pPr>
              <w:spacing w:after="0"/>
              <w:rPr>
                <w:sz w:val="20"/>
                <w:szCs w:val="20"/>
                <w:color w:val="auto"/>
              </w:rPr>
            </w:pPr>
            <w:r>
              <w:rPr>
                <w:rFonts w:ascii="Arial" w:cs="Arial" w:eastAsia="Arial" w:hAnsi="Arial"/>
                <w:sz w:val="16"/>
                <w:szCs w:val="16"/>
                <w:color w:val="auto"/>
              </w:rPr>
              <w:t xml:space="preserve">Adjusted Net Income </w:t>
            </w:r>
            <w:r>
              <w:rPr>
                <w:rFonts w:ascii="Arial" w:cs="Arial" w:eastAsia="Arial" w:hAnsi="Arial"/>
                <w:sz w:val="21"/>
                <w:szCs w:val="21"/>
                <w:color w:val="auto"/>
                <w:vertAlign w:val="superscript"/>
              </w:rPr>
              <w:t>(1)</w:t>
            </w:r>
          </w:p>
        </w:tc>
        <w:tc>
          <w:tcPr>
            <w:tcW w:w="600" w:type="dxa"/>
            <w:vAlign w:val="bottom"/>
          </w:tcPr>
          <w:p>
            <w:pPr>
              <w:jc w:val="right"/>
              <w:spacing w:after="0"/>
              <w:rPr>
                <w:sz w:val="20"/>
                <w:szCs w:val="20"/>
                <w:color w:val="auto"/>
              </w:rPr>
            </w:pPr>
            <w:r>
              <w:rPr>
                <w:rFonts w:ascii="Arial" w:cs="Arial" w:eastAsia="Arial" w:hAnsi="Arial"/>
                <w:sz w:val="16"/>
                <w:szCs w:val="16"/>
                <w:color w:val="auto"/>
              </w:rPr>
              <w:t>83.0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69.5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jc w:val="right"/>
              <w:ind w:right="179"/>
              <w:spacing w:after="0"/>
              <w:rPr>
                <w:sz w:val="20"/>
                <w:szCs w:val="20"/>
                <w:color w:val="auto"/>
              </w:rPr>
            </w:pPr>
            <w:r>
              <w:rPr>
                <w:rFonts w:ascii="Arial" w:cs="Arial" w:eastAsia="Arial" w:hAnsi="Arial"/>
                <w:sz w:val="16"/>
                <w:szCs w:val="16"/>
                <w:color w:val="auto"/>
              </w:rPr>
              <w:t>19.4 %</w:t>
            </w:r>
          </w:p>
        </w:tc>
      </w:tr>
      <w:tr>
        <w:trPr>
          <w:trHeight w:val="297"/>
        </w:trPr>
        <w:tc>
          <w:tcPr>
            <w:tcW w:w="6180" w:type="dxa"/>
            <w:vAlign w:val="bottom"/>
            <w:gridSpan w:val="2"/>
          </w:tcPr>
          <w:p>
            <w:pPr>
              <w:spacing w:after="0"/>
              <w:rPr>
                <w:sz w:val="20"/>
                <w:szCs w:val="20"/>
                <w:color w:val="auto"/>
              </w:rPr>
            </w:pPr>
            <w:r>
              <w:rPr>
                <w:rFonts w:ascii="Arial" w:cs="Arial" w:eastAsia="Arial" w:hAnsi="Arial"/>
                <w:sz w:val="16"/>
                <w:szCs w:val="16"/>
                <w:color w:val="auto"/>
              </w:rPr>
              <w:t xml:space="preserve">Adjusted Diluted Earnings Per Share </w:t>
            </w:r>
            <w:r>
              <w:rPr>
                <w:rFonts w:ascii="Arial" w:cs="Arial" w:eastAsia="Arial" w:hAnsi="Arial"/>
                <w:sz w:val="21"/>
                <w:szCs w:val="21"/>
                <w:color w:val="auto"/>
                <w:vertAlign w:val="superscript"/>
              </w:rPr>
              <w:t>(1)</w:t>
            </w:r>
          </w:p>
        </w:tc>
        <w:tc>
          <w:tcPr>
            <w:tcW w:w="600" w:type="dxa"/>
            <w:vAlign w:val="bottom"/>
          </w:tcPr>
          <w:p>
            <w:pPr>
              <w:jc w:val="right"/>
              <w:spacing w:after="0"/>
              <w:rPr>
                <w:sz w:val="20"/>
                <w:szCs w:val="20"/>
                <w:color w:val="auto"/>
              </w:rPr>
            </w:pPr>
            <w:r>
              <w:rPr>
                <w:rFonts w:ascii="Arial" w:cs="Arial" w:eastAsia="Arial" w:hAnsi="Arial"/>
                <w:sz w:val="16"/>
                <w:szCs w:val="16"/>
                <w:color w:val="auto"/>
              </w:rPr>
              <w:t>$1.72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jc w:val="right"/>
              <w:ind w:right="179"/>
              <w:spacing w:after="0"/>
              <w:rPr>
                <w:sz w:val="20"/>
                <w:szCs w:val="20"/>
                <w:color w:val="auto"/>
              </w:rPr>
            </w:pPr>
            <w:r>
              <w:rPr>
                <w:rFonts w:ascii="Arial" w:cs="Arial" w:eastAsia="Arial" w:hAnsi="Arial"/>
                <w:sz w:val="16"/>
                <w:szCs w:val="16"/>
                <w:color w:val="auto"/>
              </w:rPr>
              <w:t>22.0 %</w:t>
            </w:r>
          </w:p>
        </w:tc>
      </w:tr>
    </w:tbl>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Statistics (as a % of net sales, except for income tax rate)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000" w:type="dxa"/>
            <w:vAlign w:val="bottom"/>
          </w:tcPr>
          <w:p>
            <w:pPr>
              <w:spacing w:after="0"/>
              <w:rPr>
                <w:sz w:val="23"/>
                <w:szCs w:val="23"/>
                <w:color w:val="auto"/>
              </w:rPr>
            </w:pPr>
          </w:p>
        </w:tc>
        <w:tc>
          <w:tcPr>
            <w:tcW w:w="4000" w:type="dxa"/>
            <w:vAlign w:val="bottom"/>
            <w:gridSpan w:val="5"/>
          </w:tcPr>
          <w:p>
            <w:pPr>
              <w:ind w:left="660"/>
              <w:spacing w:after="0"/>
              <w:rPr>
                <w:sz w:val="20"/>
                <w:szCs w:val="20"/>
                <w:color w:val="auto"/>
              </w:rPr>
            </w:pPr>
            <w:r>
              <w:rPr>
                <w:rFonts w:ascii="Arial" w:cs="Arial" w:eastAsia="Arial" w:hAnsi="Arial"/>
                <w:sz w:val="16"/>
                <w:szCs w:val="16"/>
                <w:color w:val="auto"/>
              </w:rPr>
              <w:t>GAAP Six Months Ended June 30,</w:t>
            </w:r>
          </w:p>
        </w:tc>
        <w:tc>
          <w:tcPr>
            <w:tcW w:w="3780" w:type="dxa"/>
            <w:vAlign w:val="bottom"/>
            <w:gridSpan w:val="3"/>
          </w:tcPr>
          <w:p>
            <w:pPr>
              <w:jc w:val="right"/>
              <w:ind w:right="339"/>
              <w:spacing w:after="0"/>
              <w:rPr>
                <w:sz w:val="20"/>
                <w:szCs w:val="20"/>
                <w:color w:val="auto"/>
              </w:rPr>
            </w:pPr>
            <w:r>
              <w:rPr>
                <w:rFonts w:ascii="Arial" w:cs="Arial" w:eastAsia="Arial" w:hAnsi="Arial"/>
                <w:sz w:val="16"/>
                <w:szCs w:val="16"/>
                <w:color w:val="auto"/>
              </w:rPr>
              <w:t xml:space="preserve">Adjusted </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Six Months Ended June 30,</w:t>
            </w:r>
          </w:p>
        </w:tc>
      </w:tr>
      <w:tr>
        <w:trPr>
          <w:trHeight w:val="195"/>
        </w:trPr>
        <w:tc>
          <w:tcPr>
            <w:tcW w:w="4200" w:type="dxa"/>
            <w:vAlign w:val="bottom"/>
            <w:gridSpan w:val="2"/>
          </w:tcPr>
          <w:p>
            <w:pPr>
              <w:ind w:left="3760"/>
              <w:spacing w:after="0"/>
              <w:rPr>
                <w:sz w:val="20"/>
                <w:szCs w:val="20"/>
                <w:color w:val="auto"/>
              </w:rPr>
            </w:pPr>
            <w:r>
              <w:rPr>
                <w:rFonts w:ascii="Arial" w:cs="Arial" w:eastAsia="Arial" w:hAnsi="Arial"/>
                <w:sz w:val="16"/>
                <w:szCs w:val="16"/>
                <w:color w:val="auto"/>
              </w:rPr>
              <w:t>2017</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jc w:val="right"/>
              <w:ind w:right="699"/>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16"/>
                <w:szCs w:val="16"/>
                <w:color w:val="auto"/>
              </w:rPr>
            </w:pPr>
          </w:p>
        </w:tc>
        <w:tc>
          <w:tcPr>
            <w:tcW w:w="1840" w:type="dxa"/>
            <w:vAlign w:val="bottom"/>
          </w:tcPr>
          <w:p>
            <w:pPr>
              <w:jc w:val="right"/>
              <w:ind w:right="639"/>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6"/>
                <w:szCs w:val="16"/>
                <w:color w:val="auto"/>
              </w:rPr>
            </w:pPr>
          </w:p>
        </w:tc>
        <w:tc>
          <w:tcPr>
            <w:tcW w:w="1820" w:type="dxa"/>
            <w:vAlign w:val="bottom"/>
          </w:tcPr>
          <w:p>
            <w:pPr>
              <w:jc w:val="right"/>
              <w:ind w:right="619"/>
              <w:spacing w:after="0"/>
              <w:rPr>
                <w:sz w:val="20"/>
                <w:szCs w:val="20"/>
                <w:color w:val="auto"/>
              </w:rPr>
            </w:pPr>
            <w:r>
              <w:rPr>
                <w:rFonts w:ascii="Arial" w:cs="Arial" w:eastAsia="Arial" w:hAnsi="Arial"/>
                <w:sz w:val="16"/>
                <w:szCs w:val="16"/>
                <w:color w:val="auto"/>
              </w:rPr>
              <w:t>2016</w:t>
            </w:r>
          </w:p>
        </w:tc>
      </w:tr>
      <w:tr>
        <w:trPr>
          <w:trHeight w:val="47"/>
        </w:trPr>
        <w:tc>
          <w:tcPr>
            <w:tcW w:w="300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217"/>
        </w:trPr>
        <w:tc>
          <w:tcPr>
            <w:tcW w:w="420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640" w:type="dxa"/>
            <w:vAlign w:val="bottom"/>
          </w:tcPr>
          <w:p>
            <w:pPr>
              <w:jc w:val="right"/>
              <w:spacing w:after="0"/>
              <w:rPr>
                <w:sz w:val="20"/>
                <w:szCs w:val="20"/>
                <w:color w:val="auto"/>
              </w:rPr>
            </w:pPr>
            <w:r>
              <w:rPr>
                <w:rFonts w:ascii="Arial" w:cs="Arial" w:eastAsia="Arial" w:hAnsi="Arial"/>
                <w:sz w:val="16"/>
                <w:szCs w:val="16"/>
                <w:color w:val="auto"/>
              </w:rPr>
              <w:t>65.2 %</w:t>
            </w:r>
          </w:p>
        </w:tc>
        <w:tc>
          <w:tcPr>
            <w:tcW w:w="120" w:type="dxa"/>
            <w:vAlign w:val="bottom"/>
          </w:tcPr>
          <w:p>
            <w:pPr>
              <w:spacing w:after="0"/>
              <w:rPr>
                <w:sz w:val="18"/>
                <w:szCs w:val="18"/>
                <w:color w:val="auto"/>
              </w:rPr>
            </w:pPr>
          </w:p>
        </w:tc>
        <w:tc>
          <w:tcPr>
            <w:tcW w:w="1940" w:type="dxa"/>
            <w:vAlign w:val="bottom"/>
          </w:tcPr>
          <w:p>
            <w:pPr>
              <w:jc w:val="right"/>
              <w:ind w:right="179"/>
              <w:spacing w:after="0"/>
              <w:rPr>
                <w:sz w:val="20"/>
                <w:szCs w:val="20"/>
                <w:color w:val="auto"/>
              </w:rPr>
            </w:pPr>
            <w:r>
              <w:rPr>
                <w:rFonts w:ascii="Arial" w:cs="Arial" w:eastAsia="Arial" w:hAnsi="Arial"/>
                <w:sz w:val="16"/>
                <w:szCs w:val="16"/>
                <w:color w:val="auto"/>
              </w:rPr>
              <w:t>57.9 %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65.8 %</w:t>
            </w: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64.8 %</w:t>
            </w:r>
          </w:p>
        </w:tc>
      </w:tr>
      <w:tr>
        <w:trPr>
          <w:trHeight w:val="270"/>
        </w:trPr>
        <w:tc>
          <w:tcPr>
            <w:tcW w:w="4200" w:type="dxa"/>
            <w:vAlign w:val="bottom"/>
            <w:gridSpan w:val="2"/>
          </w:tcPr>
          <w:p>
            <w:pPr>
              <w:spacing w:after="0"/>
              <w:rPr>
                <w:sz w:val="20"/>
                <w:szCs w:val="20"/>
                <w:color w:val="auto"/>
              </w:rPr>
            </w:pPr>
            <w:r>
              <w:rPr>
                <w:rFonts w:ascii="Arial" w:cs="Arial" w:eastAsia="Arial" w:hAnsi="Arial"/>
                <w:sz w:val="16"/>
                <w:szCs w:val="16"/>
                <w:color w:val="auto"/>
              </w:rPr>
              <w:t>SG&amp;A</w:t>
            </w:r>
          </w:p>
        </w:tc>
        <w:tc>
          <w:tcPr>
            <w:tcW w:w="640" w:type="dxa"/>
            <w:vAlign w:val="bottom"/>
          </w:tcPr>
          <w:p>
            <w:pPr>
              <w:jc w:val="right"/>
              <w:spacing w:after="0"/>
              <w:rPr>
                <w:sz w:val="20"/>
                <w:szCs w:val="20"/>
                <w:color w:val="auto"/>
              </w:rPr>
            </w:pPr>
            <w:r>
              <w:rPr>
                <w:rFonts w:ascii="Arial" w:cs="Arial" w:eastAsia="Arial" w:hAnsi="Arial"/>
                <w:sz w:val="16"/>
                <w:szCs w:val="16"/>
                <w:color w:val="auto"/>
              </w:rPr>
              <w:t>38.4 %</w:t>
            </w:r>
          </w:p>
        </w:tc>
        <w:tc>
          <w:tcPr>
            <w:tcW w:w="120" w:type="dxa"/>
            <w:vAlign w:val="bottom"/>
          </w:tcPr>
          <w:p>
            <w:pPr>
              <w:spacing w:after="0"/>
              <w:rPr>
                <w:sz w:val="23"/>
                <w:szCs w:val="23"/>
                <w:color w:val="auto"/>
              </w:rPr>
            </w:pPr>
          </w:p>
        </w:tc>
        <w:tc>
          <w:tcPr>
            <w:tcW w:w="1940" w:type="dxa"/>
            <w:vAlign w:val="bottom"/>
          </w:tcPr>
          <w:p>
            <w:pPr>
              <w:jc w:val="right"/>
              <w:ind w:right="179"/>
              <w:spacing w:after="0"/>
              <w:rPr>
                <w:sz w:val="20"/>
                <w:szCs w:val="20"/>
                <w:color w:val="auto"/>
              </w:rPr>
            </w:pPr>
            <w:r>
              <w:rPr>
                <w:rFonts w:ascii="Arial" w:cs="Arial" w:eastAsia="Arial" w:hAnsi="Arial"/>
                <w:sz w:val="16"/>
                <w:szCs w:val="16"/>
                <w:color w:val="auto"/>
              </w:rPr>
              <w:t>38.9 %</w:t>
            </w:r>
          </w:p>
        </w:tc>
        <w:tc>
          <w:tcPr>
            <w:tcW w:w="10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36.1 %</w:t>
            </w: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37.3 %</w:t>
            </w:r>
          </w:p>
        </w:tc>
      </w:tr>
      <w:tr>
        <w:trPr>
          <w:trHeight w:val="270"/>
        </w:trPr>
        <w:tc>
          <w:tcPr>
            <w:tcW w:w="4200" w:type="dxa"/>
            <w:vAlign w:val="bottom"/>
            <w:gridSpan w:val="2"/>
          </w:tcPr>
          <w:p>
            <w:pPr>
              <w:spacing w:after="0"/>
              <w:rPr>
                <w:sz w:val="20"/>
                <w:szCs w:val="20"/>
                <w:color w:val="auto"/>
              </w:rPr>
            </w:pPr>
            <w:r>
              <w:rPr>
                <w:rFonts w:ascii="Arial" w:cs="Arial" w:eastAsia="Arial" w:hAnsi="Arial"/>
                <w:sz w:val="16"/>
                <w:szCs w:val="16"/>
                <w:color w:val="auto"/>
              </w:rPr>
              <w:t>R&amp;D</w:t>
            </w:r>
          </w:p>
        </w:tc>
        <w:tc>
          <w:tcPr>
            <w:tcW w:w="640" w:type="dxa"/>
            <w:vAlign w:val="bottom"/>
          </w:tcPr>
          <w:p>
            <w:pPr>
              <w:jc w:val="right"/>
              <w:spacing w:after="0"/>
              <w:rPr>
                <w:sz w:val="20"/>
                <w:szCs w:val="20"/>
                <w:color w:val="auto"/>
              </w:rPr>
            </w:pPr>
            <w:r>
              <w:rPr>
                <w:rFonts w:ascii="Arial" w:cs="Arial" w:eastAsia="Arial" w:hAnsi="Arial"/>
                <w:sz w:val="16"/>
                <w:szCs w:val="16"/>
                <w:color w:val="auto"/>
              </w:rPr>
              <w:t>12.0 %</w:t>
            </w:r>
          </w:p>
        </w:tc>
        <w:tc>
          <w:tcPr>
            <w:tcW w:w="120" w:type="dxa"/>
            <w:vAlign w:val="bottom"/>
          </w:tcPr>
          <w:p>
            <w:pPr>
              <w:spacing w:after="0"/>
              <w:rPr>
                <w:sz w:val="23"/>
                <w:szCs w:val="23"/>
                <w:color w:val="auto"/>
              </w:rPr>
            </w:pPr>
          </w:p>
        </w:tc>
        <w:tc>
          <w:tcPr>
            <w:tcW w:w="1940" w:type="dxa"/>
            <w:vAlign w:val="bottom"/>
          </w:tcPr>
          <w:p>
            <w:pPr>
              <w:jc w:val="right"/>
              <w:ind w:right="179"/>
              <w:spacing w:after="0"/>
              <w:rPr>
                <w:sz w:val="20"/>
                <w:szCs w:val="20"/>
                <w:color w:val="auto"/>
              </w:rPr>
            </w:pPr>
            <w:r>
              <w:rPr>
                <w:rFonts w:ascii="Arial" w:cs="Arial" w:eastAsia="Arial" w:hAnsi="Arial"/>
                <w:sz w:val="16"/>
                <w:szCs w:val="16"/>
                <w:color w:val="auto"/>
              </w:rPr>
              <w:t>10.2 %</w:t>
            </w:r>
          </w:p>
        </w:tc>
        <w:tc>
          <w:tcPr>
            <w:tcW w:w="10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10.1 %</w:t>
            </w: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10.1 %</w:t>
            </w:r>
          </w:p>
        </w:tc>
      </w:tr>
      <w:tr>
        <w:trPr>
          <w:trHeight w:val="270"/>
        </w:trPr>
        <w:tc>
          <w:tcPr>
            <w:tcW w:w="4200" w:type="dxa"/>
            <w:vAlign w:val="bottom"/>
            <w:gridSpan w:val="2"/>
          </w:tcPr>
          <w:p>
            <w:pPr>
              <w:spacing w:after="0"/>
              <w:rPr>
                <w:sz w:val="20"/>
                <w:szCs w:val="20"/>
                <w:color w:val="auto"/>
              </w:rPr>
            </w:pPr>
            <w:r>
              <w:rPr>
                <w:rFonts w:ascii="Arial" w:cs="Arial" w:eastAsia="Arial" w:hAnsi="Arial"/>
                <w:sz w:val="16"/>
                <w:szCs w:val="16"/>
                <w:color w:val="auto"/>
              </w:rPr>
              <w:t>Income (loss) from Operations</w:t>
            </w:r>
          </w:p>
        </w:tc>
        <w:tc>
          <w:tcPr>
            <w:tcW w:w="640" w:type="dxa"/>
            <w:vAlign w:val="bottom"/>
          </w:tcPr>
          <w:p>
            <w:pPr>
              <w:jc w:val="right"/>
              <w:spacing w:after="0"/>
              <w:rPr>
                <w:sz w:val="20"/>
                <w:szCs w:val="20"/>
                <w:color w:val="auto"/>
              </w:rPr>
            </w:pPr>
            <w:r>
              <w:rPr>
                <w:rFonts w:ascii="Arial" w:cs="Arial" w:eastAsia="Arial" w:hAnsi="Arial"/>
                <w:sz w:val="16"/>
                <w:szCs w:val="16"/>
                <w:color w:val="auto"/>
              </w:rPr>
              <w:t>8.2 %</w:t>
            </w:r>
          </w:p>
        </w:tc>
        <w:tc>
          <w:tcPr>
            <w:tcW w:w="120" w:type="dxa"/>
            <w:vAlign w:val="bottom"/>
          </w:tcPr>
          <w:p>
            <w:pPr>
              <w:spacing w:after="0"/>
              <w:rPr>
                <w:sz w:val="23"/>
                <w:szCs w:val="23"/>
                <w:color w:val="auto"/>
              </w:rPr>
            </w:pPr>
          </w:p>
        </w:tc>
        <w:tc>
          <w:tcPr>
            <w:tcW w:w="1940" w:type="dxa"/>
            <w:vAlign w:val="bottom"/>
          </w:tcPr>
          <w:p>
            <w:pPr>
              <w:jc w:val="right"/>
              <w:ind w:right="139"/>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19.6 %</w:t>
            </w: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17.5 %</w:t>
            </w:r>
          </w:p>
        </w:tc>
      </w:tr>
      <w:tr>
        <w:trPr>
          <w:trHeight w:val="270"/>
        </w:trPr>
        <w:tc>
          <w:tcPr>
            <w:tcW w:w="4200" w:type="dxa"/>
            <w:vAlign w:val="bottom"/>
            <w:gridSpan w:val="2"/>
          </w:tcPr>
          <w:p>
            <w:pPr>
              <w:spacing w:after="0"/>
              <w:rPr>
                <w:sz w:val="20"/>
                <w:szCs w:val="20"/>
                <w:color w:val="auto"/>
              </w:rPr>
            </w:pPr>
            <w:r>
              <w:rPr>
                <w:rFonts w:ascii="Arial" w:cs="Arial" w:eastAsia="Arial" w:hAnsi="Arial"/>
                <w:sz w:val="16"/>
                <w:szCs w:val="16"/>
                <w:color w:val="auto"/>
              </w:rPr>
              <w:t>Net (loss) Income</w:t>
            </w:r>
          </w:p>
        </w:tc>
        <w:tc>
          <w:tcPr>
            <w:tcW w:w="640" w:type="dxa"/>
            <w:vAlign w:val="bottom"/>
          </w:tcPr>
          <w:p>
            <w:pPr>
              <w:jc w:val="right"/>
              <w:spacing w:after="0"/>
              <w:rPr>
                <w:sz w:val="20"/>
                <w:szCs w:val="20"/>
                <w:color w:val="auto"/>
              </w:rPr>
            </w:pPr>
            <w:r>
              <w:rPr>
                <w:rFonts w:ascii="Arial" w:cs="Arial" w:eastAsia="Arial" w:hAnsi="Arial"/>
                <w:sz w:val="16"/>
                <w:szCs w:val="16"/>
                <w:color w:val="auto"/>
              </w:rPr>
              <w:t>9.7 %</w:t>
            </w:r>
          </w:p>
        </w:tc>
        <w:tc>
          <w:tcPr>
            <w:tcW w:w="120" w:type="dxa"/>
            <w:vAlign w:val="bottom"/>
          </w:tcPr>
          <w:p>
            <w:pPr>
              <w:spacing w:after="0"/>
              <w:rPr>
                <w:sz w:val="23"/>
                <w:szCs w:val="23"/>
                <w:color w:val="auto"/>
              </w:rPr>
            </w:pPr>
          </w:p>
        </w:tc>
        <w:tc>
          <w:tcPr>
            <w:tcW w:w="1940" w:type="dxa"/>
            <w:vAlign w:val="bottom"/>
          </w:tcPr>
          <w:p>
            <w:pPr>
              <w:jc w:val="right"/>
              <w:ind w:right="139"/>
              <w:spacing w:after="0"/>
              <w:rPr>
                <w:sz w:val="20"/>
                <w:szCs w:val="20"/>
                <w:color w:val="auto"/>
              </w:rPr>
            </w:pPr>
            <w:r>
              <w:rPr>
                <w:rFonts w:ascii="Arial" w:cs="Arial" w:eastAsia="Arial" w:hAnsi="Arial"/>
                <w:sz w:val="16"/>
                <w:szCs w:val="16"/>
                <w:color w:val="auto"/>
              </w:rPr>
              <w:t>(5.2 %)</w:t>
            </w:r>
          </w:p>
        </w:tc>
        <w:tc>
          <w:tcPr>
            <w:tcW w:w="10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13.7 %</w:t>
            </w: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11.4 %</w:t>
            </w:r>
          </w:p>
        </w:tc>
      </w:tr>
      <w:tr>
        <w:trPr>
          <w:trHeight w:val="270"/>
        </w:trPr>
        <w:tc>
          <w:tcPr>
            <w:tcW w:w="4200" w:type="dxa"/>
            <w:vAlign w:val="bottom"/>
            <w:gridSpan w:val="2"/>
          </w:tcPr>
          <w:p>
            <w:pPr>
              <w:spacing w:after="0"/>
              <w:rPr>
                <w:sz w:val="20"/>
                <w:szCs w:val="20"/>
                <w:color w:val="auto"/>
              </w:rPr>
            </w:pPr>
            <w:r>
              <w:rPr>
                <w:rFonts w:ascii="Arial" w:cs="Arial" w:eastAsia="Arial" w:hAnsi="Arial"/>
                <w:sz w:val="16"/>
                <w:szCs w:val="16"/>
                <w:color w:val="auto"/>
              </w:rPr>
              <w:t>Income Tax Rate</w:t>
            </w:r>
          </w:p>
        </w:tc>
        <w:tc>
          <w:tcPr>
            <w:tcW w:w="640" w:type="dxa"/>
            <w:vAlign w:val="bottom"/>
          </w:tcPr>
          <w:p>
            <w:pPr>
              <w:jc w:val="right"/>
              <w:spacing w:after="0"/>
              <w:rPr>
                <w:sz w:val="20"/>
                <w:szCs w:val="20"/>
                <w:color w:val="auto"/>
              </w:rPr>
            </w:pPr>
            <w:r>
              <w:rPr>
                <w:rFonts w:ascii="Arial" w:cs="Arial" w:eastAsia="Arial" w:hAnsi="Arial"/>
                <w:sz w:val="16"/>
                <w:szCs w:val="16"/>
                <w:color w:val="auto"/>
              </w:rPr>
              <w:t>10.4 %</w:t>
            </w:r>
          </w:p>
        </w:tc>
        <w:tc>
          <w:tcPr>
            <w:tcW w:w="120" w:type="dxa"/>
            <w:vAlign w:val="bottom"/>
          </w:tcPr>
          <w:p>
            <w:pPr>
              <w:spacing w:after="0"/>
              <w:rPr>
                <w:sz w:val="23"/>
                <w:szCs w:val="23"/>
                <w:color w:val="auto"/>
              </w:rPr>
            </w:pPr>
          </w:p>
        </w:tc>
        <w:tc>
          <w:tcPr>
            <w:tcW w:w="1940" w:type="dxa"/>
            <w:vAlign w:val="bottom"/>
          </w:tcPr>
          <w:p>
            <w:pPr>
              <w:jc w:val="right"/>
              <w:ind w:right="139"/>
              <w:spacing w:after="0"/>
              <w:rPr>
                <w:sz w:val="20"/>
                <w:szCs w:val="20"/>
                <w:color w:val="auto"/>
              </w:rPr>
            </w:pPr>
            <w:r>
              <w:rPr>
                <w:rFonts w:ascii="Arial" w:cs="Arial" w:eastAsia="Arial" w:hAnsi="Arial"/>
                <w:sz w:val="16"/>
                <w:szCs w:val="16"/>
                <w:color w:val="auto"/>
              </w:rPr>
              <w:t>(39.8 %)</w:t>
            </w:r>
          </w:p>
        </w:tc>
        <w:tc>
          <w:tcPr>
            <w:tcW w:w="10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22.7 %</w:t>
            </w: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26.8 %</w:t>
            </w:r>
          </w:p>
        </w:tc>
      </w:tr>
    </w:tbl>
    <w:p>
      <w:pPr>
        <w:spacing w:after="0" w:line="267" w:lineRule="exact"/>
        <w:rPr>
          <w:sz w:val="20"/>
          <w:szCs w:val="20"/>
          <w:color w:val="auto"/>
        </w:rPr>
      </w:pPr>
    </w:p>
    <w:p>
      <w:pPr>
        <w:ind w:left="460" w:right="340" w:hanging="454"/>
        <w:spacing w:after="0" w:line="258"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Adjusted financial measures are Non-GAAP measures and exclude specified items as described and reconciled in the "Reconciliation of GAAP to non-GAAP Financial Measures" contained in the press release.</w:t>
      </w:r>
    </w:p>
    <w:p>
      <w:pPr>
        <w:spacing w:after="0" w:line="86" w:lineRule="exact"/>
        <w:rPr>
          <w:rFonts w:ascii="Arial" w:cs="Arial" w:eastAsia="Arial" w:hAnsi="Arial"/>
          <w:sz w:val="14"/>
          <w:szCs w:val="14"/>
          <w:color w:val="auto"/>
        </w:rPr>
      </w:pPr>
    </w:p>
    <w:p>
      <w:pPr>
        <w:ind w:left="280"/>
        <w:spacing w:after="0"/>
        <w:rPr>
          <w:rFonts w:ascii="Arial" w:cs="Arial" w:eastAsia="Arial" w:hAnsi="Arial"/>
          <w:sz w:val="14"/>
          <w:szCs w:val="14"/>
          <w:color w:val="auto"/>
        </w:rPr>
      </w:pPr>
      <w:r>
        <w:rPr>
          <w:rFonts w:ascii="Arial" w:cs="Arial" w:eastAsia="Arial" w:hAnsi="Arial"/>
          <w:sz w:val="14"/>
          <w:szCs w:val="14"/>
          <w:color w:val="auto"/>
        </w:rPr>
        <w:t>*  Numbers may not add up precisely due to rounding.</w:t>
      </w:r>
    </w:p>
    <w:p>
      <w:pPr>
        <w:sectPr>
          <w:pgSz w:w="11900" w:h="16838" w:orient="portrait"/>
          <w:cols w:equalWidth="0" w:num="1">
            <w:col w:w="10780"/>
          </w:cols>
          <w:pgMar w:left="600" w:top="733" w:right="519" w:bottom="0" w:gutter="0" w:footer="0" w:header="0"/>
        </w:sectPr>
      </w:pPr>
    </w:p>
    <w:p>
      <w:pPr>
        <w:spacing w:after="0" w:line="312"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0780"/>
          </w:cols>
          <w:pgMar w:left="600" w:top="733" w:right="519" w:bottom="0" w:gutter="0" w:footer="0" w:header="0"/>
          <w:type w:val="continuous"/>
        </w:sectPr>
      </w:pPr>
    </w:p>
    <w:bookmarkStart w:id="15" w:name="page16"/>
    <w:bookmarkEnd w:id="15"/>
    <w:p>
      <w:pPr>
        <w:ind w:left="80" w:right="4980"/>
        <w:spacing w:after="0" w:line="392" w:lineRule="auto"/>
        <w:rPr>
          <w:sz w:val="20"/>
          <w:szCs w:val="20"/>
          <w:color w:val="auto"/>
        </w:rPr>
      </w:pPr>
      <w:r>
        <w:rPr>
          <w:rFonts w:ascii="Arial" w:cs="Arial" w:eastAsia="Arial" w:hAnsi="Arial"/>
          <w:sz w:val="16"/>
          <w:szCs w:val="16"/>
          <w:b w:val="1"/>
          <w:bCs w:val="1"/>
          <w:color w:val="auto"/>
        </w:rPr>
        <w:t>RECONCILIATION OF GAAP TO NON-GAAP FINANCIAL MEASURES - UNAUDITED (U.S.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b w:val="1"/>
                <w:bCs w:val="1"/>
                <w:color w:val="auto"/>
              </w:rPr>
              <w:t>Income from</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60" w:type="dxa"/>
            <w:vAlign w:val="bottom"/>
          </w:tcPr>
          <w:p>
            <w:pPr>
              <w:ind w:left="80"/>
              <w:spacing w:after="0"/>
              <w:rPr>
                <w:sz w:val="20"/>
                <w:szCs w:val="20"/>
                <w:color w:val="auto"/>
              </w:rPr>
            </w:pPr>
            <w:r>
              <w:rPr>
                <w:rFonts w:ascii="Arial" w:cs="Arial" w:eastAsia="Arial" w:hAnsi="Arial"/>
                <w:sz w:val="16"/>
                <w:szCs w:val="16"/>
                <w:b w:val="1"/>
                <w:bCs w:val="1"/>
                <w:color w:val="auto"/>
              </w:rPr>
              <w:t>Three Months Ended June 30, 2017</w:t>
            </w:r>
          </w:p>
        </w:tc>
        <w:tc>
          <w:tcPr>
            <w:tcW w:w="320" w:type="dxa"/>
            <w:vAlign w:val="bottom"/>
          </w:tcPr>
          <w:p>
            <w:pPr>
              <w:spacing w:after="0"/>
              <w:rPr>
                <w:sz w:val="18"/>
                <w:szCs w:val="18"/>
                <w:color w:val="auto"/>
              </w:rPr>
            </w:pPr>
          </w:p>
        </w:tc>
        <w:tc>
          <w:tcPr>
            <w:tcW w:w="1120" w:type="dxa"/>
            <w:vAlign w:val="bottom"/>
          </w:tcPr>
          <w:p>
            <w:pPr>
              <w:jc w:val="right"/>
              <w:ind w:right="419"/>
              <w:spacing w:after="0"/>
              <w:rPr>
                <w:sz w:val="20"/>
                <w:szCs w:val="20"/>
                <w:color w:val="auto"/>
              </w:rPr>
            </w:pPr>
            <w:r>
              <w:rPr>
                <w:rFonts w:ascii="Arial" w:cs="Arial" w:eastAsia="Arial" w:hAnsi="Arial"/>
                <w:sz w:val="16"/>
                <w:szCs w:val="16"/>
                <w:b w:val="1"/>
                <w:bCs w:val="1"/>
                <w:color w:val="auto"/>
              </w:rPr>
              <w:t>Sales</w:t>
            </w: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Gross Profit</w:t>
            </w:r>
          </w:p>
        </w:tc>
        <w:tc>
          <w:tcPr>
            <w:tcW w:w="1320" w:type="dxa"/>
            <w:vAlign w:val="bottom"/>
          </w:tcPr>
          <w:p>
            <w:pPr>
              <w:jc w:val="right"/>
              <w:ind w:right="159"/>
              <w:spacing w:after="0"/>
              <w:rPr>
                <w:sz w:val="20"/>
                <w:szCs w:val="20"/>
                <w:color w:val="auto"/>
              </w:rPr>
            </w:pPr>
            <w:r>
              <w:rPr>
                <w:rFonts w:ascii="Arial" w:cs="Arial" w:eastAsia="Arial" w:hAnsi="Arial"/>
                <w:sz w:val="16"/>
                <w:szCs w:val="16"/>
                <w:b w:val="1"/>
                <w:bCs w:val="1"/>
                <w:color w:val="auto"/>
              </w:rPr>
              <w:t>Operations</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Diluted EPS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7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760" w:type="dxa"/>
            <w:vAlign w:val="bottom"/>
          </w:tcPr>
          <w:p>
            <w:pPr>
              <w:ind w:left="80"/>
              <w:spacing w:after="0"/>
              <w:rPr>
                <w:sz w:val="20"/>
                <w:szCs w:val="20"/>
                <w:color w:val="auto"/>
              </w:rPr>
            </w:pPr>
            <w:r>
              <w:rPr>
                <w:rFonts w:ascii="Arial" w:cs="Arial" w:eastAsia="Arial" w:hAnsi="Arial"/>
                <w:sz w:val="16"/>
                <w:szCs w:val="16"/>
                <w:color w:val="auto"/>
              </w:rPr>
              <w:t>GAAP Financial Measures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321.4</w:t>
            </w: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$210.8</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$31.1</w:t>
            </w:r>
          </w:p>
        </w:tc>
        <w:tc>
          <w:tcPr>
            <w:tcW w:w="1100" w:type="dxa"/>
            <w:vAlign w:val="bottom"/>
          </w:tcPr>
          <w:p>
            <w:pPr>
              <w:jc w:val="right"/>
              <w:spacing w:after="0"/>
              <w:rPr>
                <w:sz w:val="20"/>
                <w:szCs w:val="20"/>
                <w:color w:val="auto"/>
              </w:rPr>
            </w:pPr>
            <w:r>
              <w:rPr>
                <w:rFonts w:ascii="Arial" w:cs="Arial" w:eastAsia="Arial" w:hAnsi="Arial"/>
                <w:sz w:val="16"/>
                <w:szCs w:val="16"/>
                <w:color w:val="auto"/>
              </w:rPr>
              <w:t>$47.5</w:t>
            </w:r>
          </w:p>
        </w:tc>
        <w:tc>
          <w:tcPr>
            <w:tcW w:w="26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760" w:type="dxa"/>
            <w:vAlign w:val="bottom"/>
            <w:vMerge w:val="restart"/>
          </w:tcPr>
          <w:p>
            <w:pPr>
              <w:ind w:left="80"/>
              <w:spacing w:after="0"/>
              <w:rPr>
                <w:sz w:val="20"/>
                <w:szCs w:val="20"/>
                <w:color w:val="auto"/>
              </w:rPr>
            </w:pPr>
            <w:r>
              <w:rPr>
                <w:rFonts w:ascii="Arial" w:cs="Arial" w:eastAsia="Arial" w:hAnsi="Arial"/>
                <w:sz w:val="16"/>
                <w:szCs w:val="16"/>
                <w:color w:val="auto"/>
              </w:rPr>
              <w:t>Specified Items</w:t>
            </w:r>
          </w:p>
        </w:tc>
        <w:tc>
          <w:tcPr>
            <w:tcW w:w="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7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60" w:type="dxa"/>
            <w:vAlign w:val="bottom"/>
          </w:tcPr>
          <w:p>
            <w:pPr>
              <w:ind w:left="300"/>
              <w:spacing w:after="0"/>
              <w:rPr>
                <w:sz w:val="20"/>
                <w:szCs w:val="20"/>
                <w:color w:val="auto"/>
              </w:rPr>
            </w:pPr>
            <w:r>
              <w:rPr>
                <w:rFonts w:ascii="Arial" w:cs="Arial" w:eastAsia="Arial" w:hAnsi="Arial"/>
                <w:sz w:val="16"/>
                <w:szCs w:val="16"/>
                <w:color w:val="auto"/>
              </w:rPr>
              <w:t>Merger and integration expenses (A)</w:t>
            </w: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2.5</w:t>
            </w:r>
          </w:p>
        </w:tc>
        <w:tc>
          <w:tcPr>
            <w:tcW w:w="1100" w:type="dxa"/>
            <w:vAlign w:val="bottom"/>
          </w:tcPr>
          <w:p>
            <w:pPr>
              <w:jc w:val="right"/>
              <w:spacing w:after="0"/>
              <w:rPr>
                <w:sz w:val="20"/>
                <w:szCs w:val="20"/>
                <w:color w:val="auto"/>
              </w:rPr>
            </w:pPr>
            <w:r>
              <w:rPr>
                <w:rFonts w:ascii="Arial" w:cs="Arial" w:eastAsia="Arial" w:hAnsi="Arial"/>
                <w:sz w:val="16"/>
                <w:szCs w:val="16"/>
                <w:color w:val="auto"/>
              </w:rPr>
              <w:t>2.0</w:t>
            </w:r>
          </w:p>
        </w:tc>
        <w:tc>
          <w:tcPr>
            <w:tcW w:w="2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60" w:type="dxa"/>
            <w:vAlign w:val="bottom"/>
          </w:tcPr>
          <w:p>
            <w:pPr>
              <w:ind w:left="300"/>
              <w:spacing w:after="0"/>
              <w:rPr>
                <w:sz w:val="20"/>
                <w:szCs w:val="20"/>
                <w:color w:val="auto"/>
              </w:rPr>
            </w:pPr>
            <w:r>
              <w:rPr>
                <w:rFonts w:ascii="Arial" w:cs="Arial" w:eastAsia="Arial" w:hAnsi="Arial"/>
                <w:sz w:val="16"/>
                <w:szCs w:val="16"/>
                <w:color w:val="auto"/>
              </w:rPr>
              <w:t>Restructuring expenses (B)</w:t>
            </w: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1.1</w:t>
            </w:r>
          </w:p>
        </w:tc>
        <w:tc>
          <w:tcPr>
            <w:tcW w:w="1100" w:type="dxa"/>
            <w:vAlign w:val="bottom"/>
          </w:tcPr>
          <w:p>
            <w:pPr>
              <w:jc w:val="right"/>
              <w:spacing w:after="0"/>
              <w:rPr>
                <w:sz w:val="20"/>
                <w:szCs w:val="20"/>
                <w:color w:val="auto"/>
              </w:rPr>
            </w:pPr>
            <w:r>
              <w:rPr>
                <w:rFonts w:ascii="Arial" w:cs="Arial" w:eastAsia="Arial" w:hAnsi="Arial"/>
                <w:sz w:val="16"/>
                <w:szCs w:val="16"/>
                <w:color w:val="auto"/>
              </w:rPr>
              <w:t>0.3</w:t>
            </w:r>
          </w:p>
        </w:tc>
        <w:tc>
          <w:tcPr>
            <w:tcW w:w="2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60" w:type="dxa"/>
            <w:vAlign w:val="bottom"/>
          </w:tcPr>
          <w:p>
            <w:pPr>
              <w:ind w:left="300"/>
              <w:spacing w:after="0"/>
              <w:rPr>
                <w:sz w:val="20"/>
                <w:szCs w:val="20"/>
                <w:color w:val="auto"/>
              </w:rPr>
            </w:pPr>
            <w:r>
              <w:rPr>
                <w:rFonts w:ascii="Arial" w:cs="Arial" w:eastAsia="Arial" w:hAnsi="Arial"/>
                <w:sz w:val="16"/>
                <w:szCs w:val="16"/>
                <w:color w:val="auto"/>
              </w:rPr>
              <w:t>Depreciation and amortization (C)</w:t>
            </w: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1.2</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13.2</w:t>
            </w:r>
          </w:p>
        </w:tc>
        <w:tc>
          <w:tcPr>
            <w:tcW w:w="1100" w:type="dxa"/>
            <w:vAlign w:val="bottom"/>
          </w:tcPr>
          <w:p>
            <w:pPr>
              <w:jc w:val="right"/>
              <w:spacing w:after="0"/>
              <w:rPr>
                <w:sz w:val="20"/>
                <w:szCs w:val="20"/>
                <w:color w:val="auto"/>
              </w:rPr>
            </w:pPr>
            <w:r>
              <w:rPr>
                <w:rFonts w:ascii="Arial" w:cs="Arial" w:eastAsia="Arial" w:hAnsi="Arial"/>
                <w:sz w:val="16"/>
                <w:szCs w:val="16"/>
                <w:color w:val="auto"/>
              </w:rPr>
              <w:t>10.5</w:t>
            </w:r>
          </w:p>
        </w:tc>
        <w:tc>
          <w:tcPr>
            <w:tcW w:w="2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60" w:type="dxa"/>
            <w:vAlign w:val="bottom"/>
          </w:tcPr>
          <w:p>
            <w:pPr>
              <w:ind w:left="300"/>
              <w:spacing w:after="0"/>
              <w:rPr>
                <w:sz w:val="20"/>
                <w:szCs w:val="20"/>
                <w:color w:val="auto"/>
              </w:rPr>
            </w:pPr>
            <w:r>
              <w:rPr>
                <w:rFonts w:ascii="Arial" w:cs="Arial" w:eastAsia="Arial" w:hAnsi="Arial"/>
                <w:sz w:val="16"/>
                <w:szCs w:val="16"/>
                <w:color w:val="auto"/>
              </w:rPr>
              <w:t>Product remediation (D)</w:t>
            </w: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1.7</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1.7</w:t>
            </w:r>
          </w:p>
        </w:tc>
        <w:tc>
          <w:tcPr>
            <w:tcW w:w="1100" w:type="dxa"/>
            <w:vAlign w:val="bottom"/>
          </w:tcPr>
          <w:p>
            <w:pPr>
              <w:jc w:val="right"/>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60" w:type="dxa"/>
            <w:vAlign w:val="bottom"/>
          </w:tcPr>
          <w:p>
            <w:pPr>
              <w:ind w:left="300"/>
              <w:spacing w:after="0"/>
              <w:rPr>
                <w:sz w:val="20"/>
                <w:szCs w:val="20"/>
                <w:color w:val="auto"/>
              </w:rPr>
            </w:pPr>
            <w:r>
              <w:rPr>
                <w:rFonts w:ascii="Arial" w:cs="Arial" w:eastAsia="Arial" w:hAnsi="Arial"/>
                <w:sz w:val="16"/>
                <w:szCs w:val="16"/>
                <w:color w:val="auto"/>
              </w:rPr>
              <w:t>Caisson acquisition (E)</w:t>
            </w: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0.2</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12.1</w:t>
            </w:r>
          </w:p>
        </w:tc>
        <w:tc>
          <w:tcPr>
            <w:tcW w:w="1100" w:type="dxa"/>
            <w:vAlign w:val="bottom"/>
          </w:tcPr>
          <w:p>
            <w:pPr>
              <w:jc w:val="right"/>
              <w:spacing w:after="0"/>
              <w:rPr>
                <w:sz w:val="20"/>
                <w:szCs w:val="20"/>
                <w:color w:val="auto"/>
              </w:rPr>
            </w:pPr>
            <w:r>
              <w:rPr>
                <w:rFonts w:ascii="Arial" w:cs="Arial" w:eastAsia="Arial" w:hAnsi="Arial"/>
                <w:sz w:val="16"/>
                <w:szCs w:val="16"/>
                <w:color w:val="auto"/>
              </w:rPr>
              <w:t>(30.1</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(0.62</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760" w:type="dxa"/>
            <w:vAlign w:val="bottom"/>
          </w:tcPr>
          <w:p>
            <w:pPr>
              <w:ind w:left="300"/>
              <w:spacing w:after="0"/>
              <w:rPr>
                <w:sz w:val="20"/>
                <w:szCs w:val="20"/>
                <w:color w:val="auto"/>
              </w:rPr>
            </w:pPr>
            <w:r>
              <w:rPr>
                <w:rFonts w:ascii="Arial" w:cs="Arial" w:eastAsia="Arial" w:hAnsi="Arial"/>
                <w:sz w:val="16"/>
                <w:szCs w:val="16"/>
                <w:color w:val="auto"/>
              </w:rPr>
              <w:t>Highlife impairment (F)</w:t>
            </w: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13.0</w:t>
            </w:r>
          </w:p>
        </w:tc>
        <w:tc>
          <w:tcPr>
            <w:tcW w:w="2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0.27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60" w:type="dxa"/>
            <w:vAlign w:val="bottom"/>
          </w:tcPr>
          <w:p>
            <w:pPr>
              <w:ind w:left="300"/>
              <w:spacing w:after="0"/>
              <w:rPr>
                <w:sz w:val="20"/>
                <w:szCs w:val="20"/>
                <w:color w:val="auto"/>
              </w:rPr>
            </w:pPr>
            <w:r>
              <w:rPr>
                <w:rFonts w:ascii="Arial" w:cs="Arial" w:eastAsia="Arial" w:hAnsi="Arial"/>
                <w:sz w:val="16"/>
                <w:szCs w:val="16"/>
                <w:color w:val="auto"/>
              </w:rPr>
              <w:t>Other Income / (expenses) &amp; litigations (G)</w:t>
            </w: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3.9</w:t>
            </w:r>
          </w:p>
        </w:tc>
        <w:tc>
          <w:tcPr>
            <w:tcW w:w="1100" w:type="dxa"/>
            <w:vAlign w:val="bottom"/>
          </w:tcPr>
          <w:p>
            <w:pPr>
              <w:jc w:val="right"/>
              <w:spacing w:after="0"/>
              <w:rPr>
                <w:sz w:val="20"/>
                <w:szCs w:val="20"/>
                <w:color w:val="auto"/>
              </w:rPr>
            </w:pPr>
            <w:r>
              <w:rPr>
                <w:rFonts w:ascii="Arial" w:cs="Arial" w:eastAsia="Arial" w:hAnsi="Arial"/>
                <w:sz w:val="16"/>
                <w:szCs w:val="16"/>
                <w:color w:val="auto"/>
              </w:rPr>
              <w:t>2.7</w:t>
            </w:r>
          </w:p>
        </w:tc>
        <w:tc>
          <w:tcPr>
            <w:tcW w:w="2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60" w:type="dxa"/>
            <w:vAlign w:val="bottom"/>
          </w:tcPr>
          <w:p>
            <w:pPr>
              <w:ind w:left="300"/>
              <w:spacing w:after="0"/>
              <w:rPr>
                <w:sz w:val="20"/>
                <w:szCs w:val="20"/>
                <w:color w:val="auto"/>
              </w:rPr>
            </w:pPr>
            <w:r>
              <w:rPr>
                <w:rFonts w:ascii="Arial" w:cs="Arial" w:eastAsia="Arial" w:hAnsi="Arial"/>
                <w:sz w:val="16"/>
                <w:szCs w:val="16"/>
                <w:color w:val="auto"/>
              </w:rPr>
              <w:t>Equity compensation (H)</w:t>
            </w: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0.1</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4.7</w:t>
            </w:r>
          </w:p>
        </w:tc>
        <w:tc>
          <w:tcPr>
            <w:tcW w:w="1100" w:type="dxa"/>
            <w:vAlign w:val="bottom"/>
          </w:tcPr>
          <w:p>
            <w:pPr>
              <w:jc w:val="right"/>
              <w:spacing w:after="0"/>
              <w:rPr>
                <w:sz w:val="20"/>
                <w:szCs w:val="20"/>
                <w:color w:val="auto"/>
              </w:rPr>
            </w:pPr>
            <w:r>
              <w:rPr>
                <w:rFonts w:ascii="Arial" w:cs="Arial" w:eastAsia="Arial" w:hAnsi="Arial"/>
                <w:sz w:val="16"/>
                <w:szCs w:val="16"/>
                <w:color w:val="auto"/>
              </w:rPr>
              <w:t>3.8</w:t>
            </w:r>
          </w:p>
        </w:tc>
        <w:tc>
          <w:tcPr>
            <w:tcW w:w="2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60" w:type="dxa"/>
            <w:vAlign w:val="bottom"/>
          </w:tcPr>
          <w:p>
            <w:pPr>
              <w:ind w:left="300"/>
              <w:spacing w:after="0"/>
              <w:rPr>
                <w:sz w:val="20"/>
                <w:szCs w:val="20"/>
                <w:color w:val="auto"/>
              </w:rPr>
            </w:pPr>
            <w:r>
              <w:rPr>
                <w:rFonts w:ascii="Arial" w:cs="Arial" w:eastAsia="Arial" w:hAnsi="Arial"/>
                <w:sz w:val="16"/>
                <w:szCs w:val="16"/>
                <w:color w:val="auto"/>
              </w:rPr>
              <w:t>Certain tax adjustments (I)</w:t>
            </w: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47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760" w:type="dxa"/>
            <w:vAlign w:val="bottom"/>
          </w:tcPr>
          <w:p>
            <w:pPr>
              <w:ind w:left="80"/>
              <w:spacing w:after="0"/>
              <w:rPr>
                <w:sz w:val="20"/>
                <w:szCs w:val="20"/>
                <w:color w:val="auto"/>
              </w:rPr>
            </w:pPr>
            <w:r>
              <w:rPr>
                <w:rFonts w:ascii="Arial" w:cs="Arial" w:eastAsia="Arial" w:hAnsi="Arial"/>
                <w:sz w:val="16"/>
                <w:szCs w:val="16"/>
                <w:color w:val="auto"/>
              </w:rPr>
              <w:t>Adjusted financial measures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321.4</w:t>
            </w: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$214.0</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$70.3</w:t>
            </w:r>
          </w:p>
        </w:tc>
        <w:tc>
          <w:tcPr>
            <w:tcW w:w="1100" w:type="dxa"/>
            <w:vAlign w:val="bottom"/>
          </w:tcPr>
          <w:p>
            <w:pPr>
              <w:jc w:val="right"/>
              <w:spacing w:after="0"/>
              <w:rPr>
                <w:sz w:val="20"/>
                <w:szCs w:val="20"/>
                <w:color w:val="auto"/>
              </w:rPr>
            </w:pPr>
            <w:r>
              <w:rPr>
                <w:rFonts w:ascii="Arial" w:cs="Arial" w:eastAsia="Arial" w:hAnsi="Arial"/>
                <w:sz w:val="16"/>
                <w:szCs w:val="16"/>
                <w:color w:val="auto"/>
              </w:rPr>
              <w:t>$48.8</w:t>
            </w:r>
          </w:p>
        </w:tc>
        <w:tc>
          <w:tcPr>
            <w:tcW w:w="2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Adjusted financial measures</w:t>
      </w:r>
    </w:p>
    <w:p>
      <w:pPr>
        <w:spacing w:after="0" w:line="109" w:lineRule="exact"/>
        <w:rPr>
          <w:sz w:val="20"/>
          <w:szCs w:val="20"/>
          <w:color w:val="auto"/>
        </w:rPr>
      </w:pPr>
    </w:p>
    <w:p>
      <w:pPr>
        <w:ind w:left="420" w:hanging="331"/>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w:t>
      </w:r>
    </w:p>
    <w:p>
      <w:pPr>
        <w:spacing w:after="0" w:line="82" w:lineRule="exact"/>
        <w:rPr>
          <w:rFonts w:ascii="Arial" w:cs="Arial" w:eastAsia="Arial" w:hAnsi="Arial"/>
          <w:sz w:val="14"/>
          <w:szCs w:val="14"/>
          <w:color w:val="auto"/>
        </w:rPr>
      </w:pPr>
    </w:p>
    <w:p>
      <w:pPr>
        <w:ind w:left="420" w:hanging="331"/>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Restructuring expenses related to recent organizational changes</w:t>
      </w:r>
    </w:p>
    <w:p>
      <w:pPr>
        <w:spacing w:after="0" w:line="82" w:lineRule="exact"/>
        <w:rPr>
          <w:rFonts w:ascii="Arial" w:cs="Arial" w:eastAsia="Arial" w:hAnsi="Arial"/>
          <w:sz w:val="14"/>
          <w:szCs w:val="14"/>
          <w:color w:val="auto"/>
        </w:rPr>
      </w:pPr>
    </w:p>
    <w:p>
      <w:pPr>
        <w:ind w:left="420" w:hanging="331"/>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final purchase price accounting</w:t>
      </w:r>
    </w:p>
    <w:p>
      <w:pPr>
        <w:spacing w:after="0" w:line="82" w:lineRule="exact"/>
        <w:rPr>
          <w:rFonts w:ascii="Arial" w:cs="Arial" w:eastAsia="Arial" w:hAnsi="Arial"/>
          <w:sz w:val="14"/>
          <w:szCs w:val="14"/>
          <w:color w:val="auto"/>
        </w:rPr>
      </w:pPr>
    </w:p>
    <w:p>
      <w:pPr>
        <w:ind w:left="420" w:hanging="331"/>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82" w:lineRule="exact"/>
        <w:rPr>
          <w:rFonts w:ascii="Arial" w:cs="Arial" w:eastAsia="Arial" w:hAnsi="Arial"/>
          <w:sz w:val="14"/>
          <w:szCs w:val="14"/>
          <w:color w:val="auto"/>
        </w:rPr>
      </w:pPr>
    </w:p>
    <w:p>
      <w:pPr>
        <w:ind w:left="420" w:hanging="331"/>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Impact of Caisson related acquisition costs, including $10.9m related to R&amp;D and $1.0m related to merger and integration costs</w:t>
      </w:r>
    </w:p>
    <w:p>
      <w:pPr>
        <w:spacing w:after="0" w:line="82" w:lineRule="exact"/>
        <w:rPr>
          <w:rFonts w:ascii="Arial" w:cs="Arial" w:eastAsia="Arial" w:hAnsi="Arial"/>
          <w:sz w:val="14"/>
          <w:szCs w:val="14"/>
          <w:color w:val="auto"/>
        </w:rPr>
      </w:pPr>
    </w:p>
    <w:p>
      <w:pPr>
        <w:ind w:left="420" w:hanging="331"/>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Impairment of investments and net receivables</w:t>
      </w:r>
    </w:p>
    <w:p>
      <w:pPr>
        <w:spacing w:after="0" w:line="82" w:lineRule="exact"/>
        <w:rPr>
          <w:rFonts w:ascii="Arial" w:cs="Arial" w:eastAsia="Arial" w:hAnsi="Arial"/>
          <w:sz w:val="14"/>
          <w:szCs w:val="14"/>
          <w:color w:val="auto"/>
        </w:rPr>
      </w:pPr>
    </w:p>
    <w:p>
      <w:pPr>
        <w:ind w:left="420" w:hanging="331"/>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Legal expense related to 3T Heater-Cooler defense and other matters</w:t>
      </w:r>
    </w:p>
    <w:p>
      <w:pPr>
        <w:spacing w:after="0" w:line="82" w:lineRule="exact"/>
        <w:rPr>
          <w:rFonts w:ascii="Arial" w:cs="Arial" w:eastAsia="Arial" w:hAnsi="Arial"/>
          <w:sz w:val="14"/>
          <w:szCs w:val="14"/>
          <w:color w:val="auto"/>
        </w:rPr>
      </w:pPr>
    </w:p>
    <w:p>
      <w:pPr>
        <w:ind w:left="420" w:hanging="331"/>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$4.4m related to SG&amp;A, $0.3m related to R&amp;D, and less than $0.1m related to COGS</w:t>
      </w:r>
    </w:p>
    <w:p>
      <w:pPr>
        <w:spacing w:after="0" w:line="82" w:lineRule="exact"/>
        <w:rPr>
          <w:rFonts w:ascii="Arial" w:cs="Arial" w:eastAsia="Arial" w:hAnsi="Arial"/>
          <w:sz w:val="14"/>
          <w:szCs w:val="14"/>
          <w:color w:val="auto"/>
        </w:rPr>
      </w:pPr>
    </w:p>
    <w:p>
      <w:pPr>
        <w:ind w:left="420" w:hanging="331"/>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Primarily relates to discrete tax items and the tax impact of intercompany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b w:val="1"/>
                <w:bCs w:val="1"/>
                <w:color w:val="auto"/>
              </w:rPr>
              <w:t>Income from</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60" w:type="dxa"/>
            <w:vAlign w:val="bottom"/>
          </w:tcPr>
          <w:p>
            <w:pPr>
              <w:ind w:left="80"/>
              <w:spacing w:after="0"/>
              <w:rPr>
                <w:sz w:val="20"/>
                <w:szCs w:val="20"/>
                <w:color w:val="auto"/>
              </w:rPr>
            </w:pPr>
            <w:r>
              <w:rPr>
                <w:rFonts w:ascii="Arial" w:cs="Arial" w:eastAsia="Arial" w:hAnsi="Arial"/>
                <w:sz w:val="16"/>
                <w:szCs w:val="16"/>
                <w:b w:val="1"/>
                <w:bCs w:val="1"/>
                <w:color w:val="auto"/>
              </w:rPr>
              <w:t>Three Months Ended June 30, 2016</w:t>
            </w:r>
          </w:p>
        </w:tc>
        <w:tc>
          <w:tcPr>
            <w:tcW w:w="1380" w:type="dxa"/>
            <w:vAlign w:val="bottom"/>
          </w:tcPr>
          <w:p>
            <w:pPr>
              <w:jc w:val="right"/>
              <w:ind w:right="359"/>
              <w:spacing w:after="0"/>
              <w:rPr>
                <w:sz w:val="20"/>
                <w:szCs w:val="20"/>
                <w:color w:val="auto"/>
              </w:rPr>
            </w:pPr>
            <w:r>
              <w:rPr>
                <w:rFonts w:ascii="Arial" w:cs="Arial" w:eastAsia="Arial" w:hAnsi="Arial"/>
                <w:sz w:val="16"/>
                <w:szCs w:val="16"/>
                <w:b w:val="1"/>
                <w:bCs w:val="1"/>
                <w:color w:val="auto"/>
              </w:rPr>
              <w:t>Sales</w:t>
            </w:r>
          </w:p>
        </w:tc>
        <w:tc>
          <w:tcPr>
            <w:tcW w:w="1360" w:type="dxa"/>
            <w:vAlign w:val="bottom"/>
          </w:tcPr>
          <w:p>
            <w:pPr>
              <w:jc w:val="right"/>
              <w:ind w:right="99"/>
              <w:spacing w:after="0"/>
              <w:rPr>
                <w:sz w:val="20"/>
                <w:szCs w:val="20"/>
                <w:color w:val="auto"/>
              </w:rPr>
            </w:pPr>
            <w:r>
              <w:rPr>
                <w:rFonts w:ascii="Arial" w:cs="Arial" w:eastAsia="Arial" w:hAnsi="Arial"/>
                <w:sz w:val="16"/>
                <w:szCs w:val="16"/>
                <w:b w:val="1"/>
                <w:bCs w:val="1"/>
                <w:color w:val="auto"/>
              </w:rPr>
              <w:t>Gross Profit</w:t>
            </w:r>
          </w:p>
        </w:tc>
        <w:tc>
          <w:tcPr>
            <w:tcW w:w="1320" w:type="dxa"/>
            <w:vAlign w:val="bottom"/>
          </w:tcPr>
          <w:p>
            <w:pPr>
              <w:jc w:val="right"/>
              <w:ind w:right="159"/>
              <w:spacing w:after="0"/>
              <w:rPr>
                <w:sz w:val="20"/>
                <w:szCs w:val="20"/>
                <w:color w:val="auto"/>
              </w:rPr>
            </w:pPr>
            <w:r>
              <w:rPr>
                <w:rFonts w:ascii="Arial" w:cs="Arial" w:eastAsia="Arial" w:hAnsi="Arial"/>
                <w:sz w:val="16"/>
                <w:szCs w:val="16"/>
                <w:b w:val="1"/>
                <w:bCs w:val="1"/>
                <w:color w:val="auto"/>
              </w:rPr>
              <w:t>Operations</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Diluted EPS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7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760" w:type="dxa"/>
            <w:vAlign w:val="bottom"/>
          </w:tcPr>
          <w:p>
            <w:pPr>
              <w:ind w:left="80"/>
              <w:spacing w:after="0"/>
              <w:rPr>
                <w:sz w:val="20"/>
                <w:szCs w:val="20"/>
                <w:color w:val="auto"/>
              </w:rPr>
            </w:pPr>
            <w:r>
              <w:rPr>
                <w:rFonts w:ascii="Arial" w:cs="Arial" w:eastAsia="Arial" w:hAnsi="Arial"/>
                <w:sz w:val="16"/>
                <w:szCs w:val="16"/>
                <w:color w:val="auto"/>
              </w:rPr>
              <w:t>GAAP Financial Measures</w:t>
            </w:r>
          </w:p>
        </w:tc>
        <w:tc>
          <w:tcPr>
            <w:tcW w:w="1380" w:type="dxa"/>
            <w:vAlign w:val="bottom"/>
          </w:tcPr>
          <w:p>
            <w:pPr>
              <w:jc w:val="right"/>
              <w:ind w:right="159"/>
              <w:spacing w:after="0"/>
              <w:rPr>
                <w:sz w:val="20"/>
                <w:szCs w:val="20"/>
                <w:color w:val="auto"/>
              </w:rPr>
            </w:pPr>
            <w:r>
              <w:rPr>
                <w:rFonts w:ascii="Arial" w:cs="Arial" w:eastAsia="Arial" w:hAnsi="Arial"/>
                <w:sz w:val="16"/>
                <w:szCs w:val="16"/>
                <w:color w:val="auto"/>
              </w:rPr>
              <w:t>$321.0</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$189.6</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$21.9</w:t>
            </w:r>
          </w:p>
        </w:tc>
        <w:tc>
          <w:tcPr>
            <w:tcW w:w="1100" w:type="dxa"/>
            <w:vAlign w:val="bottom"/>
          </w:tcPr>
          <w:p>
            <w:pPr>
              <w:jc w:val="right"/>
              <w:spacing w:after="0"/>
              <w:rPr>
                <w:sz w:val="20"/>
                <w:szCs w:val="20"/>
                <w:color w:val="auto"/>
              </w:rPr>
            </w:pPr>
            <w:r>
              <w:rPr>
                <w:rFonts w:ascii="Arial" w:cs="Arial" w:eastAsia="Arial" w:hAnsi="Arial"/>
                <w:sz w:val="16"/>
                <w:szCs w:val="16"/>
                <w:color w:val="auto"/>
              </w:rPr>
              <w:t>$9.0</w:t>
            </w:r>
          </w:p>
        </w:tc>
        <w:tc>
          <w:tcPr>
            <w:tcW w:w="26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760" w:type="dxa"/>
            <w:vAlign w:val="bottom"/>
            <w:vMerge w:val="restart"/>
          </w:tcPr>
          <w:p>
            <w:pPr>
              <w:ind w:left="80"/>
              <w:spacing w:after="0"/>
              <w:rPr>
                <w:sz w:val="20"/>
                <w:szCs w:val="20"/>
                <w:color w:val="auto"/>
              </w:rPr>
            </w:pPr>
            <w:r>
              <w:rPr>
                <w:rFonts w:ascii="Arial" w:cs="Arial" w:eastAsia="Arial" w:hAnsi="Arial"/>
                <w:sz w:val="16"/>
                <w:szCs w:val="16"/>
                <w:color w:val="auto"/>
              </w:rPr>
              <w:t>Specified Items</w:t>
            </w:r>
          </w:p>
        </w:tc>
        <w:tc>
          <w:tcPr>
            <w:tcW w:w="13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76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60" w:type="dxa"/>
            <w:vAlign w:val="bottom"/>
          </w:tcPr>
          <w:p>
            <w:pPr>
              <w:ind w:left="300"/>
              <w:spacing w:after="0"/>
              <w:rPr>
                <w:sz w:val="20"/>
                <w:szCs w:val="20"/>
                <w:color w:val="auto"/>
              </w:rPr>
            </w:pPr>
            <w:r>
              <w:rPr>
                <w:rFonts w:ascii="Arial" w:cs="Arial" w:eastAsia="Arial" w:hAnsi="Arial"/>
                <w:sz w:val="16"/>
                <w:szCs w:val="16"/>
                <w:color w:val="auto"/>
              </w:rPr>
              <w:t>Merger and integration expenses (A)</w:t>
            </w:r>
          </w:p>
        </w:tc>
        <w:tc>
          <w:tcPr>
            <w:tcW w:w="13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6.2</w:t>
            </w:r>
          </w:p>
        </w:tc>
        <w:tc>
          <w:tcPr>
            <w:tcW w:w="1100" w:type="dxa"/>
            <w:vAlign w:val="bottom"/>
          </w:tcPr>
          <w:p>
            <w:pPr>
              <w:jc w:val="right"/>
              <w:spacing w:after="0"/>
              <w:rPr>
                <w:sz w:val="20"/>
                <w:szCs w:val="20"/>
                <w:color w:val="auto"/>
              </w:rPr>
            </w:pPr>
            <w:r>
              <w:rPr>
                <w:rFonts w:ascii="Arial" w:cs="Arial" w:eastAsia="Arial" w:hAnsi="Arial"/>
                <w:sz w:val="16"/>
                <w:szCs w:val="16"/>
                <w:color w:val="auto"/>
              </w:rPr>
              <w:t>5.2</w:t>
            </w:r>
          </w:p>
        </w:tc>
        <w:tc>
          <w:tcPr>
            <w:tcW w:w="2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60" w:type="dxa"/>
            <w:vAlign w:val="bottom"/>
          </w:tcPr>
          <w:p>
            <w:pPr>
              <w:ind w:left="300"/>
              <w:spacing w:after="0"/>
              <w:rPr>
                <w:sz w:val="20"/>
                <w:szCs w:val="20"/>
                <w:color w:val="auto"/>
              </w:rPr>
            </w:pPr>
            <w:r>
              <w:rPr>
                <w:rFonts w:ascii="Arial" w:cs="Arial" w:eastAsia="Arial" w:hAnsi="Arial"/>
                <w:sz w:val="16"/>
                <w:szCs w:val="16"/>
                <w:color w:val="auto"/>
              </w:rPr>
              <w:t>Restructuring expenses (B)</w:t>
            </w:r>
          </w:p>
        </w:tc>
        <w:tc>
          <w:tcPr>
            <w:tcW w:w="13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4.2</w:t>
            </w:r>
          </w:p>
        </w:tc>
        <w:tc>
          <w:tcPr>
            <w:tcW w:w="1100" w:type="dxa"/>
            <w:vAlign w:val="bottom"/>
          </w:tcPr>
          <w:p>
            <w:pPr>
              <w:jc w:val="right"/>
              <w:spacing w:after="0"/>
              <w:rPr>
                <w:sz w:val="20"/>
                <w:szCs w:val="20"/>
                <w:color w:val="auto"/>
              </w:rPr>
            </w:pPr>
            <w:r>
              <w:rPr>
                <w:rFonts w:ascii="Arial" w:cs="Arial" w:eastAsia="Arial" w:hAnsi="Arial"/>
                <w:sz w:val="16"/>
                <w:szCs w:val="16"/>
                <w:color w:val="auto"/>
              </w:rPr>
              <w:t>3.7</w:t>
            </w:r>
          </w:p>
        </w:tc>
        <w:tc>
          <w:tcPr>
            <w:tcW w:w="2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60" w:type="dxa"/>
            <w:vAlign w:val="bottom"/>
          </w:tcPr>
          <w:p>
            <w:pPr>
              <w:ind w:left="300"/>
              <w:spacing w:after="0"/>
              <w:rPr>
                <w:sz w:val="20"/>
                <w:szCs w:val="20"/>
                <w:color w:val="auto"/>
              </w:rPr>
            </w:pPr>
            <w:r>
              <w:rPr>
                <w:rFonts w:ascii="Arial" w:cs="Arial" w:eastAsia="Arial" w:hAnsi="Arial"/>
                <w:sz w:val="16"/>
                <w:szCs w:val="16"/>
                <w:color w:val="auto"/>
              </w:rPr>
              <w:t>Depreciation and amortization (C)</w:t>
            </w:r>
          </w:p>
        </w:tc>
        <w:tc>
          <w:tcPr>
            <w:tcW w:w="1380" w:type="dxa"/>
            <w:vAlign w:val="bottom"/>
          </w:tcPr>
          <w:p>
            <w:pPr>
              <w:spacing w:after="0"/>
              <w:rPr>
                <w:sz w:val="23"/>
                <w:szCs w:val="23"/>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4.6</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10.9</w:t>
            </w:r>
          </w:p>
        </w:tc>
        <w:tc>
          <w:tcPr>
            <w:tcW w:w="1100" w:type="dxa"/>
            <w:vAlign w:val="bottom"/>
          </w:tcPr>
          <w:p>
            <w:pPr>
              <w:jc w:val="right"/>
              <w:spacing w:after="0"/>
              <w:rPr>
                <w:sz w:val="20"/>
                <w:szCs w:val="20"/>
                <w:color w:val="auto"/>
              </w:rPr>
            </w:pPr>
            <w:r>
              <w:rPr>
                <w:rFonts w:ascii="Arial" w:cs="Arial" w:eastAsia="Arial" w:hAnsi="Arial"/>
                <w:sz w:val="16"/>
                <w:szCs w:val="16"/>
                <w:color w:val="auto"/>
              </w:rPr>
              <w:t>8.7</w:t>
            </w:r>
          </w:p>
        </w:tc>
        <w:tc>
          <w:tcPr>
            <w:tcW w:w="2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0.18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60" w:type="dxa"/>
            <w:vAlign w:val="bottom"/>
          </w:tcPr>
          <w:p>
            <w:pPr>
              <w:ind w:left="300"/>
              <w:spacing w:after="0"/>
              <w:rPr>
                <w:sz w:val="20"/>
                <w:szCs w:val="20"/>
                <w:color w:val="auto"/>
              </w:rPr>
            </w:pPr>
            <w:r>
              <w:rPr>
                <w:rFonts w:ascii="Arial" w:cs="Arial" w:eastAsia="Arial" w:hAnsi="Arial"/>
                <w:sz w:val="16"/>
                <w:szCs w:val="16"/>
                <w:color w:val="auto"/>
              </w:rPr>
              <w:t>Product remediation (D)</w:t>
            </w:r>
          </w:p>
        </w:tc>
        <w:tc>
          <w:tcPr>
            <w:tcW w:w="1380" w:type="dxa"/>
            <w:vAlign w:val="bottom"/>
          </w:tcPr>
          <w:p>
            <w:pPr>
              <w:spacing w:after="0"/>
              <w:rPr>
                <w:sz w:val="23"/>
                <w:szCs w:val="23"/>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0.8</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0.8</w:t>
            </w:r>
          </w:p>
        </w:tc>
        <w:tc>
          <w:tcPr>
            <w:tcW w:w="1100" w:type="dxa"/>
            <w:vAlign w:val="bottom"/>
          </w:tcPr>
          <w:p>
            <w:pPr>
              <w:jc w:val="right"/>
              <w:spacing w:after="0"/>
              <w:rPr>
                <w:sz w:val="20"/>
                <w:szCs w:val="20"/>
                <w:color w:val="auto"/>
              </w:rPr>
            </w:pPr>
            <w:r>
              <w:rPr>
                <w:rFonts w:ascii="Arial" w:cs="Arial" w:eastAsia="Arial" w:hAnsi="Arial"/>
                <w:sz w:val="16"/>
                <w:szCs w:val="16"/>
                <w:color w:val="auto"/>
              </w:rPr>
              <w:t>0.6</w:t>
            </w:r>
          </w:p>
        </w:tc>
        <w:tc>
          <w:tcPr>
            <w:tcW w:w="2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60" w:type="dxa"/>
            <w:vAlign w:val="bottom"/>
          </w:tcPr>
          <w:p>
            <w:pPr>
              <w:ind w:left="300"/>
              <w:spacing w:after="0"/>
              <w:rPr>
                <w:sz w:val="20"/>
                <w:szCs w:val="20"/>
                <w:color w:val="auto"/>
              </w:rPr>
            </w:pPr>
            <w:r>
              <w:rPr>
                <w:rFonts w:ascii="Arial" w:cs="Arial" w:eastAsia="Arial" w:hAnsi="Arial"/>
                <w:sz w:val="16"/>
                <w:szCs w:val="16"/>
                <w:color w:val="auto"/>
              </w:rPr>
              <w:t>Other Income / (expenses) &amp; litigations (E)</w:t>
            </w:r>
          </w:p>
        </w:tc>
        <w:tc>
          <w:tcPr>
            <w:tcW w:w="13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0.7</w:t>
            </w:r>
          </w:p>
        </w:tc>
        <w:tc>
          <w:tcPr>
            <w:tcW w:w="1100" w:type="dxa"/>
            <w:vAlign w:val="bottom"/>
          </w:tcPr>
          <w:p>
            <w:pPr>
              <w:jc w:val="right"/>
              <w:spacing w:after="0"/>
              <w:rPr>
                <w:sz w:val="20"/>
                <w:szCs w:val="20"/>
                <w:color w:val="auto"/>
              </w:rPr>
            </w:pPr>
            <w:r>
              <w:rPr>
                <w:rFonts w:ascii="Arial" w:cs="Arial" w:eastAsia="Arial" w:hAnsi="Arial"/>
                <w:sz w:val="16"/>
                <w:szCs w:val="16"/>
                <w:color w:val="auto"/>
              </w:rPr>
              <w:t>(0.8</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(0.02</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760" w:type="dxa"/>
            <w:vAlign w:val="bottom"/>
          </w:tcPr>
          <w:p>
            <w:pPr>
              <w:ind w:left="300"/>
              <w:spacing w:after="0"/>
              <w:rPr>
                <w:sz w:val="20"/>
                <w:szCs w:val="20"/>
                <w:color w:val="auto"/>
              </w:rPr>
            </w:pPr>
            <w:r>
              <w:rPr>
                <w:rFonts w:ascii="Arial" w:cs="Arial" w:eastAsia="Arial" w:hAnsi="Arial"/>
                <w:sz w:val="16"/>
                <w:szCs w:val="16"/>
                <w:color w:val="auto"/>
              </w:rPr>
              <w:t>Impact of inventory step-up (F)</w:t>
            </w:r>
          </w:p>
        </w:tc>
        <w:tc>
          <w:tcPr>
            <w:tcW w:w="1380" w:type="dxa"/>
            <w:vAlign w:val="bottom"/>
          </w:tcPr>
          <w:p>
            <w:pPr>
              <w:spacing w:after="0"/>
              <w:rPr>
                <w:sz w:val="23"/>
                <w:szCs w:val="23"/>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13.7</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13.7</w:t>
            </w:r>
          </w:p>
        </w:tc>
        <w:tc>
          <w:tcPr>
            <w:tcW w:w="1100" w:type="dxa"/>
            <w:vAlign w:val="bottom"/>
          </w:tcPr>
          <w:p>
            <w:pPr>
              <w:jc w:val="right"/>
              <w:spacing w:after="0"/>
              <w:rPr>
                <w:sz w:val="20"/>
                <w:szCs w:val="20"/>
                <w:color w:val="auto"/>
              </w:rPr>
            </w:pPr>
            <w:r>
              <w:rPr>
                <w:rFonts w:ascii="Arial" w:cs="Arial" w:eastAsia="Arial" w:hAnsi="Arial"/>
                <w:sz w:val="16"/>
                <w:szCs w:val="16"/>
                <w:color w:val="auto"/>
              </w:rPr>
              <w:t>9.4</w:t>
            </w:r>
          </w:p>
        </w:tc>
        <w:tc>
          <w:tcPr>
            <w:tcW w:w="2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60" w:type="dxa"/>
            <w:vAlign w:val="bottom"/>
          </w:tcPr>
          <w:p>
            <w:pPr>
              <w:ind w:left="300"/>
              <w:spacing w:after="0"/>
              <w:rPr>
                <w:sz w:val="20"/>
                <w:szCs w:val="20"/>
                <w:color w:val="auto"/>
              </w:rPr>
            </w:pPr>
            <w:r>
              <w:rPr>
                <w:rFonts w:ascii="Arial" w:cs="Arial" w:eastAsia="Arial" w:hAnsi="Arial"/>
                <w:sz w:val="16"/>
                <w:szCs w:val="16"/>
                <w:color w:val="auto"/>
              </w:rPr>
              <w:t>Equity compensation (G)</w:t>
            </w:r>
          </w:p>
        </w:tc>
        <w:tc>
          <w:tcPr>
            <w:tcW w:w="1380" w:type="dxa"/>
            <w:vAlign w:val="bottom"/>
          </w:tcPr>
          <w:p>
            <w:pPr>
              <w:spacing w:after="0"/>
              <w:rPr>
                <w:sz w:val="23"/>
                <w:szCs w:val="23"/>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0.3</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4.2</w:t>
            </w:r>
          </w:p>
        </w:tc>
        <w:tc>
          <w:tcPr>
            <w:tcW w:w="1100" w:type="dxa"/>
            <w:vAlign w:val="bottom"/>
          </w:tcPr>
          <w:p>
            <w:pPr>
              <w:jc w:val="right"/>
              <w:spacing w:after="0"/>
              <w:rPr>
                <w:sz w:val="20"/>
                <w:szCs w:val="20"/>
                <w:color w:val="auto"/>
              </w:rPr>
            </w:pPr>
            <w:r>
              <w:rPr>
                <w:rFonts w:ascii="Arial" w:cs="Arial" w:eastAsia="Arial" w:hAnsi="Arial"/>
                <w:sz w:val="16"/>
                <w:szCs w:val="16"/>
                <w:color w:val="auto"/>
              </w:rPr>
              <w:t>3.5</w:t>
            </w:r>
          </w:p>
        </w:tc>
        <w:tc>
          <w:tcPr>
            <w:tcW w:w="2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60" w:type="dxa"/>
            <w:vAlign w:val="bottom"/>
          </w:tcPr>
          <w:p>
            <w:pPr>
              <w:ind w:left="300"/>
              <w:spacing w:after="0"/>
              <w:rPr>
                <w:sz w:val="20"/>
                <w:szCs w:val="20"/>
                <w:color w:val="auto"/>
              </w:rPr>
            </w:pPr>
            <w:r>
              <w:rPr>
                <w:rFonts w:ascii="Arial" w:cs="Arial" w:eastAsia="Arial" w:hAnsi="Arial"/>
                <w:sz w:val="16"/>
                <w:szCs w:val="16"/>
                <w:color w:val="auto"/>
              </w:rPr>
              <w:t>Certain tax adjustments (H)</w:t>
            </w:r>
          </w:p>
        </w:tc>
        <w:tc>
          <w:tcPr>
            <w:tcW w:w="13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w:t>
            </w:r>
          </w:p>
        </w:tc>
        <w:tc>
          <w:tcPr>
            <w:tcW w:w="2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476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760" w:type="dxa"/>
            <w:vAlign w:val="bottom"/>
          </w:tcPr>
          <w:p>
            <w:pPr>
              <w:ind w:left="80"/>
              <w:spacing w:after="0"/>
              <w:rPr>
                <w:sz w:val="20"/>
                <w:szCs w:val="20"/>
                <w:color w:val="auto"/>
              </w:rPr>
            </w:pPr>
            <w:r>
              <w:rPr>
                <w:rFonts w:ascii="Arial" w:cs="Arial" w:eastAsia="Arial" w:hAnsi="Arial"/>
                <w:sz w:val="16"/>
                <w:szCs w:val="16"/>
                <w:color w:val="auto"/>
              </w:rPr>
              <w:t>Adjusted financial measures</w:t>
            </w:r>
          </w:p>
        </w:tc>
        <w:tc>
          <w:tcPr>
            <w:tcW w:w="1380" w:type="dxa"/>
            <w:vAlign w:val="bottom"/>
          </w:tcPr>
          <w:p>
            <w:pPr>
              <w:jc w:val="right"/>
              <w:ind w:right="159"/>
              <w:spacing w:after="0"/>
              <w:rPr>
                <w:sz w:val="20"/>
                <w:szCs w:val="20"/>
                <w:color w:val="auto"/>
              </w:rPr>
            </w:pPr>
            <w:r>
              <w:rPr>
                <w:rFonts w:ascii="Arial" w:cs="Arial" w:eastAsia="Arial" w:hAnsi="Arial"/>
                <w:sz w:val="16"/>
                <w:szCs w:val="16"/>
                <w:color w:val="auto"/>
              </w:rPr>
              <w:t>$321.0</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$209.0</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$62.8</w:t>
            </w:r>
          </w:p>
        </w:tc>
        <w:tc>
          <w:tcPr>
            <w:tcW w:w="1100" w:type="dxa"/>
            <w:vAlign w:val="bottom"/>
          </w:tcPr>
          <w:p>
            <w:pPr>
              <w:jc w:val="right"/>
              <w:spacing w:after="0"/>
              <w:rPr>
                <w:sz w:val="20"/>
                <w:szCs w:val="20"/>
                <w:color w:val="auto"/>
              </w:rPr>
            </w:pPr>
            <w:r>
              <w:rPr>
                <w:rFonts w:ascii="Arial" w:cs="Arial" w:eastAsia="Arial" w:hAnsi="Arial"/>
                <w:sz w:val="16"/>
                <w:szCs w:val="16"/>
                <w:color w:val="auto"/>
              </w:rPr>
              <w:t>$43.0</w:t>
            </w:r>
          </w:p>
        </w:tc>
        <w:tc>
          <w:tcPr>
            <w:tcW w:w="2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GAAP results for the three months ended June 30, 2016 include:</w:t>
      </w:r>
    </w:p>
    <w:p>
      <w:pPr>
        <w:spacing w:after="0" w:line="109" w:lineRule="exact"/>
        <w:rPr>
          <w:sz w:val="20"/>
          <w:szCs w:val="20"/>
          <w:color w:val="auto"/>
        </w:rPr>
      </w:pPr>
    </w:p>
    <w:p>
      <w:pPr>
        <w:ind w:left="420" w:hanging="331"/>
        <w:spacing w:after="0"/>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w:t>
      </w:r>
    </w:p>
    <w:p>
      <w:pPr>
        <w:spacing w:after="0" w:line="82" w:lineRule="exact"/>
        <w:rPr>
          <w:rFonts w:ascii="Arial" w:cs="Arial" w:eastAsia="Arial" w:hAnsi="Arial"/>
          <w:sz w:val="14"/>
          <w:szCs w:val="14"/>
          <w:color w:val="auto"/>
        </w:rPr>
      </w:pPr>
    </w:p>
    <w:p>
      <w:pPr>
        <w:ind w:left="420" w:hanging="331"/>
        <w:spacing w:after="0"/>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Restructuring expenses related to our legacy companies</w:t>
      </w:r>
    </w:p>
    <w:p>
      <w:pPr>
        <w:spacing w:after="0" w:line="82" w:lineRule="exact"/>
        <w:rPr>
          <w:rFonts w:ascii="Arial" w:cs="Arial" w:eastAsia="Arial" w:hAnsi="Arial"/>
          <w:sz w:val="14"/>
          <w:szCs w:val="14"/>
          <w:color w:val="auto"/>
        </w:rPr>
      </w:pPr>
    </w:p>
    <w:p>
      <w:pPr>
        <w:ind w:left="420" w:hanging="331"/>
        <w:spacing w:after="0"/>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final purchase price accounting</w:t>
      </w:r>
    </w:p>
    <w:p>
      <w:pPr>
        <w:spacing w:after="0" w:line="82" w:lineRule="exact"/>
        <w:rPr>
          <w:rFonts w:ascii="Arial" w:cs="Arial" w:eastAsia="Arial" w:hAnsi="Arial"/>
          <w:sz w:val="14"/>
          <w:szCs w:val="14"/>
          <w:color w:val="auto"/>
        </w:rPr>
      </w:pPr>
    </w:p>
    <w:p>
      <w:pPr>
        <w:ind w:left="420" w:hanging="331"/>
        <w:spacing w:after="0"/>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82" w:lineRule="exact"/>
        <w:rPr>
          <w:rFonts w:ascii="Arial" w:cs="Arial" w:eastAsia="Arial" w:hAnsi="Arial"/>
          <w:sz w:val="14"/>
          <w:szCs w:val="14"/>
          <w:color w:val="auto"/>
        </w:rPr>
      </w:pPr>
    </w:p>
    <w:p>
      <w:pPr>
        <w:ind w:left="420" w:right="140" w:hanging="331"/>
        <w:spacing w:after="0" w:line="258" w:lineRule="auto"/>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a $4.7m reimbursement of damages related to 2012 earthquake in Mirandola (Italy), a $ 5.0 million write-off of receivables from Greek distributors and other minor litigations</w:t>
      </w:r>
    </w:p>
    <w:p>
      <w:pPr>
        <w:spacing w:after="0" w:line="59" w:lineRule="exact"/>
        <w:rPr>
          <w:rFonts w:ascii="Arial" w:cs="Arial" w:eastAsia="Arial" w:hAnsi="Arial"/>
          <w:sz w:val="14"/>
          <w:szCs w:val="14"/>
          <w:color w:val="auto"/>
        </w:rPr>
      </w:pPr>
    </w:p>
    <w:p>
      <w:pPr>
        <w:ind w:left="420" w:hanging="331"/>
        <w:spacing w:after="0"/>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amortization of inventory step-up associated with final purchase price accounting</w:t>
      </w:r>
    </w:p>
    <w:p>
      <w:pPr>
        <w:spacing w:after="0" w:line="82" w:lineRule="exact"/>
        <w:rPr>
          <w:rFonts w:ascii="Arial" w:cs="Arial" w:eastAsia="Arial" w:hAnsi="Arial"/>
          <w:sz w:val="14"/>
          <w:szCs w:val="14"/>
          <w:color w:val="auto"/>
        </w:rPr>
      </w:pPr>
    </w:p>
    <w:p>
      <w:pPr>
        <w:ind w:left="420" w:hanging="331"/>
        <w:spacing w:after="0"/>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$3.6m related to SG&amp;A, $0.3m related to R&amp;D, and less than $0.3m related to COGS</w:t>
      </w:r>
    </w:p>
    <w:p>
      <w:pPr>
        <w:spacing w:after="0" w:line="82" w:lineRule="exact"/>
        <w:rPr>
          <w:rFonts w:ascii="Arial" w:cs="Arial" w:eastAsia="Arial" w:hAnsi="Arial"/>
          <w:sz w:val="14"/>
          <w:szCs w:val="14"/>
          <w:color w:val="auto"/>
        </w:rPr>
      </w:pPr>
    </w:p>
    <w:p>
      <w:pPr>
        <w:ind w:left="240" w:right="5560" w:hanging="151"/>
        <w:spacing w:after="0" w:line="429" w:lineRule="auto"/>
        <w:tabs>
          <w:tab w:leader="none" w:pos="418"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Primarily relates to discrete tax items and the tax impact of intercompany transactions </w:t>
      </w:r>
      <w:r>
        <w:rPr>
          <w:rFonts w:ascii="Arial" w:cs="Arial" w:eastAsia="Arial" w:hAnsi="Arial"/>
          <w:sz w:val="18"/>
          <w:szCs w:val="18"/>
          <w:color w:val="auto"/>
        </w:rPr>
        <w:t xml:space="preserve">* </w:t>
      </w:r>
      <w:r>
        <w:rPr>
          <w:rFonts w:ascii="Arial" w:cs="Arial" w:eastAsia="Arial" w:hAnsi="Arial"/>
          <w:sz w:val="14"/>
          <w:szCs w:val="14"/>
          <w:color w:val="auto"/>
        </w:rPr>
        <w:t>Numbers may not add up precisely due to rounding.</w:t>
      </w:r>
    </w:p>
    <w:p>
      <w:pPr>
        <w:sectPr>
          <w:pgSz w:w="11900" w:h="16838" w:orient="portrait"/>
          <w:cols w:equalWidth="0" w:num="1">
            <w:col w:w="11420"/>
          </w:cols>
          <w:pgMar w:left="240" w:top="743" w:right="239" w:bottom="1145"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743" w:right="239" w:bottom="1145" w:gutter="0" w:footer="0" w:header="0"/>
          <w:type w:val="continuous"/>
        </w:sectPr>
      </w:pPr>
    </w:p>
    <w:bookmarkStart w:id="16" w:name="page17"/>
    <w:bookmarkEnd w:id="16"/>
    <w:p>
      <w:pPr>
        <w:ind w:left="80" w:right="4500"/>
        <w:spacing w:after="0" w:line="392" w:lineRule="auto"/>
        <w:rPr>
          <w:sz w:val="20"/>
          <w:szCs w:val="20"/>
          <w:color w:val="auto"/>
        </w:rPr>
      </w:pPr>
      <w:r>
        <w:rPr>
          <w:rFonts w:ascii="Arial" w:cs="Arial" w:eastAsia="Arial" w:hAnsi="Arial"/>
          <w:sz w:val="16"/>
          <w:szCs w:val="16"/>
          <w:b w:val="1"/>
          <w:bCs w:val="1"/>
          <w:color w:val="auto"/>
        </w:rPr>
        <w:t>RECONCILIATION OF GAAP TO NON-GAAP FINANCIAL MEASURES - UNAUDITED (U.S.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69380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38010" cy="8890"/>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b w:val="1"/>
                <w:bCs w:val="1"/>
                <w:color w:val="auto"/>
              </w:rPr>
              <w:t>Income from</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400" w:type="dxa"/>
            <w:vAlign w:val="bottom"/>
          </w:tcPr>
          <w:p>
            <w:pPr>
              <w:ind w:left="80"/>
              <w:spacing w:after="0"/>
              <w:rPr>
                <w:sz w:val="20"/>
                <w:szCs w:val="20"/>
                <w:color w:val="auto"/>
              </w:rPr>
            </w:pPr>
            <w:r>
              <w:rPr>
                <w:rFonts w:ascii="Arial" w:cs="Arial" w:eastAsia="Arial" w:hAnsi="Arial"/>
                <w:sz w:val="16"/>
                <w:szCs w:val="16"/>
                <w:b w:val="1"/>
                <w:bCs w:val="1"/>
                <w:color w:val="auto"/>
              </w:rPr>
              <w:t>Six Months Ended June 30, 2017</w:t>
            </w:r>
          </w:p>
        </w:tc>
        <w:tc>
          <w:tcPr>
            <w:tcW w:w="134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Sales</w:t>
            </w:r>
          </w:p>
        </w:tc>
        <w:tc>
          <w:tcPr>
            <w:tcW w:w="1320" w:type="dxa"/>
            <w:vAlign w:val="bottom"/>
          </w:tcPr>
          <w:p>
            <w:pPr>
              <w:jc w:val="right"/>
              <w:ind w:right="99"/>
              <w:spacing w:after="0"/>
              <w:rPr>
                <w:sz w:val="20"/>
                <w:szCs w:val="20"/>
                <w:color w:val="auto"/>
              </w:rPr>
            </w:pPr>
            <w:r>
              <w:rPr>
                <w:rFonts w:ascii="Arial" w:cs="Arial" w:eastAsia="Arial" w:hAnsi="Arial"/>
                <w:sz w:val="16"/>
                <w:szCs w:val="16"/>
                <w:b w:val="1"/>
                <w:bCs w:val="1"/>
                <w:color w:val="auto"/>
              </w:rPr>
              <w:t>Gross Profit</w:t>
            </w:r>
          </w:p>
        </w:tc>
        <w:tc>
          <w:tcPr>
            <w:tcW w:w="1320" w:type="dxa"/>
            <w:vAlign w:val="bottom"/>
          </w:tcPr>
          <w:p>
            <w:pPr>
              <w:jc w:val="right"/>
              <w:ind w:right="159"/>
              <w:spacing w:after="0"/>
              <w:rPr>
                <w:sz w:val="20"/>
                <w:szCs w:val="20"/>
                <w:color w:val="auto"/>
              </w:rPr>
            </w:pPr>
            <w:r>
              <w:rPr>
                <w:rFonts w:ascii="Arial" w:cs="Arial" w:eastAsia="Arial" w:hAnsi="Arial"/>
                <w:sz w:val="16"/>
                <w:szCs w:val="16"/>
                <w:b w:val="1"/>
                <w:bCs w:val="1"/>
                <w:color w:val="auto"/>
              </w:rPr>
              <w:t>Operations</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Diluted EPS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400" w:type="dxa"/>
            <w:vAlign w:val="bottom"/>
          </w:tcPr>
          <w:p>
            <w:pPr>
              <w:ind w:left="80"/>
              <w:spacing w:after="0"/>
              <w:rPr>
                <w:sz w:val="20"/>
                <w:szCs w:val="20"/>
                <w:color w:val="auto"/>
              </w:rPr>
            </w:pPr>
            <w:r>
              <w:rPr>
                <w:rFonts w:ascii="Arial" w:cs="Arial" w:eastAsia="Arial" w:hAnsi="Arial"/>
                <w:sz w:val="16"/>
                <w:szCs w:val="16"/>
                <w:color w:val="auto"/>
              </w:rPr>
              <w:t>GAAP Financial Measures</w:t>
            </w:r>
          </w:p>
        </w:tc>
        <w:tc>
          <w:tcPr>
            <w:tcW w:w="70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39"/>
              <w:spacing w:after="0"/>
              <w:rPr>
                <w:sz w:val="20"/>
                <w:szCs w:val="20"/>
                <w:color w:val="auto"/>
              </w:rPr>
            </w:pPr>
            <w:r>
              <w:rPr>
                <w:rFonts w:ascii="Arial" w:cs="Arial" w:eastAsia="Arial" w:hAnsi="Arial"/>
                <w:sz w:val="16"/>
                <w:szCs w:val="16"/>
                <w:color w:val="auto"/>
                <w:w w:val="99"/>
              </w:rPr>
              <w:t>606.5</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$395.2</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$49.7</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$58.8</w:t>
            </w:r>
          </w:p>
        </w:tc>
        <w:tc>
          <w:tcPr>
            <w:tcW w:w="22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400" w:type="dxa"/>
            <w:vAlign w:val="bottom"/>
            <w:vMerge w:val="restart"/>
          </w:tcPr>
          <w:p>
            <w:pPr>
              <w:ind w:left="80"/>
              <w:spacing w:after="0"/>
              <w:rPr>
                <w:sz w:val="20"/>
                <w:szCs w:val="20"/>
                <w:color w:val="auto"/>
              </w:rPr>
            </w:pPr>
            <w:r>
              <w:rPr>
                <w:rFonts w:ascii="Arial" w:cs="Arial" w:eastAsia="Arial" w:hAnsi="Arial"/>
                <w:sz w:val="16"/>
                <w:szCs w:val="16"/>
                <w:color w:val="auto"/>
              </w:rPr>
              <w:t>Specified Items</w:t>
            </w:r>
          </w:p>
        </w:tc>
        <w:tc>
          <w:tcPr>
            <w:tcW w:w="7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40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400" w:type="dxa"/>
            <w:vAlign w:val="bottom"/>
          </w:tcPr>
          <w:p>
            <w:pPr>
              <w:ind w:left="280"/>
              <w:spacing w:after="0"/>
              <w:rPr>
                <w:sz w:val="20"/>
                <w:szCs w:val="20"/>
                <w:color w:val="auto"/>
              </w:rPr>
            </w:pPr>
            <w:r>
              <w:rPr>
                <w:rFonts w:ascii="Arial" w:cs="Arial" w:eastAsia="Arial" w:hAnsi="Arial"/>
                <w:sz w:val="16"/>
                <w:szCs w:val="16"/>
                <w:color w:val="auto"/>
              </w:rPr>
              <w:t>Merger and integration expenses (A)</w:t>
            </w: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4.8</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2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00" w:type="dxa"/>
            <w:vAlign w:val="bottom"/>
          </w:tcPr>
          <w:p>
            <w:pPr>
              <w:ind w:left="280"/>
              <w:spacing w:after="0"/>
              <w:rPr>
                <w:sz w:val="20"/>
                <w:szCs w:val="20"/>
                <w:color w:val="auto"/>
              </w:rPr>
            </w:pPr>
            <w:r>
              <w:rPr>
                <w:rFonts w:ascii="Arial" w:cs="Arial" w:eastAsia="Arial" w:hAnsi="Arial"/>
                <w:sz w:val="16"/>
                <w:szCs w:val="16"/>
                <w:color w:val="auto"/>
              </w:rPr>
              <w:t>Restructuring expenses (B)</w:t>
            </w: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11.3</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9.1</w:t>
            </w:r>
          </w:p>
        </w:tc>
        <w:tc>
          <w:tcPr>
            <w:tcW w:w="2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00" w:type="dxa"/>
            <w:vAlign w:val="bottom"/>
          </w:tcPr>
          <w:p>
            <w:pPr>
              <w:ind w:left="280"/>
              <w:spacing w:after="0"/>
              <w:rPr>
                <w:sz w:val="20"/>
                <w:szCs w:val="20"/>
                <w:color w:val="auto"/>
              </w:rPr>
            </w:pPr>
            <w:r>
              <w:rPr>
                <w:rFonts w:ascii="Arial" w:cs="Arial" w:eastAsia="Arial" w:hAnsi="Arial"/>
                <w:sz w:val="16"/>
                <w:szCs w:val="16"/>
                <w:color w:val="auto"/>
              </w:rPr>
              <w:t>Depreciations and amortization (C)</w:t>
            </w: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2.6</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26.4</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19.8</w:t>
            </w:r>
          </w:p>
        </w:tc>
        <w:tc>
          <w:tcPr>
            <w:tcW w:w="2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0.41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00" w:type="dxa"/>
            <w:vAlign w:val="bottom"/>
          </w:tcPr>
          <w:p>
            <w:pPr>
              <w:ind w:left="280"/>
              <w:spacing w:after="0"/>
              <w:rPr>
                <w:sz w:val="20"/>
                <w:szCs w:val="20"/>
                <w:color w:val="auto"/>
              </w:rPr>
            </w:pPr>
            <w:r>
              <w:rPr>
                <w:rFonts w:ascii="Arial" w:cs="Arial" w:eastAsia="Arial" w:hAnsi="Arial"/>
                <w:sz w:val="16"/>
                <w:szCs w:val="16"/>
                <w:color w:val="auto"/>
              </w:rPr>
              <w:t>Product remediation (D)</w:t>
            </w: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0.9</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0.9</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0.7</w:t>
            </w:r>
          </w:p>
        </w:tc>
        <w:tc>
          <w:tcPr>
            <w:tcW w:w="2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00" w:type="dxa"/>
            <w:vAlign w:val="bottom"/>
          </w:tcPr>
          <w:p>
            <w:pPr>
              <w:ind w:left="280"/>
              <w:spacing w:after="0"/>
              <w:rPr>
                <w:sz w:val="20"/>
                <w:szCs w:val="20"/>
                <w:color w:val="auto"/>
              </w:rPr>
            </w:pPr>
            <w:r>
              <w:rPr>
                <w:rFonts w:ascii="Arial" w:cs="Arial" w:eastAsia="Arial" w:hAnsi="Arial"/>
                <w:sz w:val="16"/>
                <w:szCs w:val="16"/>
                <w:color w:val="auto"/>
              </w:rPr>
              <w:t>Caisson acquisition (E)</w:t>
            </w: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0.2</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12.1</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(30.1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(0.62</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400" w:type="dxa"/>
            <w:vAlign w:val="bottom"/>
          </w:tcPr>
          <w:p>
            <w:pPr>
              <w:ind w:left="280"/>
              <w:spacing w:after="0"/>
              <w:rPr>
                <w:sz w:val="20"/>
                <w:szCs w:val="20"/>
                <w:color w:val="auto"/>
              </w:rPr>
            </w:pPr>
            <w:r>
              <w:rPr>
                <w:rFonts w:ascii="Arial" w:cs="Arial" w:eastAsia="Arial" w:hAnsi="Arial"/>
                <w:sz w:val="16"/>
                <w:szCs w:val="16"/>
                <w:color w:val="auto"/>
              </w:rPr>
              <w:t>Highlife impairment (F)</w:t>
            </w: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13.0</w:t>
            </w:r>
          </w:p>
        </w:tc>
        <w:tc>
          <w:tcPr>
            <w:tcW w:w="2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0.27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00" w:type="dxa"/>
            <w:vAlign w:val="bottom"/>
          </w:tcPr>
          <w:p>
            <w:pPr>
              <w:ind w:left="280"/>
              <w:spacing w:after="0"/>
              <w:rPr>
                <w:sz w:val="20"/>
                <w:szCs w:val="20"/>
                <w:color w:val="auto"/>
              </w:rPr>
            </w:pPr>
            <w:r>
              <w:rPr>
                <w:rFonts w:ascii="Arial" w:cs="Arial" w:eastAsia="Arial" w:hAnsi="Arial"/>
                <w:sz w:val="16"/>
                <w:szCs w:val="16"/>
                <w:color w:val="auto"/>
              </w:rPr>
              <w:t>Other income / (expenses) &amp; litigations (G)</w:t>
            </w: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5.5</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2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00" w:type="dxa"/>
            <w:vAlign w:val="bottom"/>
          </w:tcPr>
          <w:p>
            <w:pPr>
              <w:ind w:left="280"/>
              <w:spacing w:after="0"/>
              <w:rPr>
                <w:sz w:val="20"/>
                <w:szCs w:val="20"/>
                <w:color w:val="auto"/>
              </w:rPr>
            </w:pPr>
            <w:r>
              <w:rPr>
                <w:rFonts w:ascii="Arial" w:cs="Arial" w:eastAsia="Arial" w:hAnsi="Arial"/>
                <w:sz w:val="16"/>
                <w:szCs w:val="16"/>
                <w:color w:val="auto"/>
              </w:rPr>
              <w:t>Equity compensation (H)</w:t>
            </w: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0.1</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8.6</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7.1</w:t>
            </w:r>
          </w:p>
        </w:tc>
        <w:tc>
          <w:tcPr>
            <w:tcW w:w="2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0.15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00" w:type="dxa"/>
            <w:vAlign w:val="bottom"/>
          </w:tcPr>
          <w:p>
            <w:pPr>
              <w:ind w:left="280"/>
              <w:spacing w:after="0"/>
              <w:rPr>
                <w:sz w:val="20"/>
                <w:szCs w:val="20"/>
                <w:color w:val="auto"/>
              </w:rPr>
            </w:pPr>
            <w:r>
              <w:rPr>
                <w:rFonts w:ascii="Arial" w:cs="Arial" w:eastAsia="Arial" w:hAnsi="Arial"/>
                <w:sz w:val="16"/>
                <w:szCs w:val="16"/>
                <w:color w:val="auto"/>
              </w:rPr>
              <w:t>Certain tax adjustments (I)</w:t>
            </w: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2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44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400" w:type="dxa"/>
            <w:vAlign w:val="bottom"/>
          </w:tcPr>
          <w:p>
            <w:pPr>
              <w:ind w:left="80"/>
              <w:spacing w:after="0"/>
              <w:rPr>
                <w:sz w:val="20"/>
                <w:szCs w:val="20"/>
                <w:color w:val="auto"/>
              </w:rPr>
            </w:pPr>
            <w:r>
              <w:rPr>
                <w:rFonts w:ascii="Arial" w:cs="Arial" w:eastAsia="Arial" w:hAnsi="Arial"/>
                <w:sz w:val="16"/>
                <w:szCs w:val="16"/>
                <w:color w:val="auto"/>
              </w:rPr>
              <w:t>Adjusted financial measures</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39"/>
              <w:spacing w:after="0"/>
              <w:rPr>
                <w:sz w:val="20"/>
                <w:szCs w:val="20"/>
                <w:color w:val="auto"/>
              </w:rPr>
            </w:pPr>
            <w:r>
              <w:rPr>
                <w:rFonts w:ascii="Arial" w:cs="Arial" w:eastAsia="Arial" w:hAnsi="Arial"/>
                <w:sz w:val="16"/>
                <w:szCs w:val="16"/>
                <w:color w:val="auto"/>
                <w:w w:val="99"/>
              </w:rPr>
              <w:t>606.5</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$399.0</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$119.1</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$82.9</w:t>
            </w:r>
          </w:p>
        </w:tc>
        <w:tc>
          <w:tcPr>
            <w:tcW w:w="2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GAAP results for the six months ended June 30, 2017 include:</w:t>
      </w:r>
    </w:p>
    <w:p>
      <w:pPr>
        <w:spacing w:after="0" w:line="109" w:lineRule="exact"/>
        <w:rPr>
          <w:sz w:val="20"/>
          <w:szCs w:val="20"/>
          <w:color w:val="auto"/>
        </w:rPr>
      </w:pPr>
    </w:p>
    <w:p>
      <w:pPr>
        <w:ind w:left="520" w:hanging="448"/>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w:t>
      </w:r>
    </w:p>
    <w:p>
      <w:pPr>
        <w:spacing w:after="0" w:line="82" w:lineRule="exact"/>
        <w:rPr>
          <w:rFonts w:ascii="Arial" w:cs="Arial" w:eastAsia="Arial" w:hAnsi="Arial"/>
          <w:sz w:val="14"/>
          <w:szCs w:val="14"/>
          <w:color w:val="auto"/>
        </w:rPr>
      </w:pPr>
    </w:p>
    <w:p>
      <w:pPr>
        <w:ind w:left="520" w:hanging="448"/>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Restructuring expenses related to recent organizational changes and the shutdown of our CP plant in China</w:t>
      </w:r>
    </w:p>
    <w:p>
      <w:pPr>
        <w:spacing w:after="0" w:line="82" w:lineRule="exact"/>
        <w:rPr>
          <w:rFonts w:ascii="Arial" w:cs="Arial" w:eastAsia="Arial" w:hAnsi="Arial"/>
          <w:sz w:val="14"/>
          <w:szCs w:val="14"/>
          <w:color w:val="auto"/>
        </w:rPr>
      </w:pPr>
    </w:p>
    <w:p>
      <w:pPr>
        <w:ind w:left="520" w:hanging="448"/>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final purchase price accounting</w:t>
      </w:r>
    </w:p>
    <w:p>
      <w:pPr>
        <w:spacing w:after="0" w:line="82" w:lineRule="exact"/>
        <w:rPr>
          <w:rFonts w:ascii="Arial" w:cs="Arial" w:eastAsia="Arial" w:hAnsi="Arial"/>
          <w:sz w:val="14"/>
          <w:szCs w:val="14"/>
          <w:color w:val="auto"/>
        </w:rPr>
      </w:pPr>
    </w:p>
    <w:p>
      <w:pPr>
        <w:ind w:left="520" w:hanging="448"/>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82" w:lineRule="exact"/>
        <w:rPr>
          <w:rFonts w:ascii="Arial" w:cs="Arial" w:eastAsia="Arial" w:hAnsi="Arial"/>
          <w:sz w:val="14"/>
          <w:szCs w:val="14"/>
          <w:color w:val="auto"/>
        </w:rPr>
      </w:pPr>
    </w:p>
    <w:p>
      <w:pPr>
        <w:ind w:left="520" w:hanging="448"/>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Impact of Caisson related acquisition costs, including $10.9m related to R&amp;D and $1.0m related to merger and integration costs</w:t>
      </w:r>
    </w:p>
    <w:p>
      <w:pPr>
        <w:spacing w:after="0" w:line="82" w:lineRule="exact"/>
        <w:rPr>
          <w:rFonts w:ascii="Arial" w:cs="Arial" w:eastAsia="Arial" w:hAnsi="Arial"/>
          <w:sz w:val="14"/>
          <w:szCs w:val="14"/>
          <w:color w:val="auto"/>
        </w:rPr>
      </w:pPr>
    </w:p>
    <w:p>
      <w:pPr>
        <w:ind w:left="520" w:hanging="448"/>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Impairment of investments and net receivables</w:t>
      </w:r>
    </w:p>
    <w:p>
      <w:pPr>
        <w:spacing w:after="0" w:line="82" w:lineRule="exact"/>
        <w:rPr>
          <w:rFonts w:ascii="Arial" w:cs="Arial" w:eastAsia="Arial" w:hAnsi="Arial"/>
          <w:sz w:val="14"/>
          <w:szCs w:val="14"/>
          <w:color w:val="auto"/>
        </w:rPr>
      </w:pPr>
    </w:p>
    <w:p>
      <w:pPr>
        <w:ind w:left="520" w:hanging="448"/>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Legal expense related to 3T Heater-Cooler defense and other matters</w:t>
      </w:r>
    </w:p>
    <w:p>
      <w:pPr>
        <w:spacing w:after="0" w:line="11" w:lineRule="exact"/>
        <w:rPr>
          <w:rFonts w:ascii="Arial" w:cs="Arial" w:eastAsia="Arial" w:hAnsi="Arial"/>
          <w:sz w:val="14"/>
          <w:szCs w:val="14"/>
          <w:color w:val="auto"/>
        </w:rPr>
      </w:pPr>
    </w:p>
    <w:p>
      <w:pPr>
        <w:ind w:left="520" w:hanging="448"/>
        <w:spacing w:after="0" w:line="193" w:lineRule="auto"/>
        <w:tabs>
          <w:tab w:leader="none" w:pos="520" w:val="left"/>
        </w:tabs>
        <w:numPr>
          <w:ilvl w:val="0"/>
          <w:numId w:val="7"/>
        </w:numPr>
        <w:rPr>
          <w:rFonts w:ascii="Arial" w:cs="Arial" w:eastAsia="Arial" w:hAnsi="Arial"/>
          <w:sz w:val="32"/>
          <w:szCs w:val="32"/>
          <w:color w:val="auto"/>
          <w:vertAlign w:val="superscript"/>
        </w:rPr>
      </w:pPr>
      <w:r>
        <w:rPr>
          <w:rFonts w:ascii="Arial" w:cs="Arial" w:eastAsia="Arial" w:hAnsi="Arial"/>
          <w:sz w:val="14"/>
          <w:szCs w:val="14"/>
          <w:color w:val="auto"/>
        </w:rPr>
        <w:t>Includes $8.1m related to SG&amp;A, $0.4m related to R&amp;D, and $0.1m related to COGS</w:t>
      </w:r>
    </w:p>
    <w:p>
      <w:pPr>
        <w:spacing w:after="0" w:line="58" w:lineRule="exact"/>
        <w:rPr>
          <w:rFonts w:ascii="Arial" w:cs="Arial" w:eastAsia="Arial" w:hAnsi="Arial"/>
          <w:sz w:val="32"/>
          <w:szCs w:val="32"/>
          <w:color w:val="auto"/>
          <w:vertAlign w:val="superscript"/>
        </w:rPr>
      </w:pPr>
    </w:p>
    <w:p>
      <w:pPr>
        <w:ind w:left="520" w:hanging="448"/>
        <w:spacing w:after="0" w:line="224" w:lineRule="auto"/>
        <w:tabs>
          <w:tab w:leader="none" w:pos="520" w:val="left"/>
        </w:tabs>
        <w:numPr>
          <w:ilvl w:val="0"/>
          <w:numId w:val="7"/>
        </w:numPr>
        <w:rPr>
          <w:rFonts w:ascii="Arial" w:cs="Arial" w:eastAsia="Arial" w:hAnsi="Arial"/>
          <w:sz w:val="16"/>
          <w:szCs w:val="16"/>
          <w:color w:val="auto"/>
        </w:rPr>
      </w:pPr>
      <w:r>
        <w:rPr>
          <w:rFonts w:ascii="Arial" w:cs="Arial" w:eastAsia="Arial" w:hAnsi="Arial"/>
          <w:sz w:val="14"/>
          <w:szCs w:val="14"/>
          <w:color w:val="auto"/>
        </w:rPr>
        <w:t>Primarily relates to discrete tax items and the tax impact of intercompany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69380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38010" cy="8890"/>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80" w:type="dxa"/>
            <w:vAlign w:val="bottom"/>
          </w:tcPr>
          <w:p>
            <w:pPr>
              <w:jc w:val="right"/>
              <w:ind w:right="159"/>
              <w:spacing w:after="0"/>
              <w:rPr>
                <w:sz w:val="20"/>
                <w:szCs w:val="20"/>
                <w:color w:val="auto"/>
              </w:rPr>
            </w:pPr>
            <w:r>
              <w:rPr>
                <w:rFonts w:ascii="Arial" w:cs="Arial" w:eastAsia="Arial" w:hAnsi="Arial"/>
                <w:sz w:val="16"/>
                <w:szCs w:val="16"/>
                <w:b w:val="1"/>
                <w:bCs w:val="1"/>
                <w:color w:val="auto"/>
              </w:rPr>
              <w:t>Income from</w:t>
            </w:r>
          </w:p>
        </w:tc>
        <w:tc>
          <w:tcPr>
            <w:tcW w:w="1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400" w:type="dxa"/>
            <w:vAlign w:val="bottom"/>
          </w:tcPr>
          <w:p>
            <w:pPr>
              <w:ind w:left="80"/>
              <w:spacing w:after="0"/>
              <w:rPr>
                <w:sz w:val="20"/>
                <w:szCs w:val="20"/>
                <w:color w:val="auto"/>
              </w:rPr>
            </w:pPr>
            <w:r>
              <w:rPr>
                <w:rFonts w:ascii="Arial" w:cs="Arial" w:eastAsia="Arial" w:hAnsi="Arial"/>
                <w:sz w:val="16"/>
                <w:szCs w:val="16"/>
                <w:b w:val="1"/>
                <w:bCs w:val="1"/>
                <w:color w:val="auto"/>
              </w:rPr>
              <w:t>Six Months Ended June 30, 2016</w:t>
            </w:r>
          </w:p>
        </w:tc>
        <w:tc>
          <w:tcPr>
            <w:tcW w:w="1340" w:type="dxa"/>
            <w:vAlign w:val="bottom"/>
          </w:tcPr>
          <w:p>
            <w:pPr>
              <w:jc w:val="right"/>
              <w:ind w:right="339"/>
              <w:spacing w:after="0"/>
              <w:rPr>
                <w:sz w:val="20"/>
                <w:szCs w:val="20"/>
                <w:color w:val="auto"/>
              </w:rPr>
            </w:pPr>
            <w:r>
              <w:rPr>
                <w:rFonts w:ascii="Arial" w:cs="Arial" w:eastAsia="Arial" w:hAnsi="Arial"/>
                <w:sz w:val="16"/>
                <w:szCs w:val="16"/>
                <w:b w:val="1"/>
                <w:bCs w:val="1"/>
                <w:color w:val="auto"/>
              </w:rPr>
              <w:t>Sales</w:t>
            </w:r>
          </w:p>
        </w:tc>
        <w:tc>
          <w:tcPr>
            <w:tcW w:w="1320" w:type="dxa"/>
            <w:vAlign w:val="bottom"/>
          </w:tcPr>
          <w:p>
            <w:pPr>
              <w:jc w:val="right"/>
              <w:ind w:right="99"/>
              <w:spacing w:after="0"/>
              <w:rPr>
                <w:sz w:val="20"/>
                <w:szCs w:val="20"/>
                <w:color w:val="auto"/>
              </w:rPr>
            </w:pPr>
            <w:r>
              <w:rPr>
                <w:rFonts w:ascii="Arial" w:cs="Arial" w:eastAsia="Arial" w:hAnsi="Arial"/>
                <w:sz w:val="16"/>
                <w:szCs w:val="16"/>
                <w:b w:val="1"/>
                <w:bCs w:val="1"/>
                <w:color w:val="auto"/>
              </w:rPr>
              <w:t>Gross Profit</w:t>
            </w:r>
          </w:p>
        </w:tc>
        <w:tc>
          <w:tcPr>
            <w:tcW w:w="1380" w:type="dxa"/>
            <w:vAlign w:val="bottom"/>
          </w:tcPr>
          <w:p>
            <w:pPr>
              <w:jc w:val="right"/>
              <w:ind w:right="219"/>
              <w:spacing w:after="0"/>
              <w:rPr>
                <w:sz w:val="20"/>
                <w:szCs w:val="20"/>
                <w:color w:val="auto"/>
              </w:rPr>
            </w:pPr>
            <w:r>
              <w:rPr>
                <w:rFonts w:ascii="Arial" w:cs="Arial" w:eastAsia="Arial" w:hAnsi="Arial"/>
                <w:sz w:val="16"/>
                <w:szCs w:val="16"/>
                <w:b w:val="1"/>
                <w:bCs w:val="1"/>
                <w:color w:val="auto"/>
              </w:rPr>
              <w:t>Operations</w:t>
            </w: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rPr>
              <w:t>Net Income</w:t>
            </w: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Diluted EPS</w:t>
            </w:r>
          </w:p>
        </w:tc>
        <w:tc>
          <w:tcPr>
            <w:tcW w:w="0" w:type="dxa"/>
            <w:vAlign w:val="bottom"/>
          </w:tcPr>
          <w:p>
            <w:pPr>
              <w:spacing w:after="0"/>
              <w:rPr>
                <w:sz w:val="1"/>
                <w:szCs w:val="1"/>
                <w:color w:val="auto"/>
              </w:rPr>
            </w:pPr>
          </w:p>
        </w:tc>
      </w:tr>
      <w:tr>
        <w:trPr>
          <w:trHeight w:val="47"/>
        </w:trPr>
        <w:tc>
          <w:tcPr>
            <w:tcW w:w="44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400" w:type="dxa"/>
            <w:vAlign w:val="bottom"/>
          </w:tcPr>
          <w:p>
            <w:pPr>
              <w:ind w:left="80"/>
              <w:spacing w:after="0"/>
              <w:rPr>
                <w:sz w:val="20"/>
                <w:szCs w:val="20"/>
                <w:color w:val="auto"/>
              </w:rPr>
            </w:pPr>
            <w:r>
              <w:rPr>
                <w:rFonts w:ascii="Arial" w:cs="Arial" w:eastAsia="Arial" w:hAnsi="Arial"/>
                <w:sz w:val="16"/>
                <w:szCs w:val="16"/>
                <w:color w:val="auto"/>
              </w:rPr>
              <w:t>GAAP Financial Measures</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$608.0</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$352.2</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($14.2  )</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($31.4  )</w:t>
            </w:r>
          </w:p>
        </w:tc>
        <w:tc>
          <w:tcPr>
            <w:tcW w:w="1200" w:type="dxa"/>
            <w:vAlign w:val="bottom"/>
          </w:tcPr>
          <w:p>
            <w:pPr>
              <w:jc w:val="right"/>
              <w:spacing w:after="0"/>
              <w:rPr>
                <w:sz w:val="20"/>
                <w:szCs w:val="20"/>
                <w:color w:val="auto"/>
              </w:rPr>
            </w:pPr>
            <w:r>
              <w:rPr>
                <w:rFonts w:ascii="Arial" w:cs="Arial" w:eastAsia="Arial" w:hAnsi="Arial"/>
                <w:sz w:val="16"/>
                <w:szCs w:val="16"/>
                <w:color w:val="auto"/>
              </w:rPr>
              <w:t>($0.64  )</w:t>
            </w:r>
          </w:p>
        </w:tc>
        <w:tc>
          <w:tcPr>
            <w:tcW w:w="0" w:type="dxa"/>
            <w:vAlign w:val="bottom"/>
          </w:tcPr>
          <w:p>
            <w:pPr>
              <w:spacing w:after="0"/>
              <w:rPr>
                <w:sz w:val="1"/>
                <w:szCs w:val="1"/>
                <w:color w:val="auto"/>
              </w:rPr>
            </w:pPr>
          </w:p>
        </w:tc>
      </w:tr>
      <w:tr>
        <w:trPr>
          <w:trHeight w:val="47"/>
        </w:trPr>
        <w:tc>
          <w:tcPr>
            <w:tcW w:w="4400" w:type="dxa"/>
            <w:vAlign w:val="bottom"/>
            <w:vMerge w:val="restart"/>
          </w:tcPr>
          <w:p>
            <w:pPr>
              <w:ind w:left="80"/>
              <w:spacing w:after="0"/>
              <w:rPr>
                <w:sz w:val="20"/>
                <w:szCs w:val="20"/>
                <w:color w:val="auto"/>
              </w:rPr>
            </w:pPr>
            <w:r>
              <w:rPr>
                <w:rFonts w:ascii="Arial" w:cs="Arial" w:eastAsia="Arial" w:hAnsi="Arial"/>
                <w:sz w:val="16"/>
                <w:szCs w:val="16"/>
                <w:color w:val="auto"/>
              </w:rPr>
              <w:t>Specified Items</w:t>
            </w:r>
          </w:p>
        </w:tc>
        <w:tc>
          <w:tcPr>
            <w:tcW w:w="13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40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400" w:type="dxa"/>
            <w:vAlign w:val="bottom"/>
          </w:tcPr>
          <w:p>
            <w:pPr>
              <w:ind w:left="280"/>
              <w:spacing w:after="0"/>
              <w:rPr>
                <w:sz w:val="20"/>
                <w:szCs w:val="20"/>
                <w:color w:val="auto"/>
              </w:rPr>
            </w:pPr>
            <w:r>
              <w:rPr>
                <w:rFonts w:ascii="Arial" w:cs="Arial" w:eastAsia="Arial" w:hAnsi="Arial"/>
                <w:sz w:val="16"/>
                <w:szCs w:val="16"/>
                <w:color w:val="auto"/>
              </w:rPr>
              <w:t>Merger and integration expenses (A)</w:t>
            </w:r>
          </w:p>
        </w:tc>
        <w:tc>
          <w:tcPr>
            <w:tcW w:w="13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color w:val="auto"/>
              </w:rPr>
              <w:t>13.0</w:t>
            </w: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11.1</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270"/>
        </w:trPr>
        <w:tc>
          <w:tcPr>
            <w:tcW w:w="4400" w:type="dxa"/>
            <w:vAlign w:val="bottom"/>
          </w:tcPr>
          <w:p>
            <w:pPr>
              <w:ind w:left="280"/>
              <w:spacing w:after="0"/>
              <w:rPr>
                <w:sz w:val="20"/>
                <w:szCs w:val="20"/>
                <w:color w:val="auto"/>
              </w:rPr>
            </w:pPr>
            <w:r>
              <w:rPr>
                <w:rFonts w:ascii="Arial" w:cs="Arial" w:eastAsia="Arial" w:hAnsi="Arial"/>
                <w:sz w:val="16"/>
                <w:szCs w:val="16"/>
                <w:color w:val="auto"/>
              </w:rPr>
              <w:t>Restructuring expenses (B)</w:t>
            </w:r>
          </w:p>
        </w:tc>
        <w:tc>
          <w:tcPr>
            <w:tcW w:w="13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color w:val="auto"/>
              </w:rPr>
              <w:t>32.8</w:t>
            </w: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30.5</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0.62</w:t>
            </w:r>
          </w:p>
        </w:tc>
        <w:tc>
          <w:tcPr>
            <w:tcW w:w="0" w:type="dxa"/>
            <w:vAlign w:val="bottom"/>
          </w:tcPr>
          <w:p>
            <w:pPr>
              <w:spacing w:after="0"/>
              <w:rPr>
                <w:sz w:val="1"/>
                <w:szCs w:val="1"/>
                <w:color w:val="auto"/>
              </w:rPr>
            </w:pPr>
          </w:p>
        </w:tc>
      </w:tr>
      <w:tr>
        <w:trPr>
          <w:trHeight w:val="270"/>
        </w:trPr>
        <w:tc>
          <w:tcPr>
            <w:tcW w:w="4400" w:type="dxa"/>
            <w:vAlign w:val="bottom"/>
          </w:tcPr>
          <w:p>
            <w:pPr>
              <w:ind w:left="280"/>
              <w:spacing w:after="0"/>
              <w:rPr>
                <w:sz w:val="20"/>
                <w:szCs w:val="20"/>
                <w:color w:val="auto"/>
              </w:rPr>
            </w:pPr>
            <w:r>
              <w:rPr>
                <w:rFonts w:ascii="Arial" w:cs="Arial" w:eastAsia="Arial" w:hAnsi="Arial"/>
                <w:sz w:val="16"/>
                <w:szCs w:val="16"/>
                <w:color w:val="auto"/>
              </w:rPr>
              <w:t>Depreciation and amortization (C)</w:t>
            </w:r>
          </w:p>
        </w:tc>
        <w:tc>
          <w:tcPr>
            <w:tcW w:w="1340" w:type="dxa"/>
            <w:vAlign w:val="bottom"/>
          </w:tcPr>
          <w:p>
            <w:pPr>
              <w:spacing w:after="0"/>
              <w:rPr>
                <w:sz w:val="23"/>
                <w:szCs w:val="23"/>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4.6</w:t>
            </w:r>
          </w:p>
        </w:tc>
        <w:tc>
          <w:tcPr>
            <w:tcW w:w="1380" w:type="dxa"/>
            <w:vAlign w:val="bottom"/>
          </w:tcPr>
          <w:p>
            <w:pPr>
              <w:jc w:val="right"/>
              <w:ind w:right="259"/>
              <w:spacing w:after="0"/>
              <w:rPr>
                <w:sz w:val="20"/>
                <w:szCs w:val="20"/>
                <w:color w:val="auto"/>
              </w:rPr>
            </w:pPr>
            <w:r>
              <w:rPr>
                <w:rFonts w:ascii="Arial" w:cs="Arial" w:eastAsia="Arial" w:hAnsi="Arial"/>
                <w:sz w:val="16"/>
                <w:szCs w:val="16"/>
                <w:color w:val="auto"/>
              </w:rPr>
              <w:t>26.8</w:t>
            </w: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19.6</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70"/>
        </w:trPr>
        <w:tc>
          <w:tcPr>
            <w:tcW w:w="4400" w:type="dxa"/>
            <w:vAlign w:val="bottom"/>
          </w:tcPr>
          <w:p>
            <w:pPr>
              <w:ind w:left="280"/>
              <w:spacing w:after="0"/>
              <w:rPr>
                <w:sz w:val="20"/>
                <w:szCs w:val="20"/>
                <w:color w:val="auto"/>
              </w:rPr>
            </w:pPr>
            <w:r>
              <w:rPr>
                <w:rFonts w:ascii="Arial" w:cs="Arial" w:eastAsia="Arial" w:hAnsi="Arial"/>
                <w:sz w:val="16"/>
                <w:szCs w:val="16"/>
                <w:color w:val="auto"/>
              </w:rPr>
              <w:t>Product remediation (D)</w:t>
            </w:r>
          </w:p>
        </w:tc>
        <w:tc>
          <w:tcPr>
            <w:tcW w:w="1340" w:type="dxa"/>
            <w:vAlign w:val="bottom"/>
          </w:tcPr>
          <w:p>
            <w:pPr>
              <w:spacing w:after="0"/>
              <w:rPr>
                <w:sz w:val="23"/>
                <w:szCs w:val="23"/>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1.6</w:t>
            </w:r>
          </w:p>
        </w:tc>
        <w:tc>
          <w:tcPr>
            <w:tcW w:w="1380" w:type="dxa"/>
            <w:vAlign w:val="bottom"/>
          </w:tcPr>
          <w:p>
            <w:pPr>
              <w:jc w:val="right"/>
              <w:ind w:right="259"/>
              <w:spacing w:after="0"/>
              <w:rPr>
                <w:sz w:val="20"/>
                <w:szCs w:val="20"/>
                <w:color w:val="auto"/>
              </w:rPr>
            </w:pPr>
            <w:r>
              <w:rPr>
                <w:rFonts w:ascii="Arial" w:cs="Arial" w:eastAsia="Arial" w:hAnsi="Arial"/>
                <w:sz w:val="16"/>
                <w:szCs w:val="16"/>
                <w:color w:val="auto"/>
              </w:rPr>
              <w:t>1.6</w:t>
            </w: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1.0</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70"/>
        </w:trPr>
        <w:tc>
          <w:tcPr>
            <w:tcW w:w="4400" w:type="dxa"/>
            <w:vAlign w:val="bottom"/>
          </w:tcPr>
          <w:p>
            <w:pPr>
              <w:ind w:left="280"/>
              <w:spacing w:after="0"/>
              <w:rPr>
                <w:sz w:val="20"/>
                <w:szCs w:val="20"/>
                <w:color w:val="auto"/>
              </w:rPr>
            </w:pPr>
            <w:r>
              <w:rPr>
                <w:rFonts w:ascii="Arial" w:cs="Arial" w:eastAsia="Arial" w:hAnsi="Arial"/>
                <w:sz w:val="16"/>
                <w:szCs w:val="16"/>
                <w:color w:val="auto"/>
              </w:rPr>
              <w:t>Other income / (expenses) &amp; litigations (E)</w:t>
            </w:r>
          </w:p>
        </w:tc>
        <w:tc>
          <w:tcPr>
            <w:tcW w:w="13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color w:val="auto"/>
              </w:rPr>
              <w:t>1.0</w:t>
            </w: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(0.40)</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(0.010)</w:t>
            </w:r>
          </w:p>
        </w:tc>
        <w:tc>
          <w:tcPr>
            <w:tcW w:w="0" w:type="dxa"/>
            <w:vAlign w:val="bottom"/>
          </w:tcPr>
          <w:p>
            <w:pPr>
              <w:spacing w:after="0"/>
              <w:rPr>
                <w:sz w:val="1"/>
                <w:szCs w:val="1"/>
                <w:color w:val="auto"/>
              </w:rPr>
            </w:pPr>
          </w:p>
        </w:tc>
      </w:tr>
      <w:tr>
        <w:trPr>
          <w:trHeight w:val="270"/>
        </w:trPr>
        <w:tc>
          <w:tcPr>
            <w:tcW w:w="4400" w:type="dxa"/>
            <w:vAlign w:val="bottom"/>
          </w:tcPr>
          <w:p>
            <w:pPr>
              <w:ind w:left="280"/>
              <w:spacing w:after="0"/>
              <w:rPr>
                <w:sz w:val="20"/>
                <w:szCs w:val="20"/>
                <w:color w:val="auto"/>
              </w:rPr>
            </w:pPr>
            <w:r>
              <w:rPr>
                <w:rFonts w:ascii="Arial" w:cs="Arial" w:eastAsia="Arial" w:hAnsi="Arial"/>
                <w:sz w:val="16"/>
                <w:szCs w:val="16"/>
                <w:color w:val="auto"/>
              </w:rPr>
              <w:t>Impact of inventory step-up (F)</w:t>
            </w:r>
          </w:p>
        </w:tc>
        <w:tc>
          <w:tcPr>
            <w:tcW w:w="1340" w:type="dxa"/>
            <w:vAlign w:val="bottom"/>
          </w:tcPr>
          <w:p>
            <w:pPr>
              <w:spacing w:after="0"/>
              <w:rPr>
                <w:sz w:val="23"/>
                <w:szCs w:val="23"/>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35.0</w:t>
            </w:r>
          </w:p>
        </w:tc>
        <w:tc>
          <w:tcPr>
            <w:tcW w:w="1380" w:type="dxa"/>
            <w:vAlign w:val="bottom"/>
          </w:tcPr>
          <w:p>
            <w:pPr>
              <w:jc w:val="right"/>
              <w:ind w:right="259"/>
              <w:spacing w:after="0"/>
              <w:rPr>
                <w:sz w:val="20"/>
                <w:szCs w:val="20"/>
                <w:color w:val="auto"/>
              </w:rPr>
            </w:pPr>
            <w:r>
              <w:rPr>
                <w:rFonts w:ascii="Arial" w:cs="Arial" w:eastAsia="Arial" w:hAnsi="Arial"/>
                <w:sz w:val="16"/>
                <w:szCs w:val="16"/>
                <w:color w:val="auto"/>
              </w:rPr>
              <w:t>35.0</w:t>
            </w: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24.0</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0.49</w:t>
            </w:r>
          </w:p>
        </w:tc>
        <w:tc>
          <w:tcPr>
            <w:tcW w:w="0" w:type="dxa"/>
            <w:vAlign w:val="bottom"/>
          </w:tcPr>
          <w:p>
            <w:pPr>
              <w:spacing w:after="0"/>
              <w:rPr>
                <w:sz w:val="1"/>
                <w:szCs w:val="1"/>
                <w:color w:val="auto"/>
              </w:rPr>
            </w:pPr>
          </w:p>
        </w:tc>
      </w:tr>
      <w:tr>
        <w:trPr>
          <w:trHeight w:val="270"/>
        </w:trPr>
        <w:tc>
          <w:tcPr>
            <w:tcW w:w="4400" w:type="dxa"/>
            <w:vAlign w:val="bottom"/>
          </w:tcPr>
          <w:p>
            <w:pPr>
              <w:ind w:left="280"/>
              <w:spacing w:after="0"/>
              <w:rPr>
                <w:sz w:val="20"/>
                <w:szCs w:val="20"/>
                <w:color w:val="auto"/>
              </w:rPr>
            </w:pPr>
            <w:r>
              <w:rPr>
                <w:rFonts w:ascii="Arial" w:cs="Arial" w:eastAsia="Arial" w:hAnsi="Arial"/>
                <w:sz w:val="16"/>
                <w:szCs w:val="16"/>
                <w:color w:val="auto"/>
              </w:rPr>
              <w:t>Equity compensation (G)</w:t>
            </w:r>
          </w:p>
        </w:tc>
        <w:tc>
          <w:tcPr>
            <w:tcW w:w="1340" w:type="dxa"/>
            <w:vAlign w:val="bottom"/>
          </w:tcPr>
          <w:p>
            <w:pPr>
              <w:spacing w:after="0"/>
              <w:rPr>
                <w:sz w:val="23"/>
                <w:szCs w:val="23"/>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0.7</w:t>
            </w:r>
          </w:p>
        </w:tc>
        <w:tc>
          <w:tcPr>
            <w:tcW w:w="1380" w:type="dxa"/>
            <w:vAlign w:val="bottom"/>
          </w:tcPr>
          <w:p>
            <w:pPr>
              <w:jc w:val="right"/>
              <w:ind w:right="259"/>
              <w:spacing w:after="0"/>
              <w:rPr>
                <w:sz w:val="20"/>
                <w:szCs w:val="20"/>
                <w:color w:val="auto"/>
              </w:rPr>
            </w:pPr>
            <w:r>
              <w:rPr>
                <w:rFonts w:ascii="Arial" w:cs="Arial" w:eastAsia="Arial" w:hAnsi="Arial"/>
                <w:sz w:val="16"/>
                <w:szCs w:val="16"/>
                <w:color w:val="auto"/>
              </w:rPr>
              <w:t>10.3</w:t>
            </w: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8.9</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70"/>
        </w:trPr>
        <w:tc>
          <w:tcPr>
            <w:tcW w:w="4400" w:type="dxa"/>
            <w:vAlign w:val="bottom"/>
          </w:tcPr>
          <w:p>
            <w:pPr>
              <w:ind w:left="280"/>
              <w:spacing w:after="0"/>
              <w:rPr>
                <w:sz w:val="20"/>
                <w:szCs w:val="20"/>
                <w:color w:val="auto"/>
              </w:rPr>
            </w:pPr>
            <w:r>
              <w:rPr>
                <w:rFonts w:ascii="Arial" w:cs="Arial" w:eastAsia="Arial" w:hAnsi="Arial"/>
                <w:sz w:val="16"/>
                <w:szCs w:val="16"/>
                <w:color w:val="auto"/>
              </w:rPr>
              <w:t>Certain tax adjustments (H)</w:t>
            </w:r>
          </w:p>
        </w:tc>
        <w:tc>
          <w:tcPr>
            <w:tcW w:w="13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6.2</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47"/>
        </w:trPr>
        <w:tc>
          <w:tcPr>
            <w:tcW w:w="440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400" w:type="dxa"/>
            <w:vAlign w:val="bottom"/>
          </w:tcPr>
          <w:p>
            <w:pPr>
              <w:ind w:left="80"/>
              <w:spacing w:after="0"/>
              <w:rPr>
                <w:sz w:val="20"/>
                <w:szCs w:val="20"/>
                <w:color w:val="auto"/>
              </w:rPr>
            </w:pPr>
            <w:r>
              <w:rPr>
                <w:rFonts w:ascii="Arial" w:cs="Arial" w:eastAsia="Arial" w:hAnsi="Arial"/>
                <w:sz w:val="16"/>
                <w:szCs w:val="16"/>
                <w:color w:val="auto"/>
              </w:rPr>
              <w:t>Adjusted financial measures</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$608.0</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$394.1</w:t>
            </w:r>
          </w:p>
        </w:tc>
        <w:tc>
          <w:tcPr>
            <w:tcW w:w="1380" w:type="dxa"/>
            <w:vAlign w:val="bottom"/>
          </w:tcPr>
          <w:p>
            <w:pPr>
              <w:jc w:val="right"/>
              <w:ind w:right="259"/>
              <w:spacing w:after="0"/>
              <w:rPr>
                <w:sz w:val="20"/>
                <w:szCs w:val="20"/>
                <w:color w:val="auto"/>
              </w:rPr>
            </w:pPr>
            <w:r>
              <w:rPr>
                <w:rFonts w:ascii="Arial" w:cs="Arial" w:eastAsia="Arial" w:hAnsi="Arial"/>
                <w:sz w:val="16"/>
                <w:szCs w:val="16"/>
                <w:color w:val="auto"/>
              </w:rPr>
              <w:t>$106.3</w:t>
            </w: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$69.5</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GAAP results for the six months ended June 30, 2016 include:</w:t>
      </w:r>
    </w:p>
    <w:p>
      <w:pPr>
        <w:spacing w:after="0" w:line="109" w:lineRule="exact"/>
        <w:rPr>
          <w:sz w:val="20"/>
          <w:szCs w:val="20"/>
          <w:color w:val="auto"/>
        </w:rPr>
      </w:pPr>
    </w:p>
    <w:p>
      <w:pPr>
        <w:ind w:left="520" w:hanging="448"/>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w:t>
      </w:r>
    </w:p>
    <w:p>
      <w:pPr>
        <w:spacing w:after="0" w:line="82" w:lineRule="exact"/>
        <w:rPr>
          <w:rFonts w:ascii="Arial" w:cs="Arial" w:eastAsia="Arial" w:hAnsi="Arial"/>
          <w:sz w:val="14"/>
          <w:szCs w:val="14"/>
          <w:color w:val="auto"/>
        </w:rPr>
      </w:pPr>
    </w:p>
    <w:p>
      <w:pPr>
        <w:ind w:left="520" w:hanging="448"/>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Restructuring expenses related to our legacy companies</w:t>
      </w:r>
    </w:p>
    <w:p>
      <w:pPr>
        <w:spacing w:after="0" w:line="82" w:lineRule="exact"/>
        <w:rPr>
          <w:rFonts w:ascii="Arial" w:cs="Arial" w:eastAsia="Arial" w:hAnsi="Arial"/>
          <w:sz w:val="14"/>
          <w:szCs w:val="14"/>
          <w:color w:val="auto"/>
        </w:rPr>
      </w:pPr>
    </w:p>
    <w:p>
      <w:pPr>
        <w:ind w:left="520" w:hanging="448"/>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final purchase price accounting</w:t>
      </w:r>
    </w:p>
    <w:p>
      <w:pPr>
        <w:spacing w:after="0" w:line="82" w:lineRule="exact"/>
        <w:rPr>
          <w:rFonts w:ascii="Arial" w:cs="Arial" w:eastAsia="Arial" w:hAnsi="Arial"/>
          <w:sz w:val="14"/>
          <w:szCs w:val="14"/>
          <w:color w:val="auto"/>
        </w:rPr>
      </w:pPr>
    </w:p>
    <w:p>
      <w:pPr>
        <w:ind w:left="520" w:hanging="448"/>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82" w:lineRule="exact"/>
        <w:rPr>
          <w:rFonts w:ascii="Arial" w:cs="Arial" w:eastAsia="Arial" w:hAnsi="Arial"/>
          <w:sz w:val="14"/>
          <w:szCs w:val="14"/>
          <w:color w:val="auto"/>
        </w:rPr>
      </w:pPr>
    </w:p>
    <w:p>
      <w:pPr>
        <w:ind w:left="520" w:right="300" w:hanging="448"/>
        <w:spacing w:after="0" w:line="258"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a $4.7m reimbursement of damages related to 2012 earthquake in Mirandola (Italy), a $ 5.0 million write-off of receivables from Greek distributors and other minor litigations</w:t>
      </w:r>
    </w:p>
    <w:p>
      <w:pPr>
        <w:spacing w:after="0" w:line="59" w:lineRule="exact"/>
        <w:rPr>
          <w:rFonts w:ascii="Arial" w:cs="Arial" w:eastAsia="Arial" w:hAnsi="Arial"/>
          <w:sz w:val="14"/>
          <w:szCs w:val="14"/>
          <w:color w:val="auto"/>
        </w:rPr>
      </w:pPr>
    </w:p>
    <w:p>
      <w:pPr>
        <w:ind w:left="520" w:hanging="448"/>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amortization of inventory step-up associated with final purchase price accounting</w:t>
      </w:r>
    </w:p>
    <w:p>
      <w:pPr>
        <w:spacing w:after="0" w:line="82" w:lineRule="exact"/>
        <w:rPr>
          <w:rFonts w:ascii="Arial" w:cs="Arial" w:eastAsia="Arial" w:hAnsi="Arial"/>
          <w:sz w:val="14"/>
          <w:szCs w:val="14"/>
          <w:color w:val="auto"/>
        </w:rPr>
      </w:pPr>
    </w:p>
    <w:p>
      <w:pPr>
        <w:ind w:left="520" w:hanging="448"/>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$9.0 m related to SG&amp;A, $0.6m related to R&amp;D, and less than $0.7m related to COGS</w:t>
      </w:r>
    </w:p>
    <w:p>
      <w:pPr>
        <w:spacing w:after="0" w:line="82" w:lineRule="exact"/>
        <w:rPr>
          <w:rFonts w:ascii="Arial" w:cs="Arial" w:eastAsia="Arial" w:hAnsi="Arial"/>
          <w:sz w:val="14"/>
          <w:szCs w:val="14"/>
          <w:color w:val="auto"/>
        </w:rPr>
      </w:pPr>
    </w:p>
    <w:p>
      <w:pPr>
        <w:ind w:left="360" w:right="4960" w:hanging="288"/>
        <w:spacing w:after="0" w:line="661" w:lineRule="auto"/>
        <w:tabs>
          <w:tab w:leader="none" w:pos="524" w:val="left"/>
        </w:tabs>
        <w:numPr>
          <w:ilvl w:val="0"/>
          <w:numId w:val="8"/>
        </w:numPr>
        <w:rPr>
          <w:rFonts w:ascii="Arial" w:cs="Arial" w:eastAsia="Arial" w:hAnsi="Arial"/>
          <w:sz w:val="14"/>
          <w:szCs w:val="14"/>
          <w:color w:val="auto"/>
        </w:rPr>
      </w:pPr>
      <w:r>
        <w:rPr>
          <w:rFonts w:ascii="Arial" w:cs="Arial" w:eastAsia="Arial" w:hAnsi="Arial"/>
          <w:sz w:val="14"/>
          <w:szCs w:val="14"/>
          <w:color w:val="auto"/>
        </w:rPr>
        <w:t>Primarily relates to discrete tax items and the tax impact of intercompany transactions * Numbers may not add up precisely due to rounding.</w:t>
      </w:r>
    </w:p>
    <w:p>
      <w:pPr>
        <w:sectPr>
          <w:pgSz w:w="11900" w:h="16838" w:orient="portrait"/>
          <w:cols w:equalWidth="0" w:num="1">
            <w:col w:w="10920"/>
          </w:cols>
          <w:pgMar w:left="500" w:top="743" w:right="479" w:bottom="1014" w:gutter="0" w:footer="0" w:header="0"/>
        </w:sect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0920"/>
          </w:cols>
          <w:pgMar w:left="500" w:top="743" w:right="479" w:bottom="1014" w:gutter="0" w:footer="0" w:header="0"/>
          <w:type w:val="continuous"/>
        </w:sectPr>
      </w:pPr>
    </w:p>
    <w:bookmarkStart w:id="17" w:name="page18"/>
    <w:bookmarkEnd w:id="17"/>
    <w:p>
      <w:pPr>
        <w:ind w:left="80"/>
        <w:spacing w:after="0"/>
        <w:rPr>
          <w:sz w:val="20"/>
          <w:szCs w:val="20"/>
          <w:color w:val="auto"/>
        </w:rPr>
      </w:pPr>
      <w:r>
        <w:rPr>
          <w:rFonts w:ascii="Arial" w:cs="Arial" w:eastAsia="Arial" w:hAnsi="Arial"/>
          <w:sz w:val="16"/>
          <w:szCs w:val="16"/>
          <w:b w:val="1"/>
          <w:bCs w:val="1"/>
          <w:color w:val="auto"/>
        </w:rPr>
        <w:t>LIVANOVA PLC AND SUBSIDIARIES</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(U.S. dollars in millions)</w:t>
      </w:r>
    </w:p>
    <w:p>
      <w:pPr>
        <w:spacing w:after="0" w:line="275"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6920" w:type="dxa"/>
            <w:vAlign w:val="bottom"/>
          </w:tcPr>
          <w:p>
            <w:pPr>
              <w:spacing w:after="0"/>
              <w:rPr>
                <w:sz w:val="18"/>
                <w:szCs w:val="18"/>
                <w:color w:val="auto"/>
              </w:rPr>
            </w:pPr>
          </w:p>
        </w:tc>
        <w:tc>
          <w:tcPr>
            <w:tcW w:w="228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9"/>
              </w:rPr>
              <w:t>June 30, 2017</w:t>
            </w:r>
          </w:p>
        </w:tc>
        <w:tc>
          <w:tcPr>
            <w:tcW w:w="2140" w:type="dxa"/>
            <w:vAlign w:val="bottom"/>
          </w:tcPr>
          <w:p>
            <w:pPr>
              <w:jc w:val="right"/>
              <w:ind w:right="219"/>
              <w:spacing w:after="0"/>
              <w:rPr>
                <w:sz w:val="20"/>
                <w:szCs w:val="20"/>
                <w:color w:val="auto"/>
              </w:rPr>
            </w:pPr>
            <w:r>
              <w:rPr>
                <w:rFonts w:ascii="Arial" w:cs="Arial" w:eastAsia="Arial" w:hAnsi="Arial"/>
                <w:sz w:val="16"/>
                <w:szCs w:val="16"/>
                <w:b w:val="1"/>
                <w:bCs w:val="1"/>
                <w:color w:val="auto"/>
              </w:rPr>
              <w:t>December 31, 2016</w:t>
            </w:r>
          </w:p>
        </w:tc>
        <w:tc>
          <w:tcPr>
            <w:tcW w:w="0" w:type="dxa"/>
            <w:vAlign w:val="bottom"/>
          </w:tcPr>
          <w:p>
            <w:pPr>
              <w:spacing w:after="0"/>
              <w:rPr>
                <w:sz w:val="1"/>
                <w:szCs w:val="1"/>
                <w:color w:val="auto"/>
              </w:rPr>
            </w:pPr>
          </w:p>
        </w:tc>
      </w:tr>
      <w:tr>
        <w:trPr>
          <w:trHeight w:val="47"/>
        </w:trPr>
        <w:tc>
          <w:tcPr>
            <w:tcW w:w="6920" w:type="dxa"/>
            <w:vAlign w:val="bottom"/>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920" w:type="dxa"/>
            <w:vAlign w:val="bottom"/>
          </w:tcPr>
          <w:p>
            <w:pPr>
              <w:ind w:left="140"/>
              <w:spacing w:after="0"/>
              <w:rPr>
                <w:sz w:val="20"/>
                <w:szCs w:val="20"/>
                <w:color w:val="auto"/>
              </w:rPr>
            </w:pPr>
            <w:r>
              <w:rPr>
                <w:rFonts w:ascii="Arial" w:cs="Arial" w:eastAsia="Arial" w:hAnsi="Arial"/>
                <w:sz w:val="16"/>
                <w:szCs w:val="16"/>
                <w:b w:val="1"/>
                <w:bCs w:val="1"/>
                <w:color w:val="auto"/>
              </w:rPr>
              <w:t>ASSETS</w:t>
            </w:r>
          </w:p>
        </w:tc>
        <w:tc>
          <w:tcPr>
            <w:tcW w:w="22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(Unaudited)</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6920" w:type="dxa"/>
            <w:vAlign w:val="bottom"/>
          </w:tcPr>
          <w:p>
            <w:pPr>
              <w:spacing w:after="0"/>
              <w:rPr>
                <w:sz w:val="20"/>
                <w:szCs w:val="20"/>
                <w:color w:val="auto"/>
              </w:rPr>
            </w:pPr>
            <w:r>
              <w:rPr>
                <w:rFonts w:ascii="Arial" w:cs="Arial" w:eastAsia="Arial" w:hAnsi="Arial"/>
                <w:sz w:val="16"/>
                <w:szCs w:val="16"/>
                <w:color w:val="auto"/>
              </w:rPr>
              <w:t>Current Assets:</w:t>
            </w: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2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$42.7</w:t>
            </w:r>
          </w:p>
        </w:tc>
        <w:tc>
          <w:tcPr>
            <w:tcW w:w="120" w:type="dxa"/>
            <w:vAlign w:val="bottom"/>
          </w:tcPr>
          <w:p>
            <w:pPr>
              <w:spacing w:after="0"/>
              <w:rPr>
                <w:sz w:val="23"/>
                <w:szCs w:val="23"/>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70"/>
        </w:trPr>
        <w:tc>
          <w:tcPr>
            <w:tcW w:w="692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305.4</w:t>
            </w:r>
          </w:p>
        </w:tc>
        <w:tc>
          <w:tcPr>
            <w:tcW w:w="120" w:type="dxa"/>
            <w:vAlign w:val="bottom"/>
          </w:tcPr>
          <w:p>
            <w:pPr>
              <w:spacing w:after="0"/>
              <w:rPr>
                <w:sz w:val="23"/>
                <w:szCs w:val="23"/>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275.7</w:t>
            </w:r>
          </w:p>
        </w:tc>
        <w:tc>
          <w:tcPr>
            <w:tcW w:w="0" w:type="dxa"/>
            <w:vAlign w:val="bottom"/>
          </w:tcPr>
          <w:p>
            <w:pPr>
              <w:spacing w:after="0"/>
              <w:rPr>
                <w:sz w:val="1"/>
                <w:szCs w:val="1"/>
                <w:color w:val="auto"/>
              </w:rPr>
            </w:pPr>
          </w:p>
        </w:tc>
      </w:tr>
      <w:tr>
        <w:trPr>
          <w:trHeight w:val="270"/>
        </w:trPr>
        <w:tc>
          <w:tcPr>
            <w:tcW w:w="6920" w:type="dxa"/>
            <w:vAlign w:val="bottom"/>
          </w:tcPr>
          <w:p>
            <w:pPr>
              <w:ind w:left="140"/>
              <w:spacing w:after="0"/>
              <w:rPr>
                <w:sz w:val="20"/>
                <w:szCs w:val="20"/>
                <w:color w:val="auto"/>
              </w:rPr>
            </w:pPr>
            <w:r>
              <w:rPr>
                <w:rFonts w:ascii="Arial" w:cs="Arial" w:eastAsia="Arial" w:hAnsi="Arial"/>
                <w:sz w:val="16"/>
                <w:szCs w:val="16"/>
                <w:color w:val="auto"/>
              </w:rPr>
              <w:t>Inventories</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204.7</w:t>
            </w:r>
          </w:p>
        </w:tc>
        <w:tc>
          <w:tcPr>
            <w:tcW w:w="120" w:type="dxa"/>
            <w:vAlign w:val="bottom"/>
          </w:tcPr>
          <w:p>
            <w:pPr>
              <w:spacing w:after="0"/>
              <w:rPr>
                <w:sz w:val="23"/>
                <w:szCs w:val="23"/>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183.5</w:t>
            </w:r>
          </w:p>
        </w:tc>
        <w:tc>
          <w:tcPr>
            <w:tcW w:w="0" w:type="dxa"/>
            <w:vAlign w:val="bottom"/>
          </w:tcPr>
          <w:p>
            <w:pPr>
              <w:spacing w:after="0"/>
              <w:rPr>
                <w:sz w:val="1"/>
                <w:szCs w:val="1"/>
                <w:color w:val="auto"/>
              </w:rPr>
            </w:pPr>
          </w:p>
        </w:tc>
      </w:tr>
      <w:tr>
        <w:trPr>
          <w:trHeight w:val="270"/>
        </w:trPr>
        <w:tc>
          <w:tcPr>
            <w:tcW w:w="6920" w:type="dxa"/>
            <w:vAlign w:val="bottom"/>
          </w:tcPr>
          <w:p>
            <w:pPr>
              <w:ind w:left="140"/>
              <w:spacing w:after="0"/>
              <w:rPr>
                <w:sz w:val="20"/>
                <w:szCs w:val="20"/>
                <w:color w:val="auto"/>
              </w:rPr>
            </w:pPr>
            <w:r>
              <w:rPr>
                <w:rFonts w:ascii="Arial" w:cs="Arial" w:eastAsia="Arial" w:hAnsi="Arial"/>
                <w:sz w:val="16"/>
                <w:szCs w:val="16"/>
                <w:color w:val="auto"/>
              </w:rPr>
              <w:t>Prepaid and refundable taxes</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55.6</w:t>
            </w:r>
          </w:p>
        </w:tc>
        <w:tc>
          <w:tcPr>
            <w:tcW w:w="120" w:type="dxa"/>
            <w:vAlign w:val="bottom"/>
          </w:tcPr>
          <w:p>
            <w:pPr>
              <w:spacing w:after="0"/>
              <w:rPr>
                <w:sz w:val="23"/>
                <w:szCs w:val="23"/>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270"/>
        </w:trPr>
        <w:tc>
          <w:tcPr>
            <w:tcW w:w="6920" w:type="dxa"/>
            <w:vAlign w:val="bottom"/>
          </w:tcPr>
          <w:p>
            <w:pPr>
              <w:ind w:left="140"/>
              <w:spacing w:after="0"/>
              <w:rPr>
                <w:sz w:val="20"/>
                <w:szCs w:val="20"/>
                <w:color w:val="auto"/>
              </w:rPr>
            </w:pPr>
            <w:r>
              <w:rPr>
                <w:rFonts w:ascii="Arial" w:cs="Arial" w:eastAsia="Arial" w:hAnsi="Arial"/>
                <w:sz w:val="16"/>
                <w:szCs w:val="16"/>
                <w:color w:val="auto"/>
              </w:rPr>
              <w:t>Assets held for sale</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3"/>
                <w:szCs w:val="23"/>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70"/>
        </w:trPr>
        <w:tc>
          <w:tcPr>
            <w:tcW w:w="6920" w:type="dxa"/>
            <w:vAlign w:val="bottom"/>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49.2</w:t>
            </w:r>
          </w:p>
        </w:tc>
        <w:tc>
          <w:tcPr>
            <w:tcW w:w="120" w:type="dxa"/>
            <w:vAlign w:val="bottom"/>
          </w:tcPr>
          <w:p>
            <w:pPr>
              <w:spacing w:after="0"/>
              <w:rPr>
                <w:sz w:val="23"/>
                <w:szCs w:val="23"/>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47"/>
        </w:trPr>
        <w:tc>
          <w:tcPr>
            <w:tcW w:w="6920" w:type="dxa"/>
            <w:vAlign w:val="bottom"/>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920" w:type="dxa"/>
            <w:vAlign w:val="bottom"/>
          </w:tcPr>
          <w:p>
            <w:pPr>
              <w:spacing w:after="0"/>
              <w:rPr>
                <w:sz w:val="20"/>
                <w:szCs w:val="20"/>
                <w:color w:val="auto"/>
              </w:rPr>
            </w:pPr>
            <w:r>
              <w:rPr>
                <w:rFonts w:ascii="Arial" w:cs="Arial" w:eastAsia="Arial" w:hAnsi="Arial"/>
                <w:sz w:val="16"/>
                <w:szCs w:val="16"/>
                <w:color w:val="auto"/>
              </w:rPr>
              <w:t>Total Current Assets</w:t>
            </w:r>
          </w:p>
        </w:tc>
        <w:tc>
          <w:tcPr>
            <w:tcW w:w="2160" w:type="dxa"/>
            <w:vAlign w:val="bottom"/>
          </w:tcPr>
          <w:p>
            <w:pPr>
              <w:jc w:val="right"/>
              <w:ind w:right="139"/>
              <w:spacing w:after="0"/>
              <w:rPr>
                <w:sz w:val="20"/>
                <w:szCs w:val="20"/>
                <w:color w:val="auto"/>
              </w:rPr>
            </w:pPr>
            <w:r>
              <w:rPr>
                <w:rFonts w:ascii="Arial" w:cs="Arial" w:eastAsia="Arial" w:hAnsi="Arial"/>
                <w:sz w:val="16"/>
                <w:szCs w:val="16"/>
                <w:b w:val="1"/>
                <w:bCs w:val="1"/>
                <w:color w:val="auto"/>
              </w:rPr>
              <w:t>671.4</w:t>
            </w:r>
          </w:p>
        </w:tc>
        <w:tc>
          <w:tcPr>
            <w:tcW w:w="120" w:type="dxa"/>
            <w:vAlign w:val="bottom"/>
          </w:tcPr>
          <w:p>
            <w:pPr>
              <w:spacing w:after="0"/>
              <w:rPr>
                <w:sz w:val="18"/>
                <w:szCs w:val="18"/>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b w:val="1"/>
                <w:bCs w:val="1"/>
                <w:color w:val="auto"/>
              </w:rPr>
              <w:t>620.1</w:t>
            </w:r>
          </w:p>
        </w:tc>
        <w:tc>
          <w:tcPr>
            <w:tcW w:w="0" w:type="dxa"/>
            <w:vAlign w:val="bottom"/>
          </w:tcPr>
          <w:p>
            <w:pPr>
              <w:spacing w:after="0"/>
              <w:rPr>
                <w:sz w:val="1"/>
                <w:szCs w:val="1"/>
                <w:color w:val="auto"/>
              </w:rPr>
            </w:pPr>
          </w:p>
        </w:tc>
      </w:tr>
      <w:tr>
        <w:trPr>
          <w:trHeight w:val="47"/>
        </w:trPr>
        <w:tc>
          <w:tcPr>
            <w:tcW w:w="6920" w:type="dxa"/>
            <w:vAlign w:val="bottom"/>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920" w:type="dxa"/>
            <w:vAlign w:val="bottom"/>
          </w:tcPr>
          <w:p>
            <w:pPr>
              <w:ind w:left="140"/>
              <w:spacing w:after="0"/>
              <w:rPr>
                <w:sz w:val="20"/>
                <w:szCs w:val="20"/>
                <w:color w:val="auto"/>
              </w:rPr>
            </w:pPr>
            <w:r>
              <w:rPr>
                <w:rFonts w:ascii="Arial" w:cs="Arial" w:eastAsia="Arial" w:hAnsi="Arial"/>
                <w:sz w:val="16"/>
                <w:szCs w:val="16"/>
                <w:color w:val="auto"/>
              </w:rPr>
              <w:t>Property, plant and equipment, net</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211.2</w:t>
            </w:r>
          </w:p>
        </w:tc>
        <w:tc>
          <w:tcPr>
            <w:tcW w:w="120" w:type="dxa"/>
            <w:vAlign w:val="bottom"/>
          </w:tcPr>
          <w:p>
            <w:pPr>
              <w:spacing w:after="0"/>
              <w:rPr>
                <w:sz w:val="18"/>
                <w:szCs w:val="18"/>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223.8</w:t>
            </w:r>
          </w:p>
        </w:tc>
        <w:tc>
          <w:tcPr>
            <w:tcW w:w="0" w:type="dxa"/>
            <w:vAlign w:val="bottom"/>
          </w:tcPr>
          <w:p>
            <w:pPr>
              <w:spacing w:after="0"/>
              <w:rPr>
                <w:sz w:val="1"/>
                <w:szCs w:val="1"/>
                <w:color w:val="auto"/>
              </w:rPr>
            </w:pPr>
          </w:p>
        </w:tc>
      </w:tr>
      <w:tr>
        <w:trPr>
          <w:trHeight w:val="270"/>
        </w:trPr>
        <w:tc>
          <w:tcPr>
            <w:tcW w:w="6920" w:type="dxa"/>
            <w:vAlign w:val="bottom"/>
          </w:tcPr>
          <w:p>
            <w:pPr>
              <w:ind w:left="140"/>
              <w:spacing w:after="0"/>
              <w:rPr>
                <w:sz w:val="20"/>
                <w:szCs w:val="20"/>
                <w:color w:val="auto"/>
              </w:rPr>
            </w:pPr>
            <w:r>
              <w:rPr>
                <w:rFonts w:ascii="Arial" w:cs="Arial" w:eastAsia="Arial" w:hAnsi="Arial"/>
                <w:sz w:val="16"/>
                <w:szCs w:val="16"/>
                <w:color w:val="auto"/>
              </w:rPr>
              <w:t>Goodwill</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763.5</w:t>
            </w:r>
          </w:p>
        </w:tc>
        <w:tc>
          <w:tcPr>
            <w:tcW w:w="120" w:type="dxa"/>
            <w:vAlign w:val="bottom"/>
          </w:tcPr>
          <w:p>
            <w:pPr>
              <w:spacing w:after="0"/>
              <w:rPr>
                <w:sz w:val="23"/>
                <w:szCs w:val="23"/>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691.7</w:t>
            </w:r>
          </w:p>
        </w:tc>
        <w:tc>
          <w:tcPr>
            <w:tcW w:w="0" w:type="dxa"/>
            <w:vAlign w:val="bottom"/>
          </w:tcPr>
          <w:p>
            <w:pPr>
              <w:spacing w:after="0"/>
              <w:rPr>
                <w:sz w:val="1"/>
                <w:szCs w:val="1"/>
                <w:color w:val="auto"/>
              </w:rPr>
            </w:pPr>
          </w:p>
        </w:tc>
      </w:tr>
      <w:tr>
        <w:trPr>
          <w:trHeight w:val="270"/>
        </w:trPr>
        <w:tc>
          <w:tcPr>
            <w:tcW w:w="6920" w:type="dxa"/>
            <w:vAlign w:val="bottom"/>
          </w:tcPr>
          <w:p>
            <w:pPr>
              <w:ind w:left="140"/>
              <w:spacing w:after="0"/>
              <w:rPr>
                <w:sz w:val="20"/>
                <w:szCs w:val="20"/>
                <w:color w:val="auto"/>
              </w:rPr>
            </w:pPr>
            <w:r>
              <w:rPr>
                <w:rFonts w:ascii="Arial" w:cs="Arial" w:eastAsia="Arial" w:hAnsi="Arial"/>
                <w:sz w:val="16"/>
                <w:szCs w:val="16"/>
                <w:color w:val="auto"/>
              </w:rPr>
              <w:t>Intangible assets, net</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713.2</w:t>
            </w:r>
          </w:p>
        </w:tc>
        <w:tc>
          <w:tcPr>
            <w:tcW w:w="120" w:type="dxa"/>
            <w:vAlign w:val="bottom"/>
          </w:tcPr>
          <w:p>
            <w:pPr>
              <w:spacing w:after="0"/>
              <w:rPr>
                <w:sz w:val="23"/>
                <w:szCs w:val="23"/>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609.2</w:t>
            </w:r>
          </w:p>
        </w:tc>
        <w:tc>
          <w:tcPr>
            <w:tcW w:w="0" w:type="dxa"/>
            <w:vAlign w:val="bottom"/>
          </w:tcPr>
          <w:p>
            <w:pPr>
              <w:spacing w:after="0"/>
              <w:rPr>
                <w:sz w:val="1"/>
                <w:szCs w:val="1"/>
                <w:color w:val="auto"/>
              </w:rPr>
            </w:pPr>
          </w:p>
        </w:tc>
      </w:tr>
      <w:tr>
        <w:trPr>
          <w:trHeight w:val="270"/>
        </w:trPr>
        <w:tc>
          <w:tcPr>
            <w:tcW w:w="6920" w:type="dxa"/>
            <w:vAlign w:val="bottom"/>
          </w:tcPr>
          <w:p>
            <w:pPr>
              <w:ind w:left="140"/>
              <w:spacing w:after="0"/>
              <w:rPr>
                <w:sz w:val="20"/>
                <w:szCs w:val="20"/>
                <w:color w:val="auto"/>
              </w:rPr>
            </w:pPr>
            <w:r>
              <w:rPr>
                <w:rFonts w:ascii="Arial" w:cs="Arial" w:eastAsia="Arial" w:hAnsi="Arial"/>
                <w:sz w:val="16"/>
                <w:szCs w:val="16"/>
                <w:color w:val="auto"/>
              </w:rPr>
              <w:t>Investments</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41.0</w:t>
            </w:r>
          </w:p>
        </w:tc>
        <w:tc>
          <w:tcPr>
            <w:tcW w:w="120" w:type="dxa"/>
            <w:vAlign w:val="bottom"/>
          </w:tcPr>
          <w:p>
            <w:pPr>
              <w:spacing w:after="0"/>
              <w:rPr>
                <w:sz w:val="23"/>
                <w:szCs w:val="23"/>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270"/>
        </w:trPr>
        <w:tc>
          <w:tcPr>
            <w:tcW w:w="6920" w:type="dxa"/>
            <w:vAlign w:val="bottom"/>
          </w:tcPr>
          <w:p>
            <w:pPr>
              <w:ind w:left="140"/>
              <w:spacing w:after="0"/>
              <w:rPr>
                <w:sz w:val="20"/>
                <w:szCs w:val="20"/>
                <w:color w:val="auto"/>
              </w:rPr>
            </w:pPr>
            <w:r>
              <w:rPr>
                <w:rFonts w:ascii="Arial" w:cs="Arial" w:eastAsia="Arial" w:hAnsi="Arial"/>
                <w:sz w:val="16"/>
                <w:szCs w:val="16"/>
                <w:color w:val="auto"/>
              </w:rPr>
              <w:t>Deferred tax assets, net</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3"/>
                <w:szCs w:val="23"/>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70"/>
        </w:trPr>
        <w:tc>
          <w:tcPr>
            <w:tcW w:w="6920" w:type="dxa"/>
            <w:vAlign w:val="bottom"/>
          </w:tcPr>
          <w:p>
            <w:pPr>
              <w:ind w:left="140"/>
              <w:spacing w:after="0"/>
              <w:rPr>
                <w:sz w:val="20"/>
                <w:szCs w:val="20"/>
                <w:color w:val="auto"/>
              </w:rPr>
            </w:pPr>
            <w:r>
              <w:rPr>
                <w:rFonts w:ascii="Arial" w:cs="Arial" w:eastAsia="Arial" w:hAnsi="Arial"/>
                <w:sz w:val="16"/>
                <w:szCs w:val="16"/>
                <w:color w:val="auto"/>
              </w:rPr>
              <w:t>Other assets</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121.4</w:t>
            </w:r>
          </w:p>
        </w:tc>
        <w:tc>
          <w:tcPr>
            <w:tcW w:w="120" w:type="dxa"/>
            <w:vAlign w:val="bottom"/>
          </w:tcPr>
          <w:p>
            <w:pPr>
              <w:spacing w:after="0"/>
              <w:rPr>
                <w:sz w:val="23"/>
                <w:szCs w:val="23"/>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130.7</w:t>
            </w:r>
          </w:p>
        </w:tc>
        <w:tc>
          <w:tcPr>
            <w:tcW w:w="0" w:type="dxa"/>
            <w:vAlign w:val="bottom"/>
          </w:tcPr>
          <w:p>
            <w:pPr>
              <w:spacing w:after="0"/>
              <w:rPr>
                <w:sz w:val="1"/>
                <w:szCs w:val="1"/>
                <w:color w:val="auto"/>
              </w:rPr>
            </w:pPr>
          </w:p>
        </w:tc>
      </w:tr>
      <w:tr>
        <w:trPr>
          <w:trHeight w:val="47"/>
        </w:trPr>
        <w:tc>
          <w:tcPr>
            <w:tcW w:w="6920" w:type="dxa"/>
            <w:vAlign w:val="bottom"/>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6920" w:type="dxa"/>
            <w:vAlign w:val="bottom"/>
          </w:tcPr>
          <w:p>
            <w:pPr>
              <w:spacing w:after="0"/>
              <w:rPr>
                <w:sz w:val="20"/>
                <w:szCs w:val="20"/>
                <w:color w:val="auto"/>
              </w:rPr>
            </w:pPr>
            <w:r>
              <w:rPr>
                <w:rFonts w:ascii="Arial" w:cs="Arial" w:eastAsia="Arial" w:hAnsi="Arial"/>
                <w:sz w:val="16"/>
                <w:szCs w:val="16"/>
                <w:color w:val="auto"/>
              </w:rPr>
              <w:t>Total Assets</w:t>
            </w:r>
          </w:p>
        </w:tc>
        <w:tc>
          <w:tcPr>
            <w:tcW w:w="2160" w:type="dxa"/>
            <w:vAlign w:val="bottom"/>
          </w:tcPr>
          <w:p>
            <w:pPr>
              <w:jc w:val="right"/>
              <w:ind w:right="139"/>
              <w:spacing w:after="0"/>
              <w:rPr>
                <w:sz w:val="20"/>
                <w:szCs w:val="20"/>
                <w:color w:val="auto"/>
              </w:rPr>
            </w:pPr>
            <w:r>
              <w:rPr>
                <w:rFonts w:ascii="Arial" w:cs="Arial" w:eastAsia="Arial" w:hAnsi="Arial"/>
                <w:sz w:val="16"/>
                <w:szCs w:val="16"/>
                <w:b w:val="1"/>
                <w:bCs w:val="1"/>
                <w:color w:val="auto"/>
              </w:rPr>
              <w:t>$2,533.7</w:t>
            </w:r>
          </w:p>
        </w:tc>
        <w:tc>
          <w:tcPr>
            <w:tcW w:w="120" w:type="dxa"/>
            <w:vAlign w:val="bottom"/>
          </w:tcPr>
          <w:p>
            <w:pPr>
              <w:spacing w:after="0"/>
              <w:rPr>
                <w:sz w:val="20"/>
                <w:szCs w:val="20"/>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b w:val="1"/>
                <w:bCs w:val="1"/>
                <w:color w:val="auto"/>
              </w:rPr>
              <w:t>$2,342.6</w:t>
            </w:r>
          </w:p>
        </w:tc>
        <w:tc>
          <w:tcPr>
            <w:tcW w:w="0" w:type="dxa"/>
            <w:vAlign w:val="bottom"/>
          </w:tcPr>
          <w:p>
            <w:pPr>
              <w:spacing w:after="0"/>
              <w:rPr>
                <w:sz w:val="1"/>
                <w:szCs w:val="1"/>
                <w:color w:val="auto"/>
              </w:rPr>
            </w:pPr>
          </w:p>
        </w:tc>
      </w:tr>
      <w:tr>
        <w:trPr>
          <w:trHeight w:val="33"/>
        </w:trPr>
        <w:tc>
          <w:tcPr>
            <w:tcW w:w="692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LIABILITIES AND STOCKHOLDERS’ EQUITY</w:t>
            </w:r>
          </w:p>
        </w:tc>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20" w:type="dxa"/>
            <w:vAlign w:val="bottom"/>
            <w:vMerge w:val="continue"/>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920" w:type="dxa"/>
            <w:vAlign w:val="bottom"/>
            <w:vMerge w:val="continue"/>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20" w:type="dxa"/>
            <w:vAlign w:val="bottom"/>
          </w:tcPr>
          <w:p>
            <w:pPr>
              <w:spacing w:after="0"/>
              <w:rPr>
                <w:sz w:val="20"/>
                <w:szCs w:val="20"/>
                <w:color w:val="auto"/>
              </w:rPr>
            </w:pPr>
            <w:r>
              <w:rPr>
                <w:rFonts w:ascii="Arial" w:cs="Arial" w:eastAsia="Arial" w:hAnsi="Arial"/>
                <w:sz w:val="16"/>
                <w:szCs w:val="16"/>
                <w:color w:val="auto"/>
              </w:rPr>
              <w:t>Current Liabilities:</w:t>
            </w:r>
          </w:p>
        </w:tc>
        <w:tc>
          <w:tcPr>
            <w:tcW w:w="2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tcPr>
          <w:p>
            <w:pPr>
              <w:ind w:left="140"/>
              <w:spacing w:after="0"/>
              <w:rPr>
                <w:sz w:val="20"/>
                <w:szCs w:val="20"/>
                <w:color w:val="auto"/>
              </w:rPr>
            </w:pPr>
            <w:r>
              <w:rPr>
                <w:rFonts w:ascii="Arial" w:cs="Arial" w:eastAsia="Arial" w:hAnsi="Arial"/>
                <w:sz w:val="16"/>
                <w:szCs w:val="16"/>
                <w:color w:val="auto"/>
              </w:rPr>
              <w:t>Current debt obligations</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$55.8</w:t>
            </w:r>
          </w:p>
        </w:tc>
        <w:tc>
          <w:tcPr>
            <w:tcW w:w="120" w:type="dxa"/>
            <w:vAlign w:val="bottom"/>
          </w:tcPr>
          <w:p>
            <w:pPr>
              <w:spacing w:after="0"/>
              <w:rPr>
                <w:sz w:val="23"/>
                <w:szCs w:val="23"/>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70"/>
        </w:trPr>
        <w:tc>
          <w:tcPr>
            <w:tcW w:w="692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105.1</w:t>
            </w:r>
          </w:p>
        </w:tc>
        <w:tc>
          <w:tcPr>
            <w:tcW w:w="120" w:type="dxa"/>
            <w:vAlign w:val="bottom"/>
          </w:tcPr>
          <w:p>
            <w:pPr>
              <w:spacing w:after="0"/>
              <w:rPr>
                <w:sz w:val="23"/>
                <w:szCs w:val="23"/>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93.0</w:t>
            </w:r>
          </w:p>
        </w:tc>
        <w:tc>
          <w:tcPr>
            <w:tcW w:w="0" w:type="dxa"/>
            <w:vAlign w:val="bottom"/>
          </w:tcPr>
          <w:p>
            <w:pPr>
              <w:spacing w:after="0"/>
              <w:rPr>
                <w:sz w:val="1"/>
                <w:szCs w:val="1"/>
                <w:color w:val="auto"/>
              </w:rPr>
            </w:pPr>
          </w:p>
        </w:tc>
      </w:tr>
      <w:tr>
        <w:trPr>
          <w:trHeight w:val="270"/>
        </w:trPr>
        <w:tc>
          <w:tcPr>
            <w:tcW w:w="6920" w:type="dxa"/>
            <w:vAlign w:val="bottom"/>
          </w:tcPr>
          <w:p>
            <w:pPr>
              <w:ind w:left="140"/>
              <w:spacing w:after="0"/>
              <w:rPr>
                <w:sz w:val="20"/>
                <w:szCs w:val="20"/>
                <w:color w:val="auto"/>
              </w:rPr>
            </w:pPr>
            <w:r>
              <w:rPr>
                <w:rFonts w:ascii="Arial" w:cs="Arial" w:eastAsia="Arial" w:hAnsi="Arial"/>
                <w:sz w:val="16"/>
                <w:szCs w:val="16"/>
                <w:color w:val="auto"/>
              </w:rPr>
              <w:t>Accrued liabilities</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23"/>
                <w:szCs w:val="23"/>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75.6</w:t>
            </w:r>
          </w:p>
        </w:tc>
        <w:tc>
          <w:tcPr>
            <w:tcW w:w="0" w:type="dxa"/>
            <w:vAlign w:val="bottom"/>
          </w:tcPr>
          <w:p>
            <w:pPr>
              <w:spacing w:after="0"/>
              <w:rPr>
                <w:sz w:val="1"/>
                <w:szCs w:val="1"/>
                <w:color w:val="auto"/>
              </w:rPr>
            </w:pPr>
          </w:p>
        </w:tc>
      </w:tr>
      <w:tr>
        <w:trPr>
          <w:trHeight w:val="270"/>
        </w:trPr>
        <w:tc>
          <w:tcPr>
            <w:tcW w:w="6920" w:type="dxa"/>
            <w:vAlign w:val="bottom"/>
          </w:tcPr>
          <w:p>
            <w:pPr>
              <w:ind w:left="140"/>
              <w:spacing w:after="0"/>
              <w:rPr>
                <w:sz w:val="20"/>
                <w:szCs w:val="20"/>
                <w:color w:val="auto"/>
              </w:rPr>
            </w:pPr>
            <w:r>
              <w:rPr>
                <w:rFonts w:ascii="Arial" w:cs="Arial" w:eastAsia="Arial" w:hAnsi="Arial"/>
                <w:sz w:val="16"/>
                <w:szCs w:val="16"/>
                <w:color w:val="auto"/>
              </w:rPr>
              <w:t>Taxes payable</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23"/>
                <w:szCs w:val="23"/>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70"/>
        </w:trPr>
        <w:tc>
          <w:tcPr>
            <w:tcW w:w="6920" w:type="dxa"/>
            <w:vAlign w:val="bottom"/>
          </w:tcPr>
          <w:p>
            <w:pPr>
              <w:ind w:left="140"/>
              <w:spacing w:after="0"/>
              <w:rPr>
                <w:sz w:val="20"/>
                <w:szCs w:val="20"/>
                <w:color w:val="auto"/>
              </w:rPr>
            </w:pPr>
            <w:r>
              <w:rPr>
                <w:rFonts w:ascii="Arial" w:cs="Arial" w:eastAsia="Arial" w:hAnsi="Arial"/>
                <w:sz w:val="16"/>
                <w:szCs w:val="16"/>
                <w:color w:val="auto"/>
              </w:rPr>
              <w:t>Accrued employee compensation and related benefits liability</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68.9</w:t>
            </w:r>
          </w:p>
        </w:tc>
        <w:tc>
          <w:tcPr>
            <w:tcW w:w="120" w:type="dxa"/>
            <w:vAlign w:val="bottom"/>
          </w:tcPr>
          <w:p>
            <w:pPr>
              <w:spacing w:after="0"/>
              <w:rPr>
                <w:sz w:val="23"/>
                <w:szCs w:val="23"/>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78.3</w:t>
            </w:r>
          </w:p>
        </w:tc>
        <w:tc>
          <w:tcPr>
            <w:tcW w:w="0" w:type="dxa"/>
            <w:vAlign w:val="bottom"/>
          </w:tcPr>
          <w:p>
            <w:pPr>
              <w:spacing w:after="0"/>
              <w:rPr>
                <w:sz w:val="1"/>
                <w:szCs w:val="1"/>
                <w:color w:val="auto"/>
              </w:rPr>
            </w:pPr>
          </w:p>
        </w:tc>
      </w:tr>
      <w:tr>
        <w:trPr>
          <w:trHeight w:val="47"/>
        </w:trPr>
        <w:tc>
          <w:tcPr>
            <w:tcW w:w="6920" w:type="dxa"/>
            <w:vAlign w:val="bottom"/>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92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2160" w:type="dxa"/>
            <w:vAlign w:val="bottom"/>
          </w:tcPr>
          <w:p>
            <w:pPr>
              <w:jc w:val="right"/>
              <w:ind w:right="139"/>
              <w:spacing w:after="0"/>
              <w:rPr>
                <w:sz w:val="20"/>
                <w:szCs w:val="20"/>
                <w:color w:val="auto"/>
              </w:rPr>
            </w:pPr>
            <w:r>
              <w:rPr>
                <w:rFonts w:ascii="Arial" w:cs="Arial" w:eastAsia="Arial" w:hAnsi="Arial"/>
                <w:sz w:val="16"/>
                <w:szCs w:val="16"/>
                <w:b w:val="1"/>
                <w:bCs w:val="1"/>
                <w:color w:val="auto"/>
              </w:rPr>
              <w:t>342.4</w:t>
            </w:r>
          </w:p>
        </w:tc>
        <w:tc>
          <w:tcPr>
            <w:tcW w:w="120" w:type="dxa"/>
            <w:vAlign w:val="bottom"/>
          </w:tcPr>
          <w:p>
            <w:pPr>
              <w:spacing w:after="0"/>
              <w:rPr>
                <w:sz w:val="18"/>
                <w:szCs w:val="18"/>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b w:val="1"/>
                <w:bCs w:val="1"/>
                <w:color w:val="auto"/>
              </w:rPr>
              <w:t>316.8</w:t>
            </w:r>
          </w:p>
        </w:tc>
        <w:tc>
          <w:tcPr>
            <w:tcW w:w="0" w:type="dxa"/>
            <w:vAlign w:val="bottom"/>
          </w:tcPr>
          <w:p>
            <w:pPr>
              <w:spacing w:after="0"/>
              <w:rPr>
                <w:sz w:val="1"/>
                <w:szCs w:val="1"/>
                <w:color w:val="auto"/>
              </w:rPr>
            </w:pPr>
          </w:p>
        </w:tc>
      </w:tr>
      <w:tr>
        <w:trPr>
          <w:trHeight w:val="47"/>
        </w:trPr>
        <w:tc>
          <w:tcPr>
            <w:tcW w:w="6920" w:type="dxa"/>
            <w:vAlign w:val="bottom"/>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920" w:type="dxa"/>
            <w:vAlign w:val="bottom"/>
          </w:tcPr>
          <w:p>
            <w:pPr>
              <w:ind w:left="140"/>
              <w:spacing w:after="0"/>
              <w:rPr>
                <w:sz w:val="20"/>
                <w:szCs w:val="20"/>
                <w:color w:val="auto"/>
              </w:rPr>
            </w:pPr>
            <w:r>
              <w:rPr>
                <w:rFonts w:ascii="Arial" w:cs="Arial" w:eastAsia="Arial" w:hAnsi="Arial"/>
                <w:sz w:val="16"/>
                <w:szCs w:val="16"/>
                <w:color w:val="auto"/>
              </w:rPr>
              <w:t>Long-term debt obligations</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69.7</w:t>
            </w:r>
          </w:p>
        </w:tc>
        <w:tc>
          <w:tcPr>
            <w:tcW w:w="120" w:type="dxa"/>
            <w:vAlign w:val="bottom"/>
          </w:tcPr>
          <w:p>
            <w:pPr>
              <w:spacing w:after="0"/>
              <w:rPr>
                <w:sz w:val="18"/>
                <w:szCs w:val="18"/>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75.2</w:t>
            </w:r>
          </w:p>
        </w:tc>
        <w:tc>
          <w:tcPr>
            <w:tcW w:w="0" w:type="dxa"/>
            <w:vAlign w:val="bottom"/>
          </w:tcPr>
          <w:p>
            <w:pPr>
              <w:spacing w:after="0"/>
              <w:rPr>
                <w:sz w:val="1"/>
                <w:szCs w:val="1"/>
                <w:color w:val="auto"/>
              </w:rPr>
            </w:pPr>
          </w:p>
        </w:tc>
      </w:tr>
      <w:tr>
        <w:trPr>
          <w:trHeight w:val="270"/>
        </w:trPr>
        <w:tc>
          <w:tcPr>
            <w:tcW w:w="6920" w:type="dxa"/>
            <w:vAlign w:val="bottom"/>
          </w:tcPr>
          <w:p>
            <w:pPr>
              <w:ind w:left="140"/>
              <w:spacing w:after="0"/>
              <w:rPr>
                <w:sz w:val="20"/>
                <w:szCs w:val="20"/>
                <w:color w:val="auto"/>
              </w:rPr>
            </w:pPr>
            <w:r>
              <w:rPr>
                <w:rFonts w:ascii="Arial" w:cs="Arial" w:eastAsia="Arial" w:hAnsi="Arial"/>
                <w:sz w:val="16"/>
                <w:szCs w:val="16"/>
                <w:color w:val="auto"/>
              </w:rPr>
              <w:t>Deferred income taxes liability</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169.2</w:t>
            </w:r>
          </w:p>
        </w:tc>
        <w:tc>
          <w:tcPr>
            <w:tcW w:w="120" w:type="dxa"/>
            <w:vAlign w:val="bottom"/>
          </w:tcPr>
          <w:p>
            <w:pPr>
              <w:spacing w:after="0"/>
              <w:rPr>
                <w:sz w:val="23"/>
                <w:szCs w:val="23"/>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172.5</w:t>
            </w:r>
          </w:p>
        </w:tc>
        <w:tc>
          <w:tcPr>
            <w:tcW w:w="0" w:type="dxa"/>
            <w:vAlign w:val="bottom"/>
          </w:tcPr>
          <w:p>
            <w:pPr>
              <w:spacing w:after="0"/>
              <w:rPr>
                <w:sz w:val="1"/>
                <w:szCs w:val="1"/>
                <w:color w:val="auto"/>
              </w:rPr>
            </w:pPr>
          </w:p>
        </w:tc>
      </w:tr>
      <w:tr>
        <w:trPr>
          <w:trHeight w:val="270"/>
        </w:trPr>
        <w:tc>
          <w:tcPr>
            <w:tcW w:w="6920" w:type="dxa"/>
            <w:vAlign w:val="bottom"/>
          </w:tcPr>
          <w:p>
            <w:pPr>
              <w:ind w:left="140"/>
              <w:spacing w:after="0"/>
              <w:rPr>
                <w:sz w:val="20"/>
                <w:szCs w:val="20"/>
                <w:color w:val="auto"/>
              </w:rPr>
            </w:pPr>
            <w:r>
              <w:rPr>
                <w:rFonts w:ascii="Arial" w:cs="Arial" w:eastAsia="Arial" w:hAnsi="Arial"/>
                <w:sz w:val="16"/>
                <w:szCs w:val="16"/>
                <w:color w:val="auto"/>
              </w:rPr>
              <w:t>Long-term employee compensation and related benefits liability</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23"/>
                <w:szCs w:val="23"/>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70"/>
        </w:trPr>
        <w:tc>
          <w:tcPr>
            <w:tcW w:w="6920" w:type="dxa"/>
            <w:vAlign w:val="bottom"/>
          </w:tcPr>
          <w:p>
            <w:pPr>
              <w:ind w:left="140"/>
              <w:spacing w:after="0"/>
              <w:rPr>
                <w:sz w:val="20"/>
                <w:szCs w:val="20"/>
                <w:color w:val="auto"/>
              </w:rPr>
            </w:pPr>
            <w:r>
              <w:rPr>
                <w:rFonts w:ascii="Arial" w:cs="Arial" w:eastAsia="Arial" w:hAnsi="Arial"/>
                <w:sz w:val="16"/>
                <w:szCs w:val="16"/>
                <w:color w:val="auto"/>
              </w:rPr>
              <w:t>Other long-term liabilities</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75.7</w:t>
            </w:r>
          </w:p>
        </w:tc>
        <w:tc>
          <w:tcPr>
            <w:tcW w:w="120" w:type="dxa"/>
            <w:vAlign w:val="bottom"/>
          </w:tcPr>
          <w:p>
            <w:pPr>
              <w:spacing w:after="0"/>
              <w:rPr>
                <w:sz w:val="23"/>
                <w:szCs w:val="23"/>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47"/>
        </w:trPr>
        <w:tc>
          <w:tcPr>
            <w:tcW w:w="6920" w:type="dxa"/>
            <w:vAlign w:val="bottom"/>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920" w:type="dxa"/>
            <w:vAlign w:val="bottom"/>
          </w:tcPr>
          <w:p>
            <w:pPr>
              <w:spacing w:after="0"/>
              <w:rPr>
                <w:sz w:val="20"/>
                <w:szCs w:val="20"/>
                <w:color w:val="auto"/>
              </w:rPr>
            </w:pPr>
            <w:r>
              <w:rPr>
                <w:rFonts w:ascii="Arial" w:cs="Arial" w:eastAsia="Arial" w:hAnsi="Arial"/>
                <w:sz w:val="16"/>
                <w:szCs w:val="16"/>
                <w:color w:val="auto"/>
              </w:rPr>
              <w:t>Total Liabilities</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$690.2</w:t>
            </w:r>
          </w:p>
        </w:tc>
        <w:tc>
          <w:tcPr>
            <w:tcW w:w="120" w:type="dxa"/>
            <w:vAlign w:val="bottom"/>
          </w:tcPr>
          <w:p>
            <w:pPr>
              <w:spacing w:after="0"/>
              <w:rPr>
                <w:sz w:val="18"/>
                <w:szCs w:val="18"/>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$635.7</w:t>
            </w:r>
          </w:p>
        </w:tc>
        <w:tc>
          <w:tcPr>
            <w:tcW w:w="0" w:type="dxa"/>
            <w:vAlign w:val="bottom"/>
          </w:tcPr>
          <w:p>
            <w:pPr>
              <w:spacing w:after="0"/>
              <w:rPr>
                <w:sz w:val="1"/>
                <w:szCs w:val="1"/>
                <w:color w:val="auto"/>
              </w:rPr>
            </w:pPr>
          </w:p>
        </w:tc>
      </w:tr>
      <w:tr>
        <w:trPr>
          <w:trHeight w:val="47"/>
        </w:trPr>
        <w:tc>
          <w:tcPr>
            <w:tcW w:w="6920" w:type="dxa"/>
            <w:vAlign w:val="bottom"/>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92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1,843.5</w:t>
            </w:r>
          </w:p>
        </w:tc>
        <w:tc>
          <w:tcPr>
            <w:tcW w:w="120" w:type="dxa"/>
            <w:vAlign w:val="bottom"/>
          </w:tcPr>
          <w:p>
            <w:pPr>
              <w:spacing w:after="0"/>
              <w:rPr>
                <w:sz w:val="18"/>
                <w:szCs w:val="18"/>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1,706.9</w:t>
            </w:r>
          </w:p>
        </w:tc>
        <w:tc>
          <w:tcPr>
            <w:tcW w:w="0" w:type="dxa"/>
            <w:vAlign w:val="bottom"/>
          </w:tcPr>
          <w:p>
            <w:pPr>
              <w:spacing w:after="0"/>
              <w:rPr>
                <w:sz w:val="1"/>
                <w:szCs w:val="1"/>
                <w:color w:val="auto"/>
              </w:rPr>
            </w:pPr>
          </w:p>
        </w:tc>
      </w:tr>
      <w:tr>
        <w:trPr>
          <w:trHeight w:val="47"/>
        </w:trPr>
        <w:tc>
          <w:tcPr>
            <w:tcW w:w="6920" w:type="dxa"/>
            <w:vAlign w:val="bottom"/>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692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2160" w:type="dxa"/>
            <w:vAlign w:val="bottom"/>
          </w:tcPr>
          <w:p>
            <w:pPr>
              <w:jc w:val="right"/>
              <w:ind w:right="139"/>
              <w:spacing w:after="0"/>
              <w:rPr>
                <w:sz w:val="20"/>
                <w:szCs w:val="20"/>
                <w:color w:val="auto"/>
              </w:rPr>
            </w:pPr>
            <w:r>
              <w:rPr>
                <w:rFonts w:ascii="Arial" w:cs="Arial" w:eastAsia="Arial" w:hAnsi="Arial"/>
                <w:sz w:val="16"/>
                <w:szCs w:val="16"/>
                <w:b w:val="1"/>
                <w:bCs w:val="1"/>
                <w:color w:val="auto"/>
              </w:rPr>
              <w:t>$2,533.7</w:t>
            </w:r>
          </w:p>
        </w:tc>
        <w:tc>
          <w:tcPr>
            <w:tcW w:w="120" w:type="dxa"/>
            <w:vAlign w:val="bottom"/>
          </w:tcPr>
          <w:p>
            <w:pPr>
              <w:spacing w:after="0"/>
              <w:rPr>
                <w:sz w:val="20"/>
                <w:szCs w:val="20"/>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b w:val="1"/>
                <w:bCs w:val="1"/>
                <w:color w:val="auto"/>
              </w:rPr>
              <w:t>$2,342.6</w:t>
            </w:r>
          </w:p>
        </w:tc>
        <w:tc>
          <w:tcPr>
            <w:tcW w:w="0" w:type="dxa"/>
            <w:vAlign w:val="bottom"/>
          </w:tcPr>
          <w:p>
            <w:pPr>
              <w:spacing w:after="0"/>
              <w:rPr>
                <w:sz w:val="1"/>
                <w:szCs w:val="1"/>
                <w:color w:val="auto"/>
              </w:rPr>
            </w:pPr>
          </w:p>
        </w:tc>
      </w:tr>
      <w:tr>
        <w:trPr>
          <w:trHeight w:val="33"/>
        </w:trPr>
        <w:tc>
          <w:tcPr>
            <w:tcW w:w="69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ind w:left="120" w:hanging="112"/>
        <w:spacing w:after="0"/>
        <w:tabs>
          <w:tab w:leader="none" w:pos="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Numbers may not add up precisely due to rounding.</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743" w:right="239" w:bottom="1440" w:gutter="0" w:footer="0" w:header="0"/>
        </w:sectPr>
      </w:pPr>
    </w:p>
    <w:bookmarkStart w:id="18" w:name="page19"/>
    <w:bookmarkEnd w:id="18"/>
    <w:p>
      <w:pPr>
        <w:spacing w:after="0"/>
        <w:rPr>
          <w:sz w:val="20"/>
          <w:szCs w:val="20"/>
          <w:color w:val="auto"/>
        </w:rPr>
      </w:pPr>
      <w:r>
        <w:rPr>
          <w:rFonts w:ascii="Arial" w:cs="Arial" w:eastAsia="Arial" w:hAnsi="Arial"/>
          <w:sz w:val="20"/>
          <w:szCs w:val="20"/>
          <w:b w:val="1"/>
          <w:bCs w:val="1"/>
          <w:color w:val="auto"/>
        </w:rPr>
        <w:t>LIVANOVA PLC AND SUBSIDIARIES</w:t>
      </w:r>
    </w:p>
    <w:p>
      <w:pPr>
        <w:spacing w:after="0" w:line="67" w:lineRule="exact"/>
        <w:rPr>
          <w:sz w:val="20"/>
          <w:szCs w:val="20"/>
          <w:color w:val="auto"/>
        </w:rPr>
      </w:pPr>
    </w:p>
    <w:p>
      <w:pPr>
        <w:ind w:right="2900"/>
        <w:spacing w:after="0" w:line="315" w:lineRule="auto"/>
        <w:rPr>
          <w:sz w:val="20"/>
          <w:szCs w:val="20"/>
          <w:color w:val="auto"/>
        </w:rPr>
      </w:pPr>
      <w:r>
        <w:rPr>
          <w:rFonts w:ascii="Arial" w:cs="Arial" w:eastAsia="Arial" w:hAnsi="Arial"/>
          <w:sz w:val="20"/>
          <w:szCs w:val="20"/>
          <w:b w:val="1"/>
          <w:bCs w:val="1"/>
          <w:color w:val="auto"/>
        </w:rPr>
        <w:t>CONDENSED CONSOLIDATED STATEMENT OF CASH FLOW - UNAUDITED (U.S. dollars in millions)</w:t>
      </w:r>
    </w:p>
    <w:tbl>
      <w:tblPr>
        <w:tblLayout w:type="fixed"/>
        <w:tblInd w:w="0" w:type="dxa"/>
        <w:tblCellMar>
          <w:top w:w="0" w:type="dxa"/>
          <w:left w:w="0" w:type="dxa"/>
          <w:bottom w:w="0" w:type="dxa"/>
          <w:right w:w="0" w:type="dxa"/>
        </w:tblCellMar>
      </w:tblPr>
      <w:tr>
        <w:trPr>
          <w:trHeight w:val="215"/>
        </w:trPr>
        <w:tc>
          <w:tcPr>
            <w:tcW w:w="6840" w:type="dxa"/>
            <w:vAlign w:val="bottom"/>
          </w:tcPr>
          <w:p>
            <w:pPr>
              <w:spacing w:after="0"/>
              <w:rPr>
                <w:sz w:val="18"/>
                <w:szCs w:val="18"/>
                <w:color w:val="auto"/>
              </w:rPr>
            </w:pPr>
          </w:p>
        </w:tc>
        <w:tc>
          <w:tcPr>
            <w:tcW w:w="296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Six Months Ended June 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84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840" w:type="dxa"/>
            <w:vAlign w:val="bottom"/>
          </w:tcPr>
          <w:p>
            <w:pPr>
              <w:spacing w:after="0"/>
              <w:rPr>
                <w:sz w:val="18"/>
                <w:szCs w:val="18"/>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840" w:type="dxa"/>
            <w:vAlign w:val="bottom"/>
            <w:vMerge w:val="restart"/>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84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16"/>
                <w:szCs w:val="16"/>
                <w:color w:val="auto"/>
              </w:rPr>
              <w:t>Net Income (loss)</w:t>
            </w:r>
          </w:p>
        </w:tc>
        <w:tc>
          <w:tcPr>
            <w:tcW w:w="1360" w:type="dxa"/>
            <w:vAlign w:val="bottom"/>
          </w:tcPr>
          <w:p>
            <w:pPr>
              <w:jc w:val="right"/>
              <w:spacing w:after="0"/>
              <w:rPr>
                <w:sz w:val="20"/>
                <w:szCs w:val="20"/>
                <w:color w:val="auto"/>
              </w:rPr>
            </w:pPr>
            <w:r>
              <w:rPr>
                <w:rFonts w:ascii="Arial" w:cs="Arial" w:eastAsia="Arial" w:hAnsi="Arial"/>
                <w:sz w:val="16"/>
                <w:szCs w:val="16"/>
                <w:color w:val="auto"/>
              </w:rPr>
              <w:t>$58.8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16"/>
                <w:szCs w:val="16"/>
                <w:color w:val="auto"/>
              </w:rPr>
              <w:t>Non-cash items included in net income (loss):</w:t>
            </w: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Depreciation</w:t>
            </w:r>
          </w:p>
        </w:tc>
        <w:tc>
          <w:tcPr>
            <w:tcW w:w="1360" w:type="dxa"/>
            <w:vAlign w:val="bottom"/>
          </w:tcPr>
          <w:p>
            <w:pPr>
              <w:jc w:val="right"/>
              <w:spacing w:after="0"/>
              <w:rPr>
                <w:sz w:val="20"/>
                <w:szCs w:val="20"/>
                <w:color w:val="auto"/>
              </w:rPr>
            </w:pPr>
            <w:r>
              <w:rPr>
                <w:rFonts w:ascii="Arial" w:cs="Arial" w:eastAsia="Arial" w:hAnsi="Arial"/>
                <w:sz w:val="16"/>
                <w:szCs w:val="16"/>
                <w:color w:val="auto"/>
              </w:rPr>
              <w:t>18.0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19.5</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Amortization</w:t>
            </w:r>
          </w:p>
        </w:tc>
        <w:tc>
          <w:tcPr>
            <w:tcW w:w="1360" w:type="dxa"/>
            <w:vAlign w:val="bottom"/>
          </w:tcPr>
          <w:p>
            <w:pPr>
              <w:jc w:val="right"/>
              <w:spacing w:after="0"/>
              <w:rPr>
                <w:sz w:val="20"/>
                <w:szCs w:val="20"/>
                <w:color w:val="auto"/>
              </w:rPr>
            </w:pPr>
            <w:r>
              <w:rPr>
                <w:rFonts w:ascii="Arial" w:cs="Arial" w:eastAsia="Arial" w:hAnsi="Arial"/>
                <w:sz w:val="16"/>
                <w:szCs w:val="16"/>
                <w:color w:val="auto"/>
              </w:rPr>
              <w:t>23.1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22.2</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Stock-based compensation</w:t>
            </w:r>
          </w:p>
        </w:tc>
        <w:tc>
          <w:tcPr>
            <w:tcW w:w="1360" w:type="dxa"/>
            <w:vAlign w:val="bottom"/>
          </w:tcPr>
          <w:p>
            <w:pPr>
              <w:jc w:val="right"/>
              <w:spacing w:after="0"/>
              <w:rPr>
                <w:sz w:val="20"/>
                <w:szCs w:val="20"/>
                <w:color w:val="auto"/>
              </w:rPr>
            </w:pPr>
            <w:r>
              <w:rPr>
                <w:rFonts w:ascii="Arial" w:cs="Arial" w:eastAsia="Arial" w:hAnsi="Arial"/>
                <w:sz w:val="16"/>
                <w:szCs w:val="16"/>
                <w:color w:val="auto"/>
              </w:rPr>
              <w:t>8.6</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10.8</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Amortization of income taxes from inter-company transfers</w:t>
            </w:r>
          </w:p>
        </w:tc>
        <w:tc>
          <w:tcPr>
            <w:tcW w:w="1360" w:type="dxa"/>
            <w:vAlign w:val="bottom"/>
          </w:tcPr>
          <w:p>
            <w:pPr>
              <w:jc w:val="right"/>
              <w:spacing w:after="0"/>
              <w:rPr>
                <w:sz w:val="20"/>
                <w:szCs w:val="20"/>
                <w:color w:val="auto"/>
              </w:rPr>
            </w:pPr>
            <w:r>
              <w:rPr>
                <w:rFonts w:ascii="Arial" w:cs="Arial" w:eastAsia="Arial" w:hAnsi="Arial"/>
                <w:sz w:val="16"/>
                <w:szCs w:val="16"/>
                <w:color w:val="auto"/>
              </w:rPr>
              <w:t>17.8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8.7</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Deferred income tax benefit</w:t>
            </w:r>
          </w:p>
        </w:tc>
        <w:tc>
          <w:tcPr>
            <w:tcW w:w="1360" w:type="dxa"/>
            <w:vAlign w:val="bottom"/>
          </w:tcPr>
          <w:p>
            <w:pPr>
              <w:jc w:val="right"/>
              <w:spacing w:after="0"/>
              <w:rPr>
                <w:sz w:val="20"/>
                <w:szCs w:val="20"/>
                <w:color w:val="auto"/>
              </w:rPr>
            </w:pPr>
            <w:r>
              <w:rPr>
                <w:rFonts w:ascii="Arial" w:cs="Arial" w:eastAsia="Arial" w:hAnsi="Arial"/>
                <w:sz w:val="16"/>
                <w:szCs w:val="16"/>
                <w:color w:val="auto"/>
              </w:rPr>
              <w:t>(19.8</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Losses from equity method investments</w:t>
            </w:r>
          </w:p>
        </w:tc>
        <w:tc>
          <w:tcPr>
            <w:tcW w:w="1360" w:type="dxa"/>
            <w:vAlign w:val="bottom"/>
          </w:tcPr>
          <w:p>
            <w:pPr>
              <w:jc w:val="right"/>
              <w:spacing w:after="0"/>
              <w:rPr>
                <w:sz w:val="20"/>
                <w:szCs w:val="20"/>
                <w:color w:val="auto"/>
              </w:rPr>
            </w:pPr>
            <w:r>
              <w:rPr>
                <w:rFonts w:ascii="Arial" w:cs="Arial" w:eastAsia="Arial" w:hAnsi="Arial"/>
                <w:sz w:val="16"/>
                <w:szCs w:val="16"/>
                <w:color w:val="auto"/>
              </w:rPr>
              <w:t>18.5</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6.3</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Gain on acquisition of Caisson Interventional, LLC</w:t>
            </w:r>
          </w:p>
        </w:tc>
        <w:tc>
          <w:tcPr>
            <w:tcW w:w="1360" w:type="dxa"/>
            <w:vAlign w:val="bottom"/>
          </w:tcPr>
          <w:p>
            <w:pPr>
              <w:jc w:val="right"/>
              <w:spacing w:after="0"/>
              <w:rPr>
                <w:sz w:val="20"/>
                <w:szCs w:val="20"/>
                <w:color w:val="auto"/>
              </w:rPr>
            </w:pPr>
            <w:r>
              <w:rPr>
                <w:rFonts w:ascii="Arial" w:cs="Arial" w:eastAsia="Arial" w:hAnsi="Arial"/>
                <w:sz w:val="16"/>
                <w:szCs w:val="16"/>
                <w:color w:val="auto"/>
              </w:rPr>
              <w:t>(39.4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Impairment of property, plant and equipment</w:t>
            </w:r>
          </w:p>
        </w:tc>
        <w:tc>
          <w:tcPr>
            <w:tcW w:w="1360" w:type="dxa"/>
            <w:vAlign w:val="bottom"/>
          </w:tcPr>
          <w:p>
            <w:pPr>
              <w:jc w:val="right"/>
              <w:spacing w:after="0"/>
              <w:rPr>
                <w:sz w:val="20"/>
                <w:szCs w:val="20"/>
                <w:color w:val="auto"/>
              </w:rPr>
            </w:pPr>
            <w:r>
              <w:rPr>
                <w:rFonts w:ascii="Arial" w:cs="Arial" w:eastAsia="Arial" w:hAnsi="Arial"/>
                <w:sz w:val="16"/>
                <w:szCs w:val="16"/>
                <w:color w:val="auto"/>
              </w:rPr>
              <w:t>4.6</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Other</w:t>
            </w:r>
          </w:p>
        </w:tc>
        <w:tc>
          <w:tcPr>
            <w:tcW w:w="1360" w:type="dxa"/>
            <w:vAlign w:val="bottom"/>
          </w:tcPr>
          <w:p>
            <w:pPr>
              <w:jc w:val="right"/>
              <w:spacing w:after="0"/>
              <w:rPr>
                <w:sz w:val="20"/>
                <w:szCs w:val="20"/>
                <w:color w:val="auto"/>
              </w:rPr>
            </w:pPr>
            <w:r>
              <w:rPr>
                <w:rFonts w:ascii="Arial" w:cs="Arial" w:eastAsia="Arial" w:hAnsi="Arial"/>
                <w:sz w:val="16"/>
                <w:szCs w:val="16"/>
                <w:color w:val="auto"/>
              </w:rPr>
              <w:t>1.8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4.7</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16"/>
                <w:szCs w:val="16"/>
                <w:color w:val="auto"/>
              </w:rPr>
              <w:t>Changes in operating assets and liabilities:</w:t>
            </w: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Accounts receivable, net</w:t>
            </w:r>
          </w:p>
        </w:tc>
        <w:tc>
          <w:tcPr>
            <w:tcW w:w="1360" w:type="dxa"/>
            <w:vAlign w:val="bottom"/>
          </w:tcPr>
          <w:p>
            <w:pPr>
              <w:jc w:val="right"/>
              <w:spacing w:after="0"/>
              <w:rPr>
                <w:sz w:val="20"/>
                <w:szCs w:val="20"/>
                <w:color w:val="auto"/>
              </w:rPr>
            </w:pPr>
            <w:r>
              <w:rPr>
                <w:rFonts w:ascii="Arial" w:cs="Arial" w:eastAsia="Arial" w:hAnsi="Arial"/>
                <w:sz w:val="16"/>
                <w:szCs w:val="16"/>
                <w:color w:val="auto"/>
              </w:rPr>
              <w:t>(15.9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Inventories</w:t>
            </w:r>
          </w:p>
        </w:tc>
        <w:tc>
          <w:tcPr>
            <w:tcW w:w="1360" w:type="dxa"/>
            <w:vAlign w:val="bottom"/>
          </w:tcPr>
          <w:p>
            <w:pPr>
              <w:jc w:val="right"/>
              <w:spacing w:after="0"/>
              <w:rPr>
                <w:sz w:val="20"/>
                <w:szCs w:val="20"/>
                <w:color w:val="auto"/>
              </w:rPr>
            </w:pPr>
            <w:r>
              <w:rPr>
                <w:rFonts w:ascii="Arial" w:cs="Arial" w:eastAsia="Arial" w:hAnsi="Arial"/>
                <w:sz w:val="16"/>
                <w:szCs w:val="16"/>
                <w:color w:val="auto"/>
              </w:rPr>
              <w:t>(6.9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24.7</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Other current and non-current assets</w:t>
            </w:r>
          </w:p>
        </w:tc>
        <w:tc>
          <w:tcPr>
            <w:tcW w:w="1360" w:type="dxa"/>
            <w:vAlign w:val="bottom"/>
          </w:tcPr>
          <w:p>
            <w:pPr>
              <w:jc w:val="right"/>
              <w:spacing w:after="0"/>
              <w:rPr>
                <w:sz w:val="20"/>
                <w:szCs w:val="20"/>
                <w:color w:val="auto"/>
              </w:rPr>
            </w:pPr>
            <w:r>
              <w:rPr>
                <w:rFonts w:ascii="Arial" w:cs="Arial" w:eastAsia="Arial" w:hAnsi="Arial"/>
                <w:sz w:val="16"/>
                <w:szCs w:val="16"/>
                <w:color w:val="auto"/>
              </w:rPr>
              <w:t>(13.9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Restructuring reserve</w:t>
            </w:r>
          </w:p>
        </w:tc>
        <w:tc>
          <w:tcPr>
            <w:tcW w:w="1360" w:type="dxa"/>
            <w:vAlign w:val="bottom"/>
          </w:tcPr>
          <w:p>
            <w:pPr>
              <w:jc w:val="right"/>
              <w:spacing w:after="0"/>
              <w:rPr>
                <w:sz w:val="20"/>
                <w:szCs w:val="20"/>
                <w:color w:val="auto"/>
              </w:rPr>
            </w:pPr>
            <w:r>
              <w:rPr>
                <w:rFonts w:ascii="Arial" w:cs="Arial" w:eastAsia="Arial" w:hAnsi="Arial"/>
                <w:sz w:val="16"/>
                <w:szCs w:val="16"/>
                <w:color w:val="auto"/>
              </w:rPr>
              <w:t>(11.1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16.8</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Accounts payable and accrued current and non-current liabilities</w:t>
            </w:r>
          </w:p>
        </w:tc>
        <w:tc>
          <w:tcPr>
            <w:tcW w:w="1360" w:type="dxa"/>
            <w:vAlign w:val="bottom"/>
          </w:tcPr>
          <w:p>
            <w:pPr>
              <w:jc w:val="right"/>
              <w:spacing w:after="0"/>
              <w:rPr>
                <w:sz w:val="20"/>
                <w:szCs w:val="20"/>
                <w:color w:val="auto"/>
              </w:rPr>
            </w:pPr>
            <w:r>
              <w:rPr>
                <w:rFonts w:ascii="Arial" w:cs="Arial" w:eastAsia="Arial" w:hAnsi="Arial"/>
                <w:sz w:val="16"/>
                <w:szCs w:val="16"/>
                <w:color w:val="auto"/>
              </w:rPr>
              <w:t>(12.4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684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6840" w:type="dxa"/>
            <w:vAlign w:val="bottom"/>
          </w:tcPr>
          <w:p>
            <w:pPr>
              <w:ind w:left="400"/>
              <w:spacing w:after="0"/>
              <w:rPr>
                <w:sz w:val="20"/>
                <w:szCs w:val="20"/>
                <w:color w:val="auto"/>
              </w:rPr>
            </w:pPr>
            <w:r>
              <w:rPr>
                <w:rFonts w:ascii="Arial" w:cs="Arial" w:eastAsia="Arial" w:hAnsi="Arial"/>
                <w:sz w:val="16"/>
                <w:szCs w:val="16"/>
                <w:b w:val="1"/>
                <w:bCs w:val="1"/>
                <w:color w:val="auto"/>
              </w:rPr>
              <w:t>Net cash provided by operating activities</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$31.6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$12.6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840" w:type="dxa"/>
            <w:vAlign w:val="bottom"/>
            <w:vMerge w:val="restart"/>
          </w:tcPr>
          <w:p>
            <w:pPr>
              <w:spacing w:after="0"/>
              <w:rPr>
                <w:sz w:val="20"/>
                <w:szCs w:val="20"/>
                <w:color w:val="auto"/>
              </w:rPr>
            </w:pPr>
            <w:r>
              <w:rPr>
                <w:rFonts w:ascii="Arial" w:cs="Arial" w:eastAsia="Arial" w:hAnsi="Arial"/>
                <w:sz w:val="16"/>
                <w:szCs w:val="16"/>
                <w:b w:val="1"/>
                <w:bCs w:val="1"/>
                <w:color w:val="auto"/>
              </w:rPr>
              <w:t>Cash Flow from Investing Activities:</w:t>
            </w: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40" w:type="dxa"/>
            <w:vAlign w:val="bottom"/>
            <w:vMerge w:val="continue"/>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68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Purchases of Property, plan and equipment and other</w:t>
            </w:r>
          </w:p>
        </w:tc>
        <w:tc>
          <w:tcPr>
            <w:tcW w:w="1360" w:type="dxa"/>
            <w:vAlign w:val="bottom"/>
          </w:tcPr>
          <w:p>
            <w:pPr>
              <w:jc w:val="right"/>
              <w:spacing w:after="0"/>
              <w:rPr>
                <w:sz w:val="20"/>
                <w:szCs w:val="20"/>
                <w:color w:val="auto"/>
              </w:rPr>
            </w:pPr>
            <w:r>
              <w:rPr>
                <w:rFonts w:ascii="Arial" w:cs="Arial" w:eastAsia="Arial" w:hAnsi="Arial"/>
                <w:sz w:val="16"/>
                <w:szCs w:val="16"/>
                <w:color w:val="auto"/>
              </w:rPr>
              <w:t>(14.9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Acquisition of Caisson Interventional, LLC, net of cash acquired</w:t>
            </w:r>
          </w:p>
        </w:tc>
        <w:tc>
          <w:tcPr>
            <w:tcW w:w="1360" w:type="dxa"/>
            <w:vAlign w:val="bottom"/>
          </w:tcPr>
          <w:p>
            <w:pPr>
              <w:jc w:val="right"/>
              <w:spacing w:after="0"/>
              <w:rPr>
                <w:sz w:val="20"/>
                <w:szCs w:val="20"/>
                <w:color w:val="auto"/>
              </w:rPr>
            </w:pPr>
            <w:r>
              <w:rPr>
                <w:rFonts w:ascii="Arial" w:cs="Arial" w:eastAsia="Arial" w:hAnsi="Arial"/>
                <w:sz w:val="16"/>
                <w:szCs w:val="16"/>
                <w:color w:val="auto"/>
              </w:rPr>
              <w:t>(14.2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Proceeds from sale of cost method investment</w:t>
            </w:r>
          </w:p>
        </w:tc>
        <w:tc>
          <w:tcPr>
            <w:tcW w:w="1360" w:type="dxa"/>
            <w:vAlign w:val="bottom"/>
          </w:tcPr>
          <w:p>
            <w:pPr>
              <w:jc w:val="right"/>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Proceeds from asset sales</w:t>
            </w:r>
          </w:p>
        </w:tc>
        <w:tc>
          <w:tcPr>
            <w:tcW w:w="1360" w:type="dxa"/>
            <w:vAlign w:val="bottom"/>
          </w:tcPr>
          <w:p>
            <w:pPr>
              <w:jc w:val="right"/>
              <w:spacing w:after="0"/>
              <w:rPr>
                <w:sz w:val="20"/>
                <w:szCs w:val="20"/>
                <w:color w:val="auto"/>
              </w:rPr>
            </w:pPr>
            <w:r>
              <w:rPr>
                <w:rFonts w:ascii="Arial" w:cs="Arial" w:eastAsia="Arial" w:hAnsi="Arial"/>
                <w:sz w:val="16"/>
                <w:szCs w:val="16"/>
                <w:color w:val="auto"/>
              </w:rPr>
              <w:t>5.2</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Purchase of short-term investments</w:t>
            </w: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Maturities of short-term investments</w:t>
            </w: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Other</w:t>
            </w:r>
          </w:p>
        </w:tc>
        <w:tc>
          <w:tcPr>
            <w:tcW w:w="1360" w:type="dxa"/>
            <w:vAlign w:val="bottom"/>
          </w:tcPr>
          <w:p>
            <w:pPr>
              <w:jc w:val="right"/>
              <w:spacing w:after="0"/>
              <w:rPr>
                <w:sz w:val="20"/>
                <w:szCs w:val="20"/>
                <w:color w:val="auto"/>
              </w:rPr>
            </w:pPr>
            <w:r>
              <w:rPr>
                <w:rFonts w:ascii="Arial" w:cs="Arial" w:eastAsia="Arial" w:hAnsi="Arial"/>
                <w:sz w:val="16"/>
                <w:szCs w:val="16"/>
                <w:color w:val="auto"/>
              </w:rPr>
              <w:t>(0.1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0.6</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684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8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(20.9</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(16.0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47"/>
        </w:trPr>
        <w:tc>
          <w:tcPr>
            <w:tcW w:w="6840" w:type="dxa"/>
            <w:vAlign w:val="bottom"/>
            <w:vMerge w:val="restart"/>
          </w:tcPr>
          <w:p>
            <w:pPr>
              <w:spacing w:after="0"/>
              <w:rPr>
                <w:sz w:val="20"/>
                <w:szCs w:val="20"/>
                <w:color w:val="auto"/>
              </w:rPr>
            </w:pPr>
            <w:r>
              <w:rPr>
                <w:rFonts w:ascii="Arial" w:cs="Arial" w:eastAsia="Arial" w:hAnsi="Arial"/>
                <w:sz w:val="16"/>
                <w:szCs w:val="16"/>
                <w:b w:val="1"/>
                <w:bCs w:val="1"/>
                <w:color w:val="auto"/>
              </w:rPr>
              <w:t>Cash Flow From Financing Activities:</w:t>
            </w:r>
          </w:p>
        </w:tc>
        <w:tc>
          <w:tcPr>
            <w:tcW w:w="1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840" w:type="dxa"/>
            <w:vAlign w:val="bottom"/>
            <w:vMerge w:val="continue"/>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84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Change in short term borrowing, net</w:t>
            </w:r>
          </w:p>
        </w:tc>
        <w:tc>
          <w:tcPr>
            <w:tcW w:w="1360" w:type="dxa"/>
            <w:vAlign w:val="bottom"/>
          </w:tcPr>
          <w:p>
            <w:pPr>
              <w:jc w:val="right"/>
              <w:spacing w:after="0"/>
              <w:rPr>
                <w:sz w:val="20"/>
                <w:szCs w:val="20"/>
                <w:color w:val="auto"/>
              </w:rPr>
            </w:pPr>
            <w:r>
              <w:rPr>
                <w:rFonts w:ascii="Arial" w:cs="Arial" w:eastAsia="Arial" w:hAnsi="Arial"/>
                <w:sz w:val="16"/>
                <w:szCs w:val="16"/>
                <w:color w:val="auto"/>
              </w:rPr>
              <w:t>(12.8</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Proceeds from short term borrowing (maturities greater than 90 days)</w:t>
            </w:r>
          </w:p>
        </w:tc>
        <w:tc>
          <w:tcPr>
            <w:tcW w:w="1360" w:type="dxa"/>
            <w:vAlign w:val="bottom"/>
          </w:tcPr>
          <w:p>
            <w:pPr>
              <w:jc w:val="right"/>
              <w:spacing w:after="0"/>
              <w:rPr>
                <w:sz w:val="20"/>
                <w:szCs w:val="20"/>
                <w:color w:val="auto"/>
              </w:rPr>
            </w:pPr>
            <w:r>
              <w:rPr>
                <w:rFonts w:ascii="Arial" w:cs="Arial" w:eastAsia="Arial" w:hAnsi="Arial"/>
                <w:sz w:val="16"/>
                <w:szCs w:val="16"/>
                <w:color w:val="auto"/>
              </w:rPr>
              <w:t>20.0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Repayment of long-term debt obligations</w:t>
            </w:r>
          </w:p>
        </w:tc>
        <w:tc>
          <w:tcPr>
            <w:tcW w:w="1360" w:type="dxa"/>
            <w:vAlign w:val="bottom"/>
          </w:tcPr>
          <w:p>
            <w:pPr>
              <w:jc w:val="right"/>
              <w:spacing w:after="0"/>
              <w:rPr>
                <w:sz w:val="20"/>
                <w:szCs w:val="20"/>
                <w:color w:val="auto"/>
              </w:rPr>
            </w:pPr>
            <w:r>
              <w:rPr>
                <w:rFonts w:ascii="Arial" w:cs="Arial" w:eastAsia="Arial" w:hAnsi="Arial"/>
                <w:sz w:val="16"/>
                <w:szCs w:val="16"/>
                <w:color w:val="auto"/>
              </w:rPr>
              <w:t>(11.3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Loans to cost method and equity method investees</w:t>
            </w:r>
          </w:p>
        </w:tc>
        <w:tc>
          <w:tcPr>
            <w:tcW w:w="1360" w:type="dxa"/>
            <w:vAlign w:val="bottom"/>
          </w:tcPr>
          <w:p>
            <w:pPr>
              <w:jc w:val="right"/>
              <w:spacing w:after="0"/>
              <w:rPr>
                <w:sz w:val="20"/>
                <w:szCs w:val="20"/>
                <w:color w:val="auto"/>
              </w:rPr>
            </w:pPr>
            <w:r>
              <w:rPr>
                <w:rFonts w:ascii="Arial" w:cs="Arial" w:eastAsia="Arial" w:hAnsi="Arial"/>
                <w:sz w:val="16"/>
                <w:szCs w:val="16"/>
                <w:color w:val="auto"/>
              </w:rPr>
              <w:t>(6.8</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Proceeds from exercise of stock options and SARs</w:t>
            </w:r>
          </w:p>
        </w:tc>
        <w:tc>
          <w:tcPr>
            <w:tcW w:w="1360" w:type="dxa"/>
            <w:vAlign w:val="bottom"/>
          </w:tcPr>
          <w:p>
            <w:pPr>
              <w:jc w:val="right"/>
              <w:spacing w:after="0"/>
              <w:rPr>
                <w:sz w:val="20"/>
                <w:szCs w:val="20"/>
                <w:color w:val="auto"/>
              </w:rPr>
            </w:pPr>
            <w:r>
              <w:rPr>
                <w:rFonts w:ascii="Arial" w:cs="Arial" w:eastAsia="Arial" w:hAnsi="Arial"/>
                <w:sz w:val="16"/>
                <w:szCs w:val="16"/>
                <w:color w:val="auto"/>
              </w:rPr>
              <w:t>2.4</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4.7</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Repayment of trade receivable advances</w:t>
            </w: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Other</w:t>
            </w:r>
          </w:p>
        </w:tc>
        <w:tc>
          <w:tcPr>
            <w:tcW w:w="1360" w:type="dxa"/>
            <w:vAlign w:val="bottom"/>
          </w:tcPr>
          <w:p>
            <w:pPr>
              <w:jc w:val="right"/>
              <w:spacing w:after="0"/>
              <w:rPr>
                <w:sz w:val="20"/>
                <w:szCs w:val="20"/>
                <w:color w:val="auto"/>
              </w:rPr>
            </w:pPr>
            <w:r>
              <w:rPr>
                <w:rFonts w:ascii="Arial" w:cs="Arial" w:eastAsia="Arial" w:hAnsi="Arial"/>
                <w:sz w:val="16"/>
                <w:szCs w:val="16"/>
                <w:color w:val="auto"/>
              </w:rPr>
              <w:t>(1.7</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684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840" w:type="dxa"/>
            <w:vAlign w:val="bottom"/>
          </w:tcPr>
          <w:p>
            <w:pPr>
              <w:ind w:left="400"/>
              <w:spacing w:after="0"/>
              <w:rPr>
                <w:sz w:val="20"/>
                <w:szCs w:val="20"/>
                <w:color w:val="auto"/>
              </w:rPr>
            </w:pPr>
            <w:r>
              <w:rPr>
                <w:rFonts w:ascii="Arial" w:cs="Arial" w:eastAsia="Arial" w:hAnsi="Arial"/>
                <w:sz w:val="16"/>
                <w:szCs w:val="16"/>
                <w:b w:val="1"/>
                <w:bCs w:val="1"/>
                <w:color w:val="auto"/>
              </w:rPr>
              <w:t>Net cash used in financing activities</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(10.2</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(46.2</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47"/>
        </w:trPr>
        <w:tc>
          <w:tcPr>
            <w:tcW w:w="684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2"/>
        </w:trPr>
        <w:tc>
          <w:tcPr>
            <w:tcW w:w="684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360" w:type="dxa"/>
            <w:vAlign w:val="bottom"/>
          </w:tcPr>
          <w:p>
            <w:pPr>
              <w:jc w:val="right"/>
              <w:spacing w:after="0"/>
              <w:rPr>
                <w:sz w:val="20"/>
                <w:szCs w:val="20"/>
                <w:color w:val="auto"/>
              </w:rPr>
            </w:pPr>
            <w:r>
              <w:rPr>
                <w:rFonts w:ascii="Arial" w:cs="Arial" w:eastAsia="Arial" w:hAnsi="Arial"/>
                <w:sz w:val="16"/>
                <w:szCs w:val="16"/>
                <w:color w:val="auto"/>
              </w:rPr>
              <w:t>2.4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684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6840" w:type="dxa"/>
            <w:vAlign w:val="bottom"/>
          </w:tcPr>
          <w:p>
            <w:pPr>
              <w:ind w:left="40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(48.7</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68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684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1360" w:type="dxa"/>
            <w:vAlign w:val="bottom"/>
          </w:tcPr>
          <w:p>
            <w:pPr>
              <w:jc w:val="right"/>
              <w:spacing w:after="0"/>
              <w:rPr>
                <w:sz w:val="20"/>
                <w:szCs w:val="20"/>
                <w:color w:val="auto"/>
              </w:rPr>
            </w:pPr>
            <w:r>
              <w:rPr>
                <w:rFonts w:ascii="Arial" w:cs="Arial" w:eastAsia="Arial" w:hAnsi="Arial"/>
                <w:sz w:val="16"/>
                <w:szCs w:val="16"/>
                <w:color w:val="auto"/>
              </w:rPr>
              <w:t>39.8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112.6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684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840" w:type="dxa"/>
            <w:vAlign w:val="bottom"/>
          </w:tcPr>
          <w:p>
            <w:pPr>
              <w:spacing w:after="0"/>
              <w:rPr>
                <w:sz w:val="20"/>
                <w:szCs w:val="20"/>
                <w:color w:val="auto"/>
              </w:rPr>
            </w:pPr>
            <w:r>
              <w:rPr>
                <w:rFonts w:ascii="Arial" w:cs="Arial" w:eastAsia="Arial" w:hAnsi="Arial"/>
                <w:sz w:val="16"/>
                <w:szCs w:val="16"/>
                <w:b w:val="1"/>
                <w:bCs w:val="1"/>
                <w:color w:val="auto"/>
              </w:rPr>
              <w:t>Cash and cash equivalents at end of period</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$42.7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$63.9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84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4"/>
          <w:szCs w:val="14"/>
          <w:color w:val="auto"/>
        </w:rPr>
        <w:t>Numbers may not add up precisely due to rounding.</w:t>
      </w:r>
    </w:p>
    <w:p>
      <w:pPr>
        <w:sectPr>
          <w:pgSz w:w="11900" w:h="16838" w:orient="portrait"/>
          <w:cols w:equalWidth="0" w:num="1">
            <w:col w:w="9960"/>
          </w:cols>
          <w:pgMar w:left="1020" w:top="733" w:right="91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14</w:t>
      </w:r>
    </w:p>
    <w:sectPr>
      <w:pgSz w:w="11900" w:h="16838" w:orient="portrait"/>
      <w:cols w:equalWidth="0" w:num="1">
        <w:col w:w="9960"/>
      </w:cols>
      <w:pgMar w:left="1020" w:top="733" w:right="9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lvl w:ilvl="1">
      <w:lvlJc w:val="left"/>
      <w:lvlText w:val="*"/>
      <w:numFmt w:val="bullet"/>
      <w:start w:val="1"/>
    </w:lvl>
  </w:abstractNum>
  <w:abstractNum w:abstractNumId="4">
    <w:nsid w:val="41B71EFB"/>
    <w:multiLevelType w:val="hybridMultilevel"/>
    <w:lvl w:ilvl="0">
      <w:lvlJc w:val="left"/>
      <w:lvlText w:val="(%1)"/>
      <w:numFmt w:val="upperLetter"/>
      <w:start w:val="1"/>
    </w:lvl>
  </w:abstractNum>
  <w:abstractNum w:abstractNumId="5">
    <w:nsid w:val="79E2A9E3"/>
    <w:multiLevelType w:val="hybridMultilevel"/>
    <w:lvl w:ilvl="0">
      <w:lvlJc w:val="left"/>
      <w:lvlText w:val="(%1)"/>
      <w:numFmt w:val="upperLetter"/>
      <w:start w:val="1"/>
    </w:lvl>
    <w:lvl w:ilvl="1">
      <w:lvlJc w:val="left"/>
      <w:lvlText w:val="*"/>
      <w:numFmt w:val="bullet"/>
      <w:start w:val="1"/>
    </w:lvl>
  </w:abstractNum>
  <w:abstractNum w:abstractNumId="6">
    <w:nsid w:val="7545E146"/>
    <w:multiLevelType w:val="hybridMultilevel"/>
    <w:lvl w:ilvl="0">
      <w:lvlJc w:val="left"/>
      <w:lvlText w:val="(%1)"/>
      <w:numFmt w:val="upperLetter"/>
      <w:start w:val="1"/>
    </w:lvl>
  </w:abstractNum>
  <w:abstractNum w:abstractNumId="7">
    <w:nsid w:val="515F007C"/>
    <w:multiLevelType w:val="hybridMultilevel"/>
    <w:lvl w:ilvl="0">
      <w:lvlJc w:val="left"/>
      <w:lvlText w:val="(%1)"/>
      <w:numFmt w:val="upperLetter"/>
      <w:start w:val="1"/>
    </w:lvl>
    <w:lvl w:ilvl="1">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2019-12-08T02:48:38Z</dcterms:created>
  <dcterms:modified xsi:type="dcterms:W3CDTF">2019-12-08T02:48:38Z</dcterms:modified>
</cp:coreProperties>
</file>