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-232410</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217"/>
              <w:spacing w:after="0" w:line="134"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-621665</wp:posOffset>
            </wp:positionV>
            <wp:extent cx="57785" cy="635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5000"/>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-621665</wp:posOffset>
            </wp:positionV>
            <wp:extent cx="57785" cy="6350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500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14605</wp:posOffset>
            </wp:positionV>
            <wp:extent cx="6994525" cy="49942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4525" cy="4994275"/>
                    </a:xfrm>
                    <a:prstGeom prst="rect">
                      <a:avLst/>
                    </a:prstGeom>
                    <a:noFill/>
                  </pic:spPr>
                </pic:pic>
              </a:graphicData>
            </a:graphic>
          </wp:anchor>
        </w:drawing>
      </w:r>
    </w:p>
    <w:p>
      <w:pPr>
        <w:spacing w:after="0" w:line="93" w:lineRule="exact"/>
        <w:rPr>
          <w:sz w:val="24"/>
          <w:szCs w:val="24"/>
          <w:color w:val="auto"/>
        </w:rPr>
      </w:pPr>
    </w:p>
    <w:p>
      <w:pPr>
        <w:sectPr>
          <w:pgSz w:w="11900" w:h="16838" w:orient="portrait"/>
          <w:cols w:equalWidth="0" w:num="2">
            <w:col w:w="2240" w:space="340"/>
            <w:col w:w="850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Dolci Marco</w:t>
        </w:r>
      </w:hyperlink>
    </w:p>
    <w:p>
      <w:pPr>
        <w:spacing w:after="0" w:line="31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LivaNova PLC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LIVN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1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0000FF"/>
        </w:rPr>
        <w:t>03/15/2021</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ind w:left="2" w:right="640" w:hanging="2"/>
        <w:spacing w:after="0" w:line="236"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2" w:type="dxa"/>
        <w:tblCellMar>
          <w:top w:w="0" w:type="dxa"/>
          <w:left w:w="0" w:type="dxa"/>
          <w:bottom w:w="0" w:type="dxa"/>
          <w:right w:w="0" w:type="dxa"/>
        </w:tblCellMar>
      </w:tblPr>
      <w:tr>
        <w:trPr>
          <w:trHeight w:val="154"/>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582"/>
        <w:spacing w:after="0"/>
        <w:rPr>
          <w:sz w:val="20"/>
          <w:szCs w:val="20"/>
          <w:color w:val="auto"/>
        </w:rPr>
      </w:pPr>
      <w:r>
        <w:rPr>
          <w:rFonts w:ascii="Arial" w:cs="Arial" w:eastAsia="Arial" w:hAnsi="Arial"/>
          <w:sz w:val="17"/>
          <w:szCs w:val="17"/>
          <w:color w:val="0000FF"/>
        </w:rPr>
        <w:t>SVP Global Operations, R&amp;D</w:t>
      </w:r>
    </w:p>
    <w:p>
      <w:pPr>
        <w:spacing w:after="0" w:line="303" w:lineRule="exact"/>
        <w:rPr>
          <w:sz w:val="24"/>
          <w:szCs w:val="24"/>
          <w:color w:val="auto"/>
        </w:rPr>
      </w:pPr>
    </w:p>
    <w:p>
      <w:pPr>
        <w:sectPr>
          <w:pgSz w:w="11900" w:h="16838" w:orient="portrait"/>
          <w:cols w:equalWidth="0" w:num="3">
            <w:col w:w="3180" w:space="720"/>
            <w:col w:w="3118" w:space="720"/>
            <w:col w:w="3342"/>
          </w:cols>
          <w:pgMar w:left="460" w:top="221" w:right="35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Arial" w:cs="Arial" w:eastAsia="Arial" w:hAnsi="Arial"/>
                <w:sz w:val="17"/>
                <w:szCs w:val="17"/>
                <w:color w:val="0000FF"/>
              </w:rPr>
              <w:t>LONDON</w:t>
            </w:r>
          </w:p>
        </w:tc>
        <w:tc>
          <w:tcPr>
            <w:tcW w:w="1060" w:type="dxa"/>
            <w:vAlign w:val="bottom"/>
          </w:tcPr>
          <w:p>
            <w:pPr>
              <w:ind w:left="260"/>
              <w:spacing w:after="0"/>
              <w:rPr>
                <w:sz w:val="20"/>
                <w:szCs w:val="20"/>
                <w:color w:val="auto"/>
              </w:rPr>
            </w:pPr>
            <w:r>
              <w:rPr>
                <w:rFonts w:ascii="Arial" w:cs="Arial" w:eastAsia="Arial" w:hAnsi="Arial"/>
                <w:sz w:val="17"/>
                <w:szCs w:val="17"/>
                <w:color w:val="0000FF"/>
              </w:rPr>
              <w:t>X0</w:t>
            </w:r>
          </w:p>
        </w:tc>
        <w:tc>
          <w:tcPr>
            <w:tcW w:w="1620" w:type="dxa"/>
            <w:vAlign w:val="bottom"/>
          </w:tcPr>
          <w:p>
            <w:pPr>
              <w:ind w:left="420"/>
              <w:spacing w:after="0"/>
              <w:rPr>
                <w:sz w:val="20"/>
                <w:szCs w:val="20"/>
                <w:color w:val="auto"/>
              </w:rPr>
            </w:pPr>
            <w:r>
              <w:rPr>
                <w:rFonts w:ascii="Arial" w:cs="Arial" w:eastAsia="Arial" w:hAnsi="Arial"/>
                <w:sz w:val="17"/>
                <w:szCs w:val="17"/>
                <w:color w:val="0000FF"/>
              </w:rPr>
              <w:t>W26LG</w:t>
            </w:r>
          </w:p>
        </w:tc>
      </w:tr>
      <w:tr>
        <w:trPr>
          <w:trHeight w:val="148"/>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15" w:lineRule="auto"/>
        <w:tabs>
          <w:tab w:leader="none" w:pos="436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2"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More than One Reporting</w:t>
      </w:r>
    </w:p>
    <w:p>
      <w:pPr>
        <w:ind w:left="4380"/>
        <w:spacing w:after="0"/>
        <w:rPr>
          <w:sz w:val="20"/>
          <w:szCs w:val="20"/>
          <w:color w:val="auto"/>
        </w:rPr>
      </w:pPr>
      <w:r>
        <w:rPr>
          <w:rFonts w:ascii="Arial" w:cs="Arial" w:eastAsia="Arial" w:hAnsi="Arial"/>
          <w:sz w:val="13"/>
          <w:szCs w:val="13"/>
          <w:color w:val="auto"/>
        </w:rPr>
        <w:t>Person</w:t>
      </w:r>
    </w:p>
    <w:p>
      <w:pPr>
        <w:spacing w:after="0" w:line="295" w:lineRule="exact"/>
        <w:rPr>
          <w:sz w:val="24"/>
          <w:szCs w:val="24"/>
          <w:color w:val="auto"/>
        </w:rPr>
      </w:pPr>
    </w:p>
    <w:p>
      <w:pPr>
        <w:sectPr>
          <w:pgSz w:w="11900" w:h="16838" w:orient="portrait"/>
          <w:cols w:equalWidth="0" w:num="2">
            <w:col w:w="3760" w:space="140"/>
            <w:col w:w="718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18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00" w:type="dxa"/>
            <w:vAlign w:val="bottom"/>
          </w:tcPr>
          <w:p>
            <w:pPr>
              <w:ind w:left="780"/>
              <w:spacing w:after="0" w:line="12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0"/>
                <w:szCs w:val="10"/>
                <w:color w:val="auto"/>
              </w:rPr>
            </w:pPr>
          </w:p>
        </w:tc>
        <w:tc>
          <w:tcPr>
            <w:tcW w:w="1080" w:type="dxa"/>
            <w:vAlign w:val="bottom"/>
            <w:gridSpan w:val="3"/>
          </w:tcPr>
          <w:p>
            <w:pPr>
              <w:ind w:left="20"/>
              <w:spacing w:after="0" w:line="125" w:lineRule="exact"/>
              <w:rPr>
                <w:sz w:val="20"/>
                <w:szCs w:val="20"/>
                <w:color w:val="auto"/>
              </w:rPr>
            </w:pPr>
            <w:r>
              <w:rPr>
                <w:rFonts w:ascii="Arial" w:cs="Arial" w:eastAsia="Arial" w:hAnsi="Arial"/>
                <w:sz w:val="12"/>
                <w:szCs w:val="12"/>
                <w:b w:val="1"/>
                <w:bCs w:val="1"/>
                <w:color w:val="auto"/>
              </w:rPr>
              <w:t>Execution Date,</w:t>
            </w:r>
          </w:p>
        </w:tc>
        <w:tc>
          <w:tcPr>
            <w:tcW w:w="2600" w:type="dxa"/>
            <w:vAlign w:val="bottom"/>
            <w:gridSpan w:val="5"/>
          </w:tcPr>
          <w:p>
            <w:pPr>
              <w:ind w:left="20"/>
              <w:spacing w:after="0" w:line="125" w:lineRule="exact"/>
              <w:rPr>
                <w:sz w:val="20"/>
                <w:szCs w:val="20"/>
                <w:color w:val="auto"/>
              </w:rPr>
            </w:pPr>
            <w:r>
              <w:rPr>
                <w:rFonts w:ascii="Arial" w:cs="Arial" w:eastAsia="Arial" w:hAnsi="Arial"/>
                <w:sz w:val="12"/>
                <w:szCs w:val="12"/>
                <w:b w:val="1"/>
                <w:bCs w:val="1"/>
                <w:color w:val="auto"/>
                <w:w w:val="96"/>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2"/>
          </w:tcPr>
          <w:p>
            <w:pPr>
              <w:ind w:left="780"/>
              <w:spacing w:after="0" w:line="128"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20"/>
              <w:spacing w:after="0" w:line="128"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6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80"/>
              <w:spacing w:after="0"/>
              <w:rPr>
                <w:sz w:val="20"/>
                <w:szCs w:val="20"/>
                <w:color w:val="auto"/>
              </w:rPr>
            </w:pPr>
            <w:r>
              <w:rPr>
                <w:rFonts w:ascii="Arial" w:cs="Arial" w:eastAsia="Arial" w:hAnsi="Arial"/>
                <w:sz w:val="17"/>
                <w:szCs w:val="17"/>
                <w:color w:val="0000FF"/>
              </w:rPr>
              <w:t>03/15/2021</w:t>
            </w:r>
          </w:p>
        </w:tc>
        <w:tc>
          <w:tcPr>
            <w:tcW w:w="7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M</w:t>
            </w:r>
          </w:p>
        </w:tc>
        <w:tc>
          <w:tcPr>
            <w:tcW w:w="780" w:type="dxa"/>
            <w:vAlign w:val="bottom"/>
            <w:tcBorders>
              <w:bottom w:val="single" w:sz="8" w:color="2C2C2C"/>
            </w:tcBorders>
          </w:tcPr>
          <w:p>
            <w:pPr>
              <w:jc w:val="right"/>
              <w:ind w:right="54"/>
              <w:spacing w:after="0"/>
              <w:rPr>
                <w:sz w:val="20"/>
                <w:szCs w:val="20"/>
                <w:color w:val="auto"/>
              </w:rPr>
            </w:pPr>
            <w:r>
              <w:rPr>
                <w:rFonts w:ascii="Arial" w:cs="Arial" w:eastAsia="Arial" w:hAnsi="Arial"/>
                <w:sz w:val="17"/>
                <w:szCs w:val="17"/>
                <w:color w:val="0000FF"/>
              </w:rPr>
              <w:t>559</w:t>
            </w:r>
          </w:p>
        </w:tc>
        <w:tc>
          <w:tcPr>
            <w:tcW w:w="66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center"/>
              <w:spacing w:after="0" w:line="307"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6,139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80"/>
              <w:spacing w:after="0"/>
              <w:rPr>
                <w:sz w:val="20"/>
                <w:szCs w:val="20"/>
                <w:color w:val="auto"/>
              </w:rPr>
            </w:pPr>
            <w:r>
              <w:rPr>
                <w:rFonts w:ascii="Arial" w:cs="Arial" w:eastAsia="Arial" w:hAnsi="Arial"/>
                <w:sz w:val="17"/>
                <w:szCs w:val="17"/>
                <w:color w:val="0000FF"/>
              </w:rPr>
              <w:t>03/15/2021</w:t>
            </w:r>
          </w:p>
        </w:tc>
        <w:tc>
          <w:tcPr>
            <w:tcW w:w="7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F</w:t>
            </w:r>
          </w:p>
        </w:tc>
        <w:tc>
          <w:tcPr>
            <w:tcW w:w="78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254</w:t>
            </w:r>
            <w:r>
              <w:rPr>
                <w:rFonts w:ascii="Arial" w:cs="Arial" w:eastAsia="Arial" w:hAnsi="Arial"/>
                <w:sz w:val="21"/>
                <w:szCs w:val="21"/>
                <w:color w:val="008000"/>
                <w:vertAlign w:val="superscript"/>
              </w:rPr>
              <w:t>(2)</w:t>
            </w:r>
          </w:p>
        </w:tc>
        <w:tc>
          <w:tcPr>
            <w:tcW w:w="66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5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9"/>
              </w:rPr>
              <w:t>$</w:t>
            </w:r>
            <w:r>
              <w:rPr>
                <w:rFonts w:ascii="Arial" w:cs="Arial" w:eastAsia="Arial" w:hAnsi="Arial"/>
                <w:sz w:val="17"/>
                <w:szCs w:val="17"/>
                <w:color w:val="0000FF"/>
                <w:w w:val="99"/>
              </w:rPr>
              <w:t>76.76</w:t>
            </w:r>
          </w:p>
        </w:tc>
        <w:tc>
          <w:tcPr>
            <w:tcW w:w="128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5,885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jc w:val="right"/>
              <w:ind w:right="2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70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76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w w:val="95"/>
              </w:rPr>
              <w:t>Expiration Date</w:t>
            </w:r>
          </w:p>
        </w:tc>
        <w:tc>
          <w:tcPr>
            <w:tcW w:w="7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Code (Instr.</w:t>
            </w:r>
          </w:p>
        </w:tc>
        <w:tc>
          <w:tcPr>
            <w:tcW w:w="76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Derivative</w:t>
            </w:r>
          </w:p>
        </w:tc>
        <w:tc>
          <w:tcPr>
            <w:tcW w:w="170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Acquired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Disposed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(Instr. 3, 4</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2"/>
              </w:rPr>
              <w:t>Date</w:t>
            </w:r>
          </w:p>
        </w:tc>
        <w:tc>
          <w:tcPr>
            <w:tcW w:w="600" w:type="dxa"/>
            <w:vAlign w:val="bottom"/>
          </w:tcPr>
          <w:p>
            <w:pPr>
              <w:spacing w:after="0"/>
              <w:rPr>
                <w:sz w:val="11"/>
                <w:szCs w:val="11"/>
                <w:color w:val="auto"/>
              </w:rPr>
            </w:pPr>
          </w:p>
        </w:tc>
        <w:tc>
          <w:tcPr>
            <w:tcW w:w="780" w:type="dxa"/>
            <w:vAlign w:val="bottom"/>
          </w:tcPr>
          <w:p>
            <w:pPr>
              <w:spacing w:after="0" w:line="128"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920" w:type="dxa"/>
            <w:vAlign w:val="bottom"/>
            <w:gridSpan w:val="3"/>
          </w:tcPr>
          <w:p>
            <w:pPr>
              <w:ind w:left="6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gridSpan w:val="3"/>
            <w:vMerge w:val="restart"/>
          </w:tcPr>
          <w:p>
            <w:pPr>
              <w:ind w:left="80"/>
              <w:spacing w:after="0"/>
              <w:rPr>
                <w:sz w:val="20"/>
                <w:szCs w:val="20"/>
                <w:color w:val="auto"/>
              </w:rPr>
            </w:pPr>
            <w:r>
              <w:rPr>
                <w:rFonts w:ascii="Arial" w:cs="Arial" w:eastAsia="Arial" w:hAnsi="Arial"/>
                <w:sz w:val="13"/>
                <w:szCs w:val="13"/>
                <w:color w:val="0000FF"/>
                <w:w w:val="99"/>
              </w:rPr>
              <w:t>03/15/2021</w:t>
            </w:r>
            <w:r>
              <w:rPr>
                <w:rFonts w:ascii="Arial" w:cs="Arial" w:eastAsia="Arial" w:hAnsi="Arial"/>
                <w:sz w:val="21"/>
                <w:szCs w:val="21"/>
                <w:color w:val="008000"/>
                <w:w w:val="99"/>
                <w:vertAlign w:val="superscript"/>
              </w:rPr>
              <w:t>(4)</w:t>
            </w:r>
          </w:p>
        </w:tc>
        <w:tc>
          <w:tcPr>
            <w:tcW w:w="780" w:type="dxa"/>
            <w:vAlign w:val="bottom"/>
            <w:vMerge w:val="restart"/>
          </w:tcPr>
          <w:p>
            <w:pPr>
              <w:jc w:val="right"/>
              <w:ind w:right="14"/>
              <w:spacing w:after="0"/>
              <w:rPr>
                <w:sz w:val="20"/>
                <w:szCs w:val="20"/>
                <w:color w:val="auto"/>
              </w:rPr>
            </w:pPr>
            <w:r>
              <w:rPr>
                <w:rFonts w:ascii="Arial" w:cs="Arial" w:eastAsia="Arial" w:hAnsi="Arial"/>
                <w:sz w:val="13"/>
                <w:szCs w:val="13"/>
                <w:color w:val="0000FF"/>
                <w:w w:val="82"/>
              </w:rPr>
              <w:t>03/15/2021</w:t>
            </w:r>
            <w:r>
              <w:rPr>
                <w:rFonts w:ascii="Arial" w:cs="Arial" w:eastAsia="Arial" w:hAnsi="Arial"/>
                <w:sz w:val="21"/>
                <w:szCs w:val="21"/>
                <w:color w:val="008000"/>
                <w:w w:val="82"/>
                <w:vertAlign w:val="superscript"/>
              </w:rPr>
              <w:t>(4)</w:t>
            </w: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jc w:val="right"/>
              <w:ind w:right="97"/>
              <w:spacing w:after="0"/>
              <w:rPr>
                <w:sz w:val="20"/>
                <w:szCs w:val="20"/>
                <w:color w:val="auto"/>
              </w:rPr>
            </w:pPr>
            <w:r>
              <w:rPr>
                <w:rFonts w:ascii="Arial" w:cs="Arial" w:eastAsia="Arial" w:hAnsi="Arial"/>
                <w:sz w:val="17"/>
                <w:szCs w:val="17"/>
                <w:color w:val="0000FF"/>
              </w:rPr>
              <w:t>559</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vMerge w:val="restart"/>
          </w:tcPr>
          <w:p>
            <w:pPr>
              <w:ind w:left="240"/>
              <w:spacing w:after="0"/>
              <w:rPr>
                <w:sz w:val="20"/>
                <w:szCs w:val="20"/>
                <w:color w:val="auto"/>
              </w:rPr>
            </w:pPr>
            <w:r>
              <w:rPr>
                <w:rFonts w:ascii="Arial" w:cs="Arial" w:eastAsia="Arial" w:hAnsi="Arial"/>
                <w:sz w:val="13"/>
                <w:szCs w:val="13"/>
                <w:color w:val="0000FF"/>
                <w:w w:val="82"/>
              </w:rPr>
              <w:t>558</w:t>
            </w:r>
            <w:r>
              <w:rPr>
                <w:rFonts w:ascii="Arial" w:cs="Arial" w:eastAsia="Arial" w:hAnsi="Arial"/>
                <w:sz w:val="21"/>
                <w:szCs w:val="21"/>
                <w:color w:val="008000"/>
                <w:w w:val="82"/>
                <w:vertAlign w:val="superscript"/>
              </w:rPr>
              <w:t>(5)</w:t>
            </w: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61"/>
              <w:spacing w:after="0" w:line="141" w:lineRule="exact"/>
              <w:rPr>
                <w:sz w:val="20"/>
                <w:szCs w:val="20"/>
                <w:color w:val="auto"/>
              </w:rPr>
            </w:pPr>
            <w:r>
              <w:rPr>
                <w:rFonts w:ascii="Arial" w:cs="Arial" w:eastAsia="Arial" w:hAnsi="Arial"/>
                <w:sz w:val="13"/>
                <w:szCs w:val="13"/>
                <w:color w:val="0000FF"/>
              </w:rPr>
              <w:t>03/15/2021</w:t>
            </w:r>
          </w:p>
        </w:tc>
        <w:tc>
          <w:tcPr>
            <w:tcW w:w="1100" w:type="dxa"/>
            <w:vAlign w:val="bottom"/>
          </w:tcPr>
          <w:p>
            <w:pPr>
              <w:spacing w:after="0"/>
              <w:rPr>
                <w:sz w:val="5"/>
                <w:szCs w:val="5"/>
                <w:color w:val="auto"/>
              </w:rPr>
            </w:pPr>
          </w:p>
        </w:tc>
        <w:tc>
          <w:tcPr>
            <w:tcW w:w="740" w:type="dxa"/>
            <w:vAlign w:val="bottom"/>
            <w:vMerge w:val="restart"/>
          </w:tcPr>
          <w:p>
            <w:pPr>
              <w:ind w:left="160"/>
              <w:spacing w:after="0" w:line="141" w:lineRule="exact"/>
              <w:rPr>
                <w:sz w:val="20"/>
                <w:szCs w:val="20"/>
                <w:color w:val="auto"/>
              </w:rPr>
            </w:pPr>
            <w:r>
              <w:rPr>
                <w:rFonts w:ascii="Arial" w:cs="Arial" w:eastAsia="Arial" w:hAnsi="Arial"/>
                <w:sz w:val="13"/>
                <w:szCs w:val="13"/>
                <w:color w:val="0000FF"/>
              </w:rPr>
              <w:t>M</w:t>
            </w:r>
          </w:p>
        </w:tc>
        <w:tc>
          <w:tcPr>
            <w:tcW w:w="760" w:type="dxa"/>
            <w:vAlign w:val="bottom"/>
            <w:vMerge w:val="restart"/>
          </w:tcPr>
          <w:p>
            <w:pPr>
              <w:ind w:left="500"/>
              <w:spacing w:after="0" w:line="141" w:lineRule="exact"/>
              <w:rPr>
                <w:sz w:val="20"/>
                <w:szCs w:val="20"/>
                <w:color w:val="auto"/>
              </w:rPr>
            </w:pPr>
            <w:r>
              <w:rPr>
                <w:rFonts w:ascii="Arial" w:cs="Arial" w:eastAsia="Arial" w:hAnsi="Arial"/>
                <w:sz w:val="13"/>
                <w:szCs w:val="13"/>
                <w:color w:val="0000FF"/>
              </w:rPr>
              <w:t>559</w:t>
            </w:r>
          </w:p>
        </w:tc>
        <w:tc>
          <w:tcPr>
            <w:tcW w:w="920" w:type="dxa"/>
            <w:vAlign w:val="bottom"/>
            <w:gridSpan w:val="3"/>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restart"/>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920" w:type="dxa"/>
            <w:vAlign w:val="bottom"/>
            <w:gridSpan w:val="3"/>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660" w:type="dxa"/>
            <w:vAlign w:val="bottom"/>
            <w:vMerge w:val="restart"/>
          </w:tcPr>
          <w:p>
            <w:pPr>
              <w:ind w:left="12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-2077720</wp:posOffset>
            </wp:positionV>
            <wp:extent cx="29210" cy="20828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8280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had vested restricted stock units (RSUs) settled in ordinary shares of LivaNova PLC (the Company), GBP 1.00 par value.</w:t>
      </w:r>
    </w:p>
    <w:p>
      <w:pPr>
        <w:spacing w:after="0" w:line="42" w:lineRule="exact"/>
        <w:rPr>
          <w:rFonts w:ascii="Arial" w:cs="Arial" w:eastAsia="Arial" w:hAnsi="Arial"/>
          <w:sz w:val="13"/>
          <w:szCs w:val="13"/>
          <w:color w:val="008000"/>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referenced shares were withheld from distribution at the request of reporting person to satisfy tax liability.</w:t>
      </w:r>
    </w:p>
    <w:p>
      <w:pPr>
        <w:spacing w:after="0" w:line="42" w:lineRule="exact"/>
        <w:rPr>
          <w:rFonts w:ascii="Arial" w:cs="Arial" w:eastAsia="Arial" w:hAnsi="Arial"/>
          <w:sz w:val="13"/>
          <w:szCs w:val="13"/>
          <w:color w:val="008000"/>
        </w:rPr>
      </w:pPr>
    </w:p>
    <w:p>
      <w:pPr>
        <w:ind w:left="40" w:right="360" w:firstLine="1"/>
        <w:spacing w:after="0" w:line="246"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one Ordinary Share of the Company, GBP 1.00 par value, in accordance with the terms of the LivaNova PLC 2015 Incentive Award Plan (the Plan) and the award agreement.</w:t>
      </w:r>
    </w:p>
    <w:p>
      <w:pPr>
        <w:spacing w:after="0" w:line="26" w:lineRule="exact"/>
        <w:rPr>
          <w:rFonts w:ascii="Arial" w:cs="Arial" w:eastAsia="Arial" w:hAnsi="Arial"/>
          <w:sz w:val="13"/>
          <w:szCs w:val="13"/>
          <w:color w:val="008000"/>
        </w:rPr>
      </w:pPr>
    </w:p>
    <w:p>
      <w:pPr>
        <w:ind w:left="40" w:right="260" w:firstLine="1"/>
        <w:spacing w:after="0" w:line="246"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was granted RSUs on March 15, 2018, subject to a four-year vesting schedule, which began on March 15, 2019. The RSUs are subject to forfeiture prior to vesting in accordance with the terms of the Plan and the award agreement.</w:t>
      </w:r>
    </w:p>
    <w:p>
      <w:pPr>
        <w:spacing w:after="0" w:line="26" w:lineRule="exact"/>
        <w:rPr>
          <w:rFonts w:ascii="Arial" w:cs="Arial" w:eastAsia="Arial" w:hAnsi="Arial"/>
          <w:sz w:val="13"/>
          <w:szCs w:val="13"/>
          <w:color w:val="008000"/>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number reflects the number of derivative securities beneficially owned following reported transaction for this specific grant.</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gridSpan w:val="2"/>
          </w:tcPr>
          <w:p>
            <w:pPr>
              <w:spacing w:after="0"/>
              <w:rPr>
                <w:sz w:val="20"/>
                <w:szCs w:val="20"/>
                <w:color w:val="auto"/>
              </w:rPr>
            </w:pPr>
            <w:r>
              <w:rPr>
                <w:rFonts w:ascii="Arial" w:cs="Arial" w:eastAsia="Arial" w:hAnsi="Arial"/>
                <w:sz w:val="17"/>
                <w:szCs w:val="17"/>
                <w:color w:val="0000FF"/>
              </w:rPr>
              <w:t>/s/ Sarah K. Mohr, POA</w:t>
            </w:r>
          </w:p>
        </w:tc>
        <w:tc>
          <w:tcPr>
            <w:tcW w:w="940" w:type="dxa"/>
            <w:vAlign w:val="bottom"/>
            <w:gridSpan w:val="2"/>
          </w:tcPr>
          <w:p>
            <w:pPr>
              <w:ind w:left="180"/>
              <w:spacing w:after="0"/>
              <w:rPr>
                <w:sz w:val="20"/>
                <w:szCs w:val="20"/>
                <w:color w:val="auto"/>
              </w:rPr>
            </w:pPr>
            <w:r>
              <w:rPr>
                <w:rFonts w:ascii="Arial" w:cs="Arial" w:eastAsia="Arial" w:hAnsi="Arial"/>
                <w:sz w:val="17"/>
                <w:szCs w:val="17"/>
                <w:color w:val="0000FF"/>
                <w:w w:val="86"/>
              </w:rPr>
              <w:t>03/17/2021</w:t>
            </w:r>
          </w:p>
        </w:tc>
      </w:tr>
      <w:tr>
        <w:trPr>
          <w:trHeight w:val="20"/>
        </w:trPr>
        <w:tc>
          <w:tcPr>
            <w:tcW w:w="1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3"/>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0"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1" w:right="3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9"/>
          <w:szCs w:val="19"/>
          <w:b w:val="1"/>
          <w:bCs w:val="1"/>
          <w:u w:val="single" w:color="auto"/>
          <w:color w:val="auto"/>
        </w:rPr>
        <w:t>POWER OF ATTORNEY</w:t>
      </w:r>
    </w:p>
    <w:p>
      <w:pPr>
        <w:spacing w:after="0" w:line="208" w:lineRule="exact"/>
        <w:rPr>
          <w:sz w:val="20"/>
          <w:szCs w:val="20"/>
          <w:color w:val="auto"/>
        </w:rPr>
      </w:pPr>
    </w:p>
    <w:p>
      <w:pPr>
        <w:ind w:right="320" w:firstLine="615"/>
        <w:spacing w:after="0" w:line="288" w:lineRule="auto"/>
        <w:rPr>
          <w:sz w:val="20"/>
          <w:szCs w:val="20"/>
          <w:color w:val="auto"/>
        </w:rPr>
      </w:pPr>
      <w:r>
        <w:rPr>
          <w:rFonts w:ascii="Arial" w:cs="Arial" w:eastAsia="Arial" w:hAnsi="Arial"/>
          <w:sz w:val="19"/>
          <w:szCs w:val="19"/>
          <w:color w:val="auto"/>
        </w:rPr>
        <w:t>Know all by these presents, that the undersigned hereby constitutes and appoints each of (i) the General Counsel of LivaNova PLC, a public limited company organized under the laws of England and Wales (the “Company”), who is currently Keyna Skeffington and the Company’s internal counsel who is currently Sarah K. Mohr, and their respective successors, signing singly, the undersigned’s true and lawful attorney-in-fact to:</w:t>
      </w:r>
    </w:p>
    <w:p>
      <w:pPr>
        <w:spacing w:after="0" w:line="142" w:lineRule="exact"/>
        <w:rPr>
          <w:sz w:val="20"/>
          <w:szCs w:val="20"/>
          <w:color w:val="auto"/>
        </w:rPr>
      </w:pPr>
    </w:p>
    <w:p>
      <w:pPr>
        <w:ind w:left="1240" w:right="140" w:hanging="623"/>
        <w:spacing w:after="0" w:line="315" w:lineRule="auto"/>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 director or officer of the Company, Forms 3 and 4 (including amendments thereto) in accordance with Section 16(a) of the Securities Exchange Act of 1934 and the rules and regulations thereunder and a Form ID, Uniform Application for Access Codes to File on EDGAR;</w:t>
      </w:r>
    </w:p>
    <w:p>
      <w:pPr>
        <w:spacing w:after="0" w:line="119" w:lineRule="exact"/>
        <w:rPr>
          <w:rFonts w:ascii="Arial" w:cs="Arial" w:eastAsia="Arial" w:hAnsi="Arial"/>
          <w:sz w:val="18"/>
          <w:szCs w:val="18"/>
          <w:color w:val="auto"/>
        </w:rPr>
      </w:pPr>
    </w:p>
    <w:p>
      <w:pPr>
        <w:ind w:left="1240" w:right="140" w:hanging="623"/>
        <w:spacing w:after="0" w:line="341" w:lineRule="auto"/>
        <w:tabs>
          <w:tab w:leader="none" w:pos="1240" w:val="left"/>
        </w:tabs>
        <w:numPr>
          <w:ilvl w:val="0"/>
          <w:numId w:val="4"/>
        </w:numPr>
        <w:rPr>
          <w:rFonts w:ascii="Arial" w:cs="Arial" w:eastAsia="Arial" w:hAnsi="Arial"/>
          <w:sz w:val="17"/>
          <w:szCs w:val="17"/>
          <w:color w:val="auto"/>
        </w:rPr>
      </w:pPr>
      <w:r>
        <w:rPr>
          <w:rFonts w:ascii="Arial" w:cs="Arial" w:eastAsia="Arial" w:hAnsi="Arial"/>
          <w:sz w:val="17"/>
          <w:szCs w:val="17"/>
          <w:color w:val="auto"/>
        </w:rPr>
        <w:t>do and perform any and all acts for and on behalf of the undersigned which may be necessary or desirable to complete and executed any such Forms 3 or 4 or Form ID and timely file such forms (including amendments thereto) and application with the United States Securities and Exchange Commission and any stock exchange or similar authority; and</w:t>
      </w:r>
    </w:p>
    <w:p>
      <w:pPr>
        <w:spacing w:after="0" w:line="101" w:lineRule="exact"/>
        <w:rPr>
          <w:rFonts w:ascii="Arial" w:cs="Arial" w:eastAsia="Arial" w:hAnsi="Arial"/>
          <w:sz w:val="17"/>
          <w:szCs w:val="17"/>
          <w:color w:val="auto"/>
        </w:rPr>
      </w:pPr>
    </w:p>
    <w:p>
      <w:pPr>
        <w:ind w:left="1240" w:right="20" w:hanging="623"/>
        <w:spacing w:after="0" w:line="332" w:lineRule="auto"/>
        <w:tabs>
          <w:tab w:leader="none" w:pos="12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09" w:lineRule="exact"/>
        <w:rPr>
          <w:sz w:val="20"/>
          <w:szCs w:val="20"/>
          <w:color w:val="auto"/>
        </w:rPr>
      </w:pPr>
    </w:p>
    <w:p>
      <w:pPr>
        <w:ind w:right="380" w:firstLine="615"/>
        <w:spacing w:after="0" w:line="303"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30" w:lineRule="exact"/>
        <w:rPr>
          <w:sz w:val="20"/>
          <w:szCs w:val="20"/>
          <w:color w:val="auto"/>
        </w:rPr>
      </w:pPr>
    </w:p>
    <w:p>
      <w:pPr>
        <w:ind w:right="120" w:firstLine="615"/>
        <w:spacing w:after="0" w:line="285" w:lineRule="auto"/>
        <w:rPr>
          <w:sz w:val="20"/>
          <w:szCs w:val="20"/>
          <w:color w:val="auto"/>
        </w:rPr>
      </w:pPr>
      <w:r>
        <w:rPr>
          <w:rFonts w:ascii="Arial" w:cs="Arial" w:eastAsia="Arial" w:hAnsi="Arial"/>
          <w:sz w:val="19"/>
          <w:szCs w:val="19"/>
          <w:color w:val="auto"/>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attorney-in-fact for purposes of executing, acknowledging, delivering or filing Forms 3 or 4 (including amendments thereto) or Form ID and agrees to reimburse the Company and such attorney-in-fact for any legal or other expenses reasonably incurred in connection with investigating or defending against any such loss, claim, damage, liability or action.</w:t>
      </w:r>
    </w:p>
    <w:p>
      <w:pPr>
        <w:spacing w:after="0" w:line="143" w:lineRule="exact"/>
        <w:rPr>
          <w:sz w:val="20"/>
          <w:szCs w:val="20"/>
          <w:color w:val="auto"/>
        </w:rPr>
      </w:pPr>
    </w:p>
    <w:p>
      <w:pPr>
        <w:ind w:right="120" w:firstLine="615"/>
        <w:spacing w:after="0" w:line="334" w:lineRule="auto"/>
        <w:rPr>
          <w:sz w:val="20"/>
          <w:szCs w:val="20"/>
          <w:color w:val="auto"/>
        </w:rPr>
      </w:pPr>
      <w:r>
        <w:rPr>
          <w:rFonts w:ascii="Arial" w:cs="Arial" w:eastAsia="Arial" w:hAnsi="Arial"/>
          <w:sz w:val="18"/>
          <w:szCs w:val="18"/>
          <w:color w:val="auto"/>
        </w:rPr>
        <w:t>This Power of Attorney supersedes any power of attorney previously executed by the undersigned regarding the purposes outlined in the first paragraph hereof, and the authority of the attorneys-in-fact named in any such power of attorney is hereby revoked.</w:t>
      </w:r>
    </w:p>
    <w:p>
      <w:pPr>
        <w:spacing w:after="0" w:line="103" w:lineRule="exact"/>
        <w:rPr>
          <w:sz w:val="20"/>
          <w:szCs w:val="20"/>
          <w:color w:val="auto"/>
        </w:rPr>
      </w:pPr>
    </w:p>
    <w:p>
      <w:pPr>
        <w:ind w:firstLine="615"/>
        <w:spacing w:after="0" w:line="288" w:lineRule="auto"/>
        <w:rPr>
          <w:sz w:val="20"/>
          <w:szCs w:val="20"/>
          <w:color w:val="auto"/>
        </w:rPr>
      </w:pPr>
      <w:r>
        <w:rPr>
          <w:rFonts w:ascii="Arial" w:cs="Arial" w:eastAsia="Arial" w:hAnsi="Arial"/>
          <w:sz w:val="19"/>
          <w:szCs w:val="19"/>
          <w:color w:val="auto"/>
        </w:rPr>
        <w:t>This Power of Attorney shall remain in full force and effect until the undersigned is no longer required to file Forms 3 or 4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the first paragraph hereof dated as of a later date.</w:t>
      </w:r>
    </w:p>
    <w:p>
      <w:pPr>
        <w:spacing w:after="0" w:line="14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 WITNESS WHEREOF, the undersigned has caused this Power of Attorney to be executed as of this 20th day of December 2019.</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920"/>
        <w:spacing w:after="0"/>
        <w:rPr>
          <w:sz w:val="20"/>
          <w:szCs w:val="20"/>
          <w:color w:val="auto"/>
        </w:rPr>
      </w:pPr>
      <w:r>
        <w:rPr>
          <w:rFonts w:ascii="Arial" w:cs="Arial" w:eastAsia="Arial" w:hAnsi="Arial"/>
          <w:sz w:val="19"/>
          <w:szCs w:val="19"/>
          <w:color w:val="auto"/>
        </w:rPr>
        <w:t>/s/ Marco Dolci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3124200</wp:posOffset>
            </wp:positionH>
            <wp:positionV relativeFrom="paragraph">
              <wp:posOffset>-13335</wp:posOffset>
            </wp:positionV>
            <wp:extent cx="12249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24915" cy="8255"/>
                    </a:xfrm>
                    <a:prstGeom prst="rect">
                      <a:avLst/>
                    </a:prstGeom>
                    <a:noFill/>
                  </pic:spPr>
                </pic:pic>
              </a:graphicData>
            </a:graphic>
          </wp:anchor>
        </w:drawing>
      </w:r>
    </w:p>
    <w:p>
      <w:pPr>
        <w:ind w:left="4920"/>
        <w:spacing w:after="0"/>
        <w:rPr>
          <w:sz w:val="20"/>
          <w:szCs w:val="20"/>
          <w:color w:val="auto"/>
        </w:rPr>
      </w:pPr>
      <w:r>
        <w:rPr>
          <w:rFonts w:ascii="Arial" w:cs="Arial" w:eastAsia="Arial" w:hAnsi="Arial"/>
          <w:sz w:val="19"/>
          <w:szCs w:val="19"/>
          <w:color w:val="auto"/>
        </w:rPr>
        <w:t>Marco Dolci</w:t>
      </w:r>
    </w:p>
    <w:sectPr>
      <w:pgSz w:w="11900" w:h="16838" w:orient="portrait"/>
      <w:cols w:equalWidth="0" w:num="1">
        <w:col w:w="10980"/>
      </w:cols>
      <w:pgMar w:left="460" w:top="349"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798597"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2021-03-17T15:12:25Z</dcterms:created>
  <dcterms:modified xsi:type="dcterms:W3CDTF">2021-03-17T15:12:25Z</dcterms:modified>
</cp:coreProperties>
</file>