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155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5556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McDonald Damien</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11/04/2017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20" w:type="dxa"/>
            <w:vAlign w:val="bottom"/>
          </w:tcPr>
          <w:p>
            <w:pPr>
              <w:spacing w:after="0"/>
              <w:rPr>
                <w:sz w:val="22"/>
                <w:szCs w:val="22"/>
                <w:color w:val="auto"/>
              </w:rPr>
            </w:pPr>
          </w:p>
        </w:tc>
        <w:tc>
          <w:tcPr>
            <w:tcW w:w="1560" w:type="dxa"/>
            <w:vAlign w:val="bottom"/>
          </w:tcPr>
          <w:p>
            <w:pPr>
              <w:ind w:left="1040"/>
              <w:spacing w:after="0"/>
              <w:rPr>
                <w:sz w:val="20"/>
                <w:szCs w:val="20"/>
                <w:color w:val="auto"/>
              </w:rPr>
            </w:pPr>
            <w:r>
              <w:rPr>
                <w:rFonts w:ascii="Arial" w:cs="Arial" w:eastAsia="Arial" w:hAnsi="Arial"/>
                <w:sz w:val="17"/>
                <w:szCs w:val="17"/>
                <w:color w:val="0000FF"/>
              </w:rPr>
              <w:t>CEO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8"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20" w:type="dxa"/>
            <w:vAlign w:val="bottom"/>
            <w:gridSpan w:val="2"/>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3"/>
                <w:szCs w:val="23"/>
                <w:color w:val="auto"/>
              </w:rPr>
            </w:pPr>
          </w:p>
        </w:tc>
        <w:tc>
          <w:tcPr>
            <w:tcW w:w="1920" w:type="dxa"/>
            <w:vAlign w:val="bottom"/>
            <w:gridSpan w:val="2"/>
          </w:tcPr>
          <w:p>
            <w:pPr>
              <w:ind w:left="900"/>
              <w:spacing w:after="0"/>
              <w:rPr>
                <w:sz w:val="20"/>
                <w:szCs w:val="20"/>
                <w:color w:val="auto"/>
              </w:rPr>
            </w:pPr>
            <w:r>
              <w:rPr>
                <w:rFonts w:ascii="Arial" w:cs="Arial" w:eastAsia="Arial" w:hAnsi="Arial"/>
                <w:sz w:val="17"/>
                <w:szCs w:val="17"/>
                <w:color w:val="0000FF"/>
              </w:rPr>
              <w:t>11/04/2017</w:t>
            </w: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ind w:left="240"/>
              <w:spacing w:after="0"/>
              <w:rPr>
                <w:sz w:val="20"/>
                <w:szCs w:val="20"/>
                <w:color w:val="auto"/>
              </w:rPr>
            </w:pPr>
            <w:r>
              <w:rPr>
                <w:rFonts w:ascii="Arial" w:cs="Arial" w:eastAsia="Arial" w:hAnsi="Arial"/>
                <w:sz w:val="17"/>
                <w:szCs w:val="17"/>
                <w:color w:val="0000FF"/>
                <w:w w:val="92"/>
              </w:rPr>
              <w:t>16,745</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81.76</w:t>
            </w:r>
          </w:p>
        </w:tc>
        <w:tc>
          <w:tcPr>
            <w:tcW w:w="1260" w:type="dxa"/>
            <w:vAlign w:val="bottom"/>
            <w:gridSpan w:val="2"/>
          </w:tcPr>
          <w:p>
            <w:pPr>
              <w:ind w:left="360"/>
              <w:spacing w:after="0"/>
              <w:rPr>
                <w:sz w:val="20"/>
                <w:szCs w:val="20"/>
                <w:color w:val="auto"/>
              </w:rPr>
            </w:pPr>
            <w:r>
              <w:rPr>
                <w:rFonts w:ascii="Arial" w:cs="Arial" w:eastAsia="Arial" w:hAnsi="Arial"/>
                <w:sz w:val="17"/>
                <w:szCs w:val="17"/>
                <w:color w:val="0000FF"/>
              </w:rPr>
              <w:t>16,745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11/04/2017</w:t>
            </w:r>
          </w:p>
        </w:tc>
        <w:tc>
          <w:tcPr>
            <w:tcW w:w="10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2"/>
              </w:rPr>
              <w:t>5,609</w:t>
            </w:r>
            <w:r>
              <w:rPr>
                <w:rFonts w:ascii="Arial" w:cs="Arial" w:eastAsia="Arial" w:hAnsi="Arial"/>
                <w:sz w:val="22"/>
                <w:szCs w:val="22"/>
                <w:color w:val="008000"/>
                <w:w w:val="82"/>
                <w:vertAlign w:val="superscript"/>
              </w:rPr>
              <w:t>(1)</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81.76</w:t>
            </w:r>
          </w:p>
        </w:tc>
        <w:tc>
          <w:tcPr>
            <w:tcW w:w="12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11,136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16,745</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1"/>
                <w:szCs w:val="11"/>
                <w:color w:val="auto"/>
              </w:rPr>
            </w:pPr>
          </w:p>
        </w:tc>
        <w:tc>
          <w:tcPr>
            <w:tcW w:w="106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11/04/2017</w:t>
            </w:r>
          </w:p>
        </w:tc>
        <w:tc>
          <w:tcPr>
            <w:tcW w:w="1200" w:type="dxa"/>
            <w:vAlign w:val="bottom"/>
          </w:tcPr>
          <w:p>
            <w:pPr>
              <w:spacing w:after="0"/>
              <w:rPr>
                <w:sz w:val="11"/>
                <w:szCs w:val="11"/>
                <w:color w:val="auto"/>
              </w:rPr>
            </w:pPr>
          </w:p>
        </w:tc>
        <w:tc>
          <w:tcPr>
            <w:tcW w:w="72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1000" w:type="dxa"/>
            <w:vAlign w:val="bottom"/>
          </w:tcPr>
          <w:p>
            <w:pPr>
              <w:ind w:left="500"/>
              <w:spacing w:after="0" w:line="132" w:lineRule="exact"/>
              <w:rPr>
                <w:sz w:val="20"/>
                <w:szCs w:val="20"/>
                <w:color w:val="auto"/>
              </w:rPr>
            </w:pPr>
            <w:r>
              <w:rPr>
                <w:rFonts w:ascii="Arial" w:cs="Arial" w:eastAsia="Arial" w:hAnsi="Arial"/>
                <w:sz w:val="13"/>
                <w:szCs w:val="13"/>
                <w:color w:val="0000FF"/>
              </w:rPr>
              <w:t>16,745</w:t>
            </w: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60"/>
              <w:spacing w:after="0" w:line="132" w:lineRule="exact"/>
              <w:rPr>
                <w:sz w:val="20"/>
                <w:szCs w:val="20"/>
                <w:color w:val="auto"/>
              </w:rPr>
            </w:pPr>
            <w:r>
              <w:rPr>
                <w:rFonts w:ascii="Arial" w:cs="Arial" w:eastAsia="Arial" w:hAnsi="Arial"/>
                <w:sz w:val="13"/>
                <w:szCs w:val="13"/>
                <w:color w:val="0000FF"/>
                <w:w w:val="90"/>
              </w:rPr>
              <w:t>50,234</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Such shares were forfeited and the associated value was used to offset the tax liability associated with the November 4, 2017 vesting of 16,745 restricted stock units (RSUs).</w:t>
      </w:r>
    </w:p>
    <w:p>
      <w:pPr>
        <w:spacing w:after="0" w:line="9" w:lineRule="exact"/>
        <w:rPr>
          <w:rFonts w:ascii="Arial" w:cs="Arial" w:eastAsia="Arial" w:hAnsi="Arial"/>
          <w:sz w:val="13"/>
          <w:szCs w:val="13"/>
          <w:color w:val="008000"/>
        </w:rPr>
      </w:pPr>
    </w:p>
    <w:p>
      <w:pPr>
        <w:ind w:left="40" w:right="42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9" w:lineRule="exact"/>
        <w:rPr>
          <w:rFonts w:ascii="Arial" w:cs="Arial" w:eastAsia="Arial" w:hAnsi="Arial"/>
          <w:sz w:val="13"/>
          <w:szCs w:val="13"/>
          <w:color w:val="008000"/>
        </w:rPr>
      </w:pPr>
    </w:p>
    <w:p>
      <w:pPr>
        <w:ind w:left="40" w:right="20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RSUs subject to a four-year vesting schedule, vesting 25% on each of the next four anniversaries of November 4, 2016. The RSUs are subject to forfeiture prior to vesting in accordance with the terms of the LivaNova PLC 2015 Incentive Award Plan.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Sarah K. Mohr as POA</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11/09/2017</w:t>
            </w: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2019-12-04T02:41:41Z</dcterms:created>
  <dcterms:modified xsi:type="dcterms:W3CDTF">2019-12-04T02:41:41Z</dcterms:modified>
</cp:coreProperties>
</file>