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Novak Alfred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3,327</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2"/>
          </w:tcPr>
          <w:p>
            <w:pPr>
              <w:jc w:val="right"/>
              <w:ind w:right="2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15,347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08/05/2017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2"/>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rPr>
              <w:t>1,497</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60.41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13,850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3,327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08/05/2017</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3,327</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restricted stock units ("RSUs") settled in ordinary share of LivaNova PLC (the "Company"), GBP 1.00 par value.</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Such shares were forfeited and the associated value was used to offset the tax liability associated with the August 5, 2017 vesting of 3,327 RSUs.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August 5, 2016, reporting person was granted RSUs that vested and all forfeiture restrictions thereon lapsed on August 5,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Arial" w:cs="Arial" w:eastAsia="Arial" w:hAnsi="Arial"/>
                <w:sz w:val="18"/>
                <w:szCs w:val="18"/>
                <w:color w:val="0000FF"/>
                <w:w w:val="88"/>
              </w:rPr>
              <w:t>/s/ Sarah K. Mohr as POA</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08/08/2017</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2019-12-24T08:56:32Z</dcterms:created>
  <dcterms:modified xsi:type="dcterms:W3CDTF">2019-12-24T08:56:32Z</dcterms:modified>
</cp:coreProperties>
</file>