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ind w:left="3500"/>
        <w:spacing w:after="0" w:line="197"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line="210" w:lineRule="auto"/>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3940" w:right="1340" w:hanging="2588"/>
        <w:spacing w:after="0" w:line="264" w:lineRule="auto"/>
        <w:tabs>
          <w:tab w:leader="none" w:pos="165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September 30, 2026</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3320" w:right="1340" w:hanging="1974"/>
        <w:spacing w:after="0" w:line="288" w:lineRule="auto"/>
        <w:tabs>
          <w:tab w:leader="none" w:pos="165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175895</wp:posOffset>
            </wp:positionV>
            <wp:extent cx="164592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LivaNova PLC</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England and Wales </w:t>
            </w:r>
            <w:r>
              <w:rPr>
                <w:rFonts w:ascii="Times New Roman" w:cs="Times New Roman" w:eastAsia="Times New Roman" w:hAnsi="Times New Roman"/>
                <w:sz w:val="16"/>
                <w:szCs w:val="16"/>
                <w:i w:val="1"/>
                <w:iCs w:val="1"/>
                <w:color w:val="FFFFFF"/>
              </w:rPr>
              <w:t>...................</w:t>
            </w:r>
          </w:p>
        </w:tc>
        <w:tc>
          <w:tcPr>
            <w:tcW w:w="3860" w:type="dxa"/>
            <w:vAlign w:val="bottom"/>
            <w:gridSpan w:val="2"/>
          </w:tcPr>
          <w:p>
            <w:pPr>
              <w:jc w:val="right"/>
              <w:ind w:right="2739"/>
              <w:spacing w:after="0"/>
              <w:rPr>
                <w:sz w:val="20"/>
                <w:szCs w:val="20"/>
                <w:color w:val="auto"/>
              </w:rPr>
            </w:pPr>
            <w:r>
              <w:rPr>
                <w:rFonts w:ascii="Times New Roman" w:cs="Times New Roman" w:eastAsia="Times New Roman" w:hAnsi="Times New Roman"/>
                <w:sz w:val="16"/>
                <w:szCs w:val="16"/>
                <w:b w:val="1"/>
                <w:bCs w:val="1"/>
                <w:color w:val="auto"/>
              </w:rPr>
              <w:t>98-1268150</w:t>
            </w:r>
          </w:p>
        </w:tc>
        <w:tc>
          <w:tcPr>
            <w:tcW w:w="130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 xml:space="preserve">(State or other jurisdiction of </w:t>
            </w:r>
            <w:r>
              <w:rPr>
                <w:rFonts w:ascii="Times New Roman" w:cs="Times New Roman" w:eastAsia="Times New Roman" w:hAnsi="Times New Roman"/>
                <w:sz w:val="16"/>
                <w:szCs w:val="16"/>
                <w:i w:val="1"/>
                <w:iCs w:val="1"/>
                <w:color w:val="FFFFFF"/>
                <w:w w:val="96"/>
              </w:rPr>
              <w:t>..........</w:t>
            </w:r>
          </w:p>
        </w:tc>
        <w:tc>
          <w:tcPr>
            <w:tcW w:w="5160" w:type="dxa"/>
            <w:vAlign w:val="bottom"/>
            <w:gridSpan w:val="3"/>
          </w:tcPr>
          <w:p>
            <w:pPr>
              <w:jc w:val="center"/>
              <w:ind w:right="3680"/>
              <w:spacing w:after="0"/>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 xml:space="preserve">incorporation or organization) </w:t>
            </w:r>
            <w:r>
              <w:rPr>
                <w:rFonts w:ascii="Times New Roman" w:cs="Times New Roman" w:eastAsia="Times New Roman" w:hAnsi="Times New Roman"/>
                <w:sz w:val="16"/>
                <w:szCs w:val="16"/>
                <w:i w:val="1"/>
                <w:iCs w:val="1"/>
                <w:color w:val="FFFFFF"/>
                <w:w w:val="95"/>
              </w:rPr>
              <w:t>........</w:t>
            </w:r>
          </w:p>
        </w:tc>
        <w:tc>
          <w:tcPr>
            <w:tcW w:w="5160" w:type="dxa"/>
            <w:vAlign w:val="bottom"/>
            <w:gridSpan w:val="3"/>
          </w:tcPr>
          <w:p>
            <w:pPr>
              <w:jc w:val="center"/>
              <w:ind w:right="3680"/>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341"/>
        </w:trPr>
        <w:tc>
          <w:tcPr>
            <w:tcW w:w="1820" w:type="dxa"/>
            <w:vAlign w:val="bottom"/>
          </w:tcPr>
          <w:p>
            <w:pPr>
              <w:spacing w:after="0"/>
              <w:rPr>
                <w:sz w:val="24"/>
                <w:szCs w:val="24"/>
                <w:color w:val="auto"/>
              </w:rPr>
            </w:pPr>
          </w:p>
        </w:tc>
        <w:tc>
          <w:tcPr>
            <w:tcW w:w="9420" w:type="dxa"/>
            <w:vAlign w:val="bottom"/>
            <w:gridSpan w:val="8"/>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5220 Valiant Court, Gloucester Business Park, Gloucester, United Kingdom</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GL3 4FE</w:t>
            </w:r>
          </w:p>
        </w:tc>
      </w:tr>
      <w:tr>
        <w:trPr>
          <w:trHeight w:val="212"/>
        </w:trPr>
        <w:tc>
          <w:tcPr>
            <w:tcW w:w="1820" w:type="dxa"/>
            <w:vAlign w:val="bottom"/>
          </w:tcPr>
          <w:p>
            <w:pPr>
              <w:spacing w:after="0"/>
              <w:rPr>
                <w:sz w:val="18"/>
                <w:szCs w:val="18"/>
                <w:color w:val="auto"/>
              </w:rPr>
            </w:pPr>
          </w:p>
        </w:tc>
        <w:tc>
          <w:tcPr>
            <w:tcW w:w="5260" w:type="dxa"/>
            <w:vAlign w:val="bottom"/>
            <w:gridSpan w:val="6"/>
          </w:tcPr>
          <w:p>
            <w:pPr>
              <w:ind w:left="800"/>
              <w:spacing w:after="0"/>
              <w:rPr>
                <w:sz w:val="20"/>
                <w:szCs w:val="20"/>
                <w:color w:val="auto"/>
              </w:rPr>
            </w:pPr>
            <w:r>
              <w:rPr>
                <w:rFonts w:ascii="Times New Roman" w:cs="Times New Roman" w:eastAsia="Times New Roman" w:hAnsi="Times New Roman"/>
                <w:sz w:val="16"/>
                <w:szCs w:val="16"/>
                <w:i w:val="1"/>
                <w:iCs w:val="1"/>
                <w:color w:val="auto"/>
                <w:w w:val="85"/>
              </w:rPr>
              <w:t xml:space="preserve">(Address of principal executive offices) </w:t>
            </w:r>
            <w:r>
              <w:rPr>
                <w:rFonts w:ascii="Times New Roman" w:cs="Times New Roman" w:eastAsia="Times New Roman" w:hAnsi="Times New Roman"/>
                <w:sz w:val="16"/>
                <w:szCs w:val="16"/>
                <w:i w:val="1"/>
                <w:iCs w:val="1"/>
                <w:color w:val="FFFFFF"/>
                <w:w w:val="85"/>
              </w:rPr>
              <w:t>..................................................................</w:t>
            </w:r>
          </w:p>
        </w:tc>
        <w:tc>
          <w:tcPr>
            <w:tcW w:w="4160" w:type="dxa"/>
            <w:vAlign w:val="bottom"/>
            <w:gridSpan w:val="2"/>
          </w:tcPr>
          <w:p>
            <w:pPr>
              <w:ind w:left="840"/>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384"/>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60" w:type="dxa"/>
            <w:vAlign w:val="bottom"/>
            <w:gridSpan w:val="7"/>
          </w:tcPr>
          <w:p>
            <w:pPr>
              <w:jc w:val="center"/>
              <w:ind w:right="2960"/>
              <w:spacing w:after="0"/>
              <w:rPr>
                <w:sz w:val="20"/>
                <w:szCs w:val="20"/>
                <w:color w:val="auto"/>
              </w:rPr>
            </w:pPr>
            <w:r>
              <w:rPr>
                <w:rFonts w:ascii="Times New Roman" w:cs="Times New Roman" w:eastAsia="Times New Roman" w:hAnsi="Times New Roman"/>
                <w:sz w:val="16"/>
                <w:szCs w:val="16"/>
                <w:i w:val="1"/>
                <w:iCs w:val="1"/>
                <w:color w:val="auto"/>
              </w:rPr>
              <w:t>Registrant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 xml:space="preserve">s telephone number, including area code: </w:t>
            </w:r>
            <w:r>
              <w:rPr>
                <w:rFonts w:ascii="Times New Roman" w:cs="Times New Roman" w:eastAsia="Times New Roman" w:hAnsi="Times New Roman"/>
                <w:sz w:val="16"/>
                <w:szCs w:val="16"/>
                <w:b w:val="1"/>
                <w:bCs w:val="1"/>
                <w:color w:val="auto"/>
              </w:rPr>
              <w:t>(44) (0) 203 325-0660</w:t>
            </w:r>
          </w:p>
        </w:tc>
      </w:tr>
      <w:tr>
        <w:trPr>
          <w:trHeight w:val="223"/>
        </w:trPr>
        <w:tc>
          <w:tcPr>
            <w:tcW w:w="1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91"/>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60" w:type="dxa"/>
            <w:vAlign w:val="bottom"/>
            <w:gridSpan w:val="7"/>
          </w:tcPr>
          <w:p>
            <w:pPr>
              <w:jc w:val="center"/>
              <w:ind w:right="29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30"/>
        </w:trPr>
        <w:tc>
          <w:tcPr>
            <w:tcW w:w="1820" w:type="dxa"/>
            <w:vAlign w:val="bottom"/>
          </w:tcPr>
          <w:p>
            <w:pPr>
              <w:spacing w:after="0"/>
              <w:rPr>
                <w:sz w:val="24"/>
                <w:szCs w:val="24"/>
                <w:color w:val="auto"/>
              </w:rPr>
            </w:pPr>
          </w:p>
        </w:tc>
        <w:tc>
          <w:tcPr>
            <w:tcW w:w="2000" w:type="dxa"/>
            <w:vAlign w:val="bottom"/>
            <w:gridSpan w:val="2"/>
          </w:tcPr>
          <w:p>
            <w:pPr>
              <w:jc w:val="center"/>
              <w:ind w:right="75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86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Trading Symbol(s)</w:t>
            </w:r>
          </w:p>
        </w:tc>
        <w:tc>
          <w:tcPr>
            <w:tcW w:w="51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4"/>
        </w:trPr>
        <w:tc>
          <w:tcPr>
            <w:tcW w:w="3820" w:type="dxa"/>
            <w:vAlign w:val="bottom"/>
            <w:gridSpan w:val="3"/>
          </w:tcPr>
          <w:p>
            <w:pPr>
              <w:jc w:val="center"/>
              <w:ind w:left="919"/>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860" w:type="dxa"/>
            <w:vAlign w:val="bottom"/>
          </w:tcPr>
          <w:p>
            <w:pPr>
              <w:spacing w:after="0"/>
              <w:rPr>
                <w:sz w:val="21"/>
                <w:szCs w:val="21"/>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LIVN</w:t>
            </w:r>
          </w:p>
        </w:tc>
        <w:tc>
          <w:tcPr>
            <w:tcW w:w="1000" w:type="dxa"/>
            <w:vAlign w:val="bottom"/>
          </w:tcPr>
          <w:p>
            <w:pPr>
              <w:spacing w:after="0"/>
              <w:rPr>
                <w:sz w:val="21"/>
                <w:szCs w:val="21"/>
                <w:color w:val="auto"/>
              </w:rPr>
            </w:pPr>
          </w:p>
        </w:tc>
        <w:tc>
          <w:tcPr>
            <w:tcW w:w="4160" w:type="dxa"/>
            <w:vAlign w:val="bottom"/>
            <w:gridSpan w:val="2"/>
          </w:tcPr>
          <w:p>
            <w:pPr>
              <w:jc w:val="center"/>
              <w:ind w:right="132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8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7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7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6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115"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Class</w:t>
            </w:r>
          </w:p>
        </w:tc>
        <w:tc>
          <w:tcPr>
            <w:tcW w:w="5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Outstanding on October 28, 2026</w:t>
            </w:r>
          </w:p>
        </w:tc>
      </w:tr>
      <w:tr>
        <w:trPr>
          <w:trHeight w:val="229"/>
        </w:trPr>
        <w:tc>
          <w:tcPr>
            <w:tcW w:w="57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5460" w:type="dxa"/>
            <w:vAlign w:val="bottom"/>
          </w:tcPr>
          <w:p>
            <w:pPr>
              <w:jc w:val="right"/>
              <w:ind w:right="2379"/>
              <w:spacing w:after="0"/>
              <w:rPr>
                <w:sz w:val="20"/>
                <w:szCs w:val="20"/>
                <w:color w:val="auto"/>
              </w:rPr>
            </w:pPr>
            <w:r>
              <w:rPr>
                <w:rFonts w:ascii="Times New Roman" w:cs="Times New Roman" w:eastAsia="Times New Roman" w:hAnsi="Times New Roman"/>
                <w:sz w:val="16"/>
                <w:szCs w:val="16"/>
                <w:color w:val="auto"/>
              </w:rPr>
              <w:t>55,086,809</w:t>
            </w:r>
          </w:p>
        </w:tc>
      </w:tr>
      <w:tr>
        <w:trPr>
          <w:trHeight w:val="688"/>
        </w:trPr>
        <w:tc>
          <w:tcPr>
            <w:tcW w:w="57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LIVANOVA PLC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Item</w:t>
            </w:r>
          </w:p>
        </w:tc>
        <w:tc>
          <w:tcPr>
            <w:tcW w:w="100" w:type="dxa"/>
            <w:vAlign w:val="bottom"/>
            <w:tcBorders>
              <w:bottom w:val="single" w:sz="8" w:color="CCEEFF"/>
            </w:tcBorders>
          </w:tcPr>
          <w:p>
            <w:pPr>
              <w:spacing w:after="0"/>
              <w:rPr>
                <w:sz w:val="20"/>
                <w:szCs w:val="20"/>
                <w:color w:val="auto"/>
              </w:rPr>
            </w:pPr>
          </w:p>
        </w:tc>
        <w:tc>
          <w:tcPr>
            <w:tcW w:w="9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7"/>
        </w:trPr>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Definitions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rPr>
              <w:t>1</w:t>
            </w:r>
          </w:p>
        </w:tc>
      </w:tr>
      <w:tr>
        <w:trPr>
          <w:trHeight w:val="243"/>
        </w:trPr>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Intellectual Property, Trademarks, and Trade Names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rPr>
              <w:t>3</w:t>
            </w:r>
          </w:p>
        </w:tc>
      </w:tr>
      <w:tr>
        <w:trPr>
          <w:trHeight w:val="243"/>
        </w:trPr>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Cautionary Note About Forward-Looking Statements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rPr>
              <w:t>4</w:t>
            </w:r>
          </w:p>
        </w:tc>
      </w:tr>
      <w:tr>
        <w:trPr>
          <w:trHeight w:val="243"/>
        </w:trPr>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r>
      <w:tr>
        <w:trPr>
          <w:trHeight w:val="237"/>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shd w:val="clear" w:color="auto" w:fill="CCEEFF"/>
          </w:tcPr>
          <w:p>
            <w:pPr>
              <w:spacing w:after="0"/>
              <w:rPr>
                <w:sz w:val="20"/>
                <w:szCs w:val="20"/>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rPr>
              <w:t>5</w:t>
            </w:r>
          </w:p>
        </w:tc>
      </w:tr>
      <w:tr>
        <w:trPr>
          <w:trHeight w:val="24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1"/>
                <w:szCs w:val="21"/>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43"/>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21"/>
                <w:szCs w:val="21"/>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4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1"/>
                <w:szCs w:val="21"/>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43"/>
        </w:trPr>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43"/>
        </w:trPr>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0000FF"/>
                <w:w w:val="97"/>
              </w:rPr>
              <w:t>1A.</w:t>
            </w: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4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1"/>
                <w:szCs w:val="21"/>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43"/>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21"/>
                <w:szCs w:val="21"/>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4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1"/>
                <w:szCs w:val="21"/>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43"/>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shd w:val="clear" w:color="auto" w:fill="CCEEFF"/>
          </w:tcPr>
          <w:p>
            <w:pPr>
              <w:spacing w:after="0"/>
              <w:rPr>
                <w:sz w:val="21"/>
                <w:szCs w:val="21"/>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4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21"/>
                <w:szCs w:val="21"/>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43"/>
        </w:trPr>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34</w:t>
            </w:r>
          </w:p>
        </w:tc>
      </w:tr>
      <w:tr>
        <w:trPr>
          <w:trHeight w:val="1640"/>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for the quarter ended September 30, 2026, the following terms and abbreviations have the meanings listed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and the “Company” refer to LivaNova PLC and its consolidated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140" w:type="dxa"/>
            <w:vAlign w:val="bottom"/>
            <w:tcBorders>
              <w:bottom w:val="single" w:sz="8" w:color="CCEEFF"/>
            </w:tcBorders>
          </w:tcPr>
          <w:p>
            <w:pPr>
              <w:spacing w:after="0"/>
              <w:rPr>
                <w:sz w:val="20"/>
                <w:szCs w:val="20"/>
                <w:color w:val="auto"/>
              </w:rPr>
            </w:pPr>
          </w:p>
        </w:tc>
        <w:tc>
          <w:tcPr>
            <w:tcW w:w="856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1"/>
        </w:trPr>
        <w:tc>
          <w:tcPr>
            <w:tcW w:w="4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2016</w:t>
            </w:r>
          </w:p>
        </w:tc>
        <w:tc>
          <w:tcPr>
            <w:tcW w:w="226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Decision</w:t>
            </w:r>
          </w:p>
        </w:tc>
        <w:tc>
          <w:tcPr>
            <w:tcW w:w="856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Decision by the Court of Milan in 2016 to dismiss all legal actions of SNIA and of the Public Administrations and to</w:t>
            </w:r>
          </w:p>
        </w:tc>
      </w:tr>
      <w:tr>
        <w:trPr>
          <w:trHeight w:val="234"/>
        </w:trPr>
        <w:tc>
          <w:tcPr>
            <w:tcW w:w="4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further require the Public Administrations to pay Sorin €292,000 for legal fees</w:t>
            </w:r>
          </w:p>
        </w:tc>
      </w:tr>
      <w:tr>
        <w:trPr>
          <w:trHeight w:val="198"/>
        </w:trPr>
        <w:tc>
          <w:tcPr>
            <w:tcW w:w="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2021</w:t>
            </w:r>
          </w:p>
        </w:tc>
        <w:tc>
          <w:tcPr>
            <w:tcW w:w="22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First Lien Credit Agreement</w:t>
            </w:r>
          </w:p>
        </w:tc>
        <w:tc>
          <w:tcPr>
            <w:tcW w:w="8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First Lien Credit Agreement between LivaNova PLC and its wholly-owned subsidiary, LivaNova USA, Inc., and</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Goldman Sachs Bank USA, as First Lien Administrative Agent and First Lien Collateral Agent, entered into on</w:t>
            </w:r>
          </w:p>
        </w:tc>
      </w:tr>
      <w:tr>
        <w:trPr>
          <w:trHeight w:val="229"/>
        </w:trPr>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 2021</w:t>
            </w:r>
          </w:p>
        </w:tc>
      </w:tr>
      <w:tr>
        <w:trPr>
          <w:trHeight w:val="24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Capped Calls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Privately-negotiated capped call transactions entered into with certain financial institutions</w:t>
            </w:r>
          </w:p>
        </w:tc>
      </w:tr>
      <w:tr>
        <w:trPr>
          <w:trHeight w:val="24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Derivative</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bifurcated embedded derivative associated with the 2025 Notes</w:t>
            </w:r>
          </w:p>
        </w:tc>
      </w:tr>
      <w:tr>
        <w:trPr>
          <w:trHeight w:val="198"/>
        </w:trPr>
        <w:tc>
          <w:tcPr>
            <w:tcW w:w="4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Form 10-K</w:t>
            </w:r>
          </w:p>
        </w:tc>
        <w:tc>
          <w:tcPr>
            <w:tcW w:w="85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LivaNova PLC’s Annual Report on Form 10-K for the year ended December 31, 2025, filed with the SEC on</w:t>
            </w:r>
          </w:p>
        </w:tc>
      </w:tr>
      <w:tr>
        <w:trPr>
          <w:trHeight w:val="234"/>
        </w:trPr>
        <w:tc>
          <w:tcPr>
            <w:tcW w:w="4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198"/>
        </w:trPr>
        <w:tc>
          <w:tcPr>
            <w:tcW w:w="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Notes</w:t>
            </w:r>
          </w:p>
        </w:tc>
        <w:tc>
          <w:tcPr>
            <w:tcW w:w="8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$287.5 million aggregate principal amount 3.00% unsecured cash exchangeable senior notes due December 15, 2025,</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by private placement to qualified institutional buyers pursuant to Rule 144A under the Securities Act, issued by</w:t>
            </w:r>
          </w:p>
        </w:tc>
      </w:tr>
      <w:tr>
        <w:trPr>
          <w:trHeight w:val="230"/>
        </w:trPr>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LivaNova USA on June 17, 2020</w:t>
            </w:r>
          </w:p>
        </w:tc>
      </w:tr>
      <w:tr>
        <w:trPr>
          <w:trHeight w:val="24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Capped Calls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Privately-negotiated capped call transactions entered into with certain financial institutions</w:t>
            </w:r>
          </w:p>
        </w:tc>
      </w:tr>
      <w:tr>
        <w:trPr>
          <w:trHeight w:val="24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Derivative</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bifurcated embedded derivative associated with the 2029 Notes</w:t>
            </w:r>
          </w:p>
        </w:tc>
      </w:tr>
      <w:tr>
        <w:trPr>
          <w:trHeight w:val="198"/>
        </w:trPr>
        <w:tc>
          <w:tcPr>
            <w:tcW w:w="4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Notes</w:t>
            </w:r>
          </w:p>
        </w:tc>
        <w:tc>
          <w:tcPr>
            <w:tcW w:w="85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$345.0 million aggregate principal amount 2.50% unsecured convertible senior notes due 2029 by private placement</w:t>
            </w:r>
          </w:p>
        </w:tc>
      </w:tr>
      <w:tr>
        <w:trPr>
          <w:trHeight w:val="180"/>
        </w:trPr>
        <w:tc>
          <w:tcPr>
            <w:tcW w:w="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to qualified institutional buyers pursuant to Rule 144A under the Securities Act, issued by LivaNova PLC on March</w:t>
            </w:r>
          </w:p>
        </w:tc>
      </w:tr>
      <w:tr>
        <w:trPr>
          <w:trHeight w:val="230"/>
        </w:trPr>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8, 2024</w:t>
            </w:r>
          </w:p>
        </w:tc>
      </w:tr>
      <w:tr>
        <w:trPr>
          <w:trHeight w:val="24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Artificial intelligence</w:t>
            </w:r>
          </w:p>
        </w:tc>
      </w:tr>
      <w:tr>
        <w:trPr>
          <w:trHeight w:val="243"/>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4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43"/>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Capped Call Transactions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2025 Capped Calls and the 2029 Capped Calls</w:t>
            </w:r>
          </w:p>
        </w:tc>
      </w:tr>
      <w:tr>
        <w:trPr>
          <w:trHeight w:val="24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2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40"/>
        </w:trPr>
        <w:tc>
          <w:tcPr>
            <w:tcW w:w="25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560" w:type="dxa"/>
            <w:vAlign w:val="bottom"/>
          </w:tcPr>
          <w:p>
            <w:pPr>
              <w:spacing w:after="0"/>
              <w:rPr>
                <w:sz w:val="3"/>
                <w:szCs w:val="3"/>
                <w:color w:val="auto"/>
              </w:rPr>
            </w:pPr>
          </w:p>
        </w:tc>
      </w:tr>
      <w:tr>
        <w:trPr>
          <w:trHeight w:val="243"/>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Court of Appeal</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Court of Appeal in Milan</w:t>
            </w:r>
          </w:p>
        </w:tc>
      </w:tr>
      <w:tr>
        <w:trPr>
          <w:trHeight w:val="198"/>
        </w:trPr>
        <w:tc>
          <w:tcPr>
            <w:tcW w:w="26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Delayed Draw Term Facility</w:t>
            </w:r>
          </w:p>
        </w:tc>
        <w:tc>
          <w:tcPr>
            <w:tcW w:w="8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$50.0 million delayed draw term facility under the 2021 First Lien Credit Agreement, resulting from the Incremental</w:t>
            </w:r>
          </w:p>
        </w:tc>
      </w:tr>
      <w:tr>
        <w:trPr>
          <w:trHeight w:val="234"/>
        </w:trPr>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Amendment No. 2</w:t>
            </w:r>
          </w:p>
        </w:tc>
      </w:tr>
      <w:tr>
        <w:trPr>
          <w:trHeight w:val="24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2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Drug-resistant epilepsy</w:t>
            </w:r>
          </w:p>
        </w:tc>
      </w:tr>
      <w:tr>
        <w:trPr>
          <w:trHeight w:val="198"/>
        </w:trPr>
        <w:tc>
          <w:tcPr>
            <w:tcW w:w="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DTD</w:t>
            </w: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Difficult-to-treat Depression - The Company’s broader business and strategic communications reference DTD as the</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preferred disease state when speaking more broadly about depression treatment, as it is a more inclusive and clinically</w:t>
            </w:r>
          </w:p>
        </w:tc>
      </w:tr>
      <w:tr>
        <w:trPr>
          <w:trHeight w:val="175"/>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evolving concept that encompasses patients whose depression continues to cause significant burden despite usual</w:t>
            </w:r>
          </w:p>
        </w:tc>
      </w:tr>
      <w:tr>
        <w:trPr>
          <w:trHeight w:val="184"/>
        </w:trPr>
        <w:tc>
          <w:tcPr>
            <w:tcW w:w="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treatment efforts. Meanwhile, LivaNova’s RECOVER clinical study defines the patient population using the inclusion</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criteria for TRD, typically characterized by major depressive disorder that does not adequately respond to at least two</w:t>
            </w:r>
          </w:p>
        </w:tc>
      </w:tr>
      <w:tr>
        <w:trPr>
          <w:trHeight w:val="175"/>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different antidepressant treatments given at an appropriate dose and duration. As a result, the Company uses TRD in</w:t>
            </w:r>
          </w:p>
        </w:tc>
      </w:tr>
      <w:tr>
        <w:trPr>
          <w:trHeight w:val="184"/>
        </w:trPr>
        <w:tc>
          <w:tcPr>
            <w:tcW w:w="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 context of the RECOVER study to maintain consistency with the study protocol approved by the U.S. Centers for</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Medicare &amp; Medicaid Services. References to either term in this filing are context-dependent but describe</w:t>
            </w:r>
          </w:p>
        </w:tc>
      </w:tr>
      <w:tr>
        <w:trPr>
          <w:trHeight w:val="230"/>
        </w:trPr>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overlapping populations.</w:t>
            </w:r>
          </w:p>
        </w:tc>
      </w:tr>
      <w:tr>
        <w:trPr>
          <w:trHeight w:val="24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ECJ</w:t>
            </w:r>
          </w:p>
        </w:tc>
        <w:tc>
          <w:tcPr>
            <w:tcW w:w="2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Court of Justice</w:t>
            </w:r>
          </w:p>
        </w:tc>
      </w:tr>
      <w:tr>
        <w:trPr>
          <w:trHeight w:val="243"/>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Embedded Derivatives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bifurcated embedded derivatives associated with the 2025 Notes and 2029 Notes, collectively</w:t>
            </w:r>
          </w:p>
        </w:tc>
      </w:tr>
      <w:tr>
        <w:trPr>
          <w:trHeight w:val="24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ERP</w:t>
            </w:r>
          </w:p>
        </w:tc>
        <w:tc>
          <w:tcPr>
            <w:tcW w:w="2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resource planning</w:t>
            </w:r>
          </w:p>
        </w:tc>
      </w:tr>
      <w:tr>
        <w:trPr>
          <w:trHeight w:val="243"/>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Exchange Act of 1934, as amended</w:t>
            </w:r>
          </w:p>
        </w:tc>
      </w:tr>
      <w:tr>
        <w:trPr>
          <w:trHeight w:val="243"/>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4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Food and Drug Administration</w:t>
            </w:r>
          </w:p>
        </w:tc>
      </w:tr>
      <w:tr>
        <w:trPr>
          <w:trHeight w:val="24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w:t>
            </w:r>
          </w:p>
        </w:tc>
        <w:tc>
          <w:tcPr>
            <w:tcW w:w="2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w:t>
            </w:r>
          </w:p>
        </w:tc>
      </w:tr>
      <w:tr>
        <w:trPr>
          <w:trHeight w:val="24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4"/>
              </w:rPr>
              <w:t>HLM</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Heart-lung machine</w:t>
            </w:r>
          </w:p>
        </w:tc>
      </w:tr>
      <w:tr>
        <w:trPr>
          <w:trHeight w:val="796"/>
        </w:trPr>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420" w:type="dxa"/>
            <w:vAlign w:val="bottom"/>
            <w:tcBorders>
              <w:bottom w:val="single" w:sz="8" w:color="9A9A9A"/>
            </w:tcBorders>
          </w:tcPr>
          <w:p>
            <w:pPr>
              <w:spacing w:after="0"/>
              <w:rPr>
                <w:sz w:val="20"/>
                <w:szCs w:val="20"/>
                <w:color w:val="auto"/>
              </w:rPr>
            </w:pPr>
          </w:p>
        </w:tc>
        <w:tc>
          <w:tcPr>
            <w:tcW w:w="21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5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140" w:type="dxa"/>
            <w:vAlign w:val="bottom"/>
            <w:tcBorders>
              <w:bottom w:val="single" w:sz="8" w:color="CCEEFF"/>
            </w:tcBorders>
          </w:tcPr>
          <w:p>
            <w:pPr>
              <w:spacing w:after="0"/>
              <w:rPr>
                <w:sz w:val="20"/>
                <w:szCs w:val="20"/>
                <w:color w:val="auto"/>
              </w:rPr>
            </w:pPr>
          </w:p>
        </w:tc>
        <w:tc>
          <w:tcPr>
            <w:tcW w:w="856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36"/>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IEEPA</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Emergency Economic Powers Act</w:t>
            </w:r>
          </w:p>
        </w:tc>
      </w:tr>
      <w:tr>
        <w:trPr>
          <w:trHeight w:val="189"/>
        </w:trPr>
        <w:tc>
          <w:tcPr>
            <w:tcW w:w="26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ImThera</w:t>
            </w:r>
          </w:p>
        </w:tc>
        <w:tc>
          <w:tcPr>
            <w:tcW w:w="8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ImThera Medical, Inc. was a company developing an implantable neurostimulation device system for the treatment of</w:t>
            </w:r>
          </w:p>
        </w:tc>
      </w:tr>
      <w:tr>
        <w:trPr>
          <w:trHeight w:val="239"/>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obstructive sleep apnea that LivaNova acquired in 2018</w:t>
            </w:r>
          </w:p>
        </w:tc>
      </w:tr>
      <w:tr>
        <w:trPr>
          <w:trHeight w:val="193"/>
        </w:trPr>
        <w:tc>
          <w:tcPr>
            <w:tcW w:w="268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Incremental Facility Amendment</w:t>
            </w:r>
          </w:p>
        </w:tc>
        <w:tc>
          <w:tcPr>
            <w:tcW w:w="85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An incremental facility amendment to the 2021 First Lien Credit Agreement, dated July 6, 2022</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2</w:t>
            </w:r>
          </w:p>
        </w:tc>
        <w:tc>
          <w:tcPr>
            <w:tcW w:w="8560" w:type="dxa"/>
            <w:vAlign w:val="bottom"/>
            <w:shd w:val="clear" w:color="auto" w:fill="CCEEFF"/>
          </w:tcPr>
          <w:p>
            <w:pPr>
              <w:spacing w:after="0"/>
              <w:rPr>
                <w:sz w:val="21"/>
                <w:szCs w:val="21"/>
                <w:color w:val="auto"/>
              </w:rPr>
            </w:pPr>
          </w:p>
        </w:tc>
      </w:tr>
      <w:tr>
        <w:trPr>
          <w:trHeight w:val="189"/>
        </w:trPr>
        <w:tc>
          <w:tcPr>
            <w:tcW w:w="26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Incremental Facility Amendment</w:t>
            </w:r>
          </w:p>
        </w:tc>
        <w:tc>
          <w:tcPr>
            <w:tcW w:w="8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An incremental facility amendment to the 2021 First Lien Credit Agreement, dated March 8, 2024</w:t>
            </w:r>
          </w:p>
        </w:tc>
      </w:tr>
      <w:tr>
        <w:trPr>
          <w:trHeight w:val="23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3</w:t>
            </w:r>
          </w:p>
        </w:tc>
        <w:tc>
          <w:tcPr>
            <w:tcW w:w="8560" w:type="dxa"/>
            <w:vAlign w:val="bottom"/>
          </w:tcPr>
          <w:p>
            <w:pPr>
              <w:spacing w:after="0"/>
              <w:rPr>
                <w:sz w:val="20"/>
                <w:szCs w:val="20"/>
                <w:color w:val="auto"/>
              </w:rPr>
            </w:pPr>
          </w:p>
        </w:tc>
      </w:tr>
      <w:tr>
        <w:trPr>
          <w:trHeight w:val="193"/>
        </w:trPr>
        <w:tc>
          <w:tcPr>
            <w:tcW w:w="268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Initial Term Facility</w:t>
            </w:r>
          </w:p>
        </w:tc>
        <w:tc>
          <w:tcPr>
            <w:tcW w:w="85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$300.0 million term facility under the 2021 First Lien Credit Agreement, resulting from the Incremental Facility</w:t>
            </w:r>
          </w:p>
        </w:tc>
      </w:tr>
      <w:tr>
        <w:trPr>
          <w:trHeight w:val="243"/>
        </w:trPr>
        <w:tc>
          <w:tcPr>
            <w:tcW w:w="2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2</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r>
      <w:tr>
        <w:trPr>
          <w:trHeight w:val="189"/>
        </w:trPr>
        <w:tc>
          <w:tcPr>
            <w:tcW w:w="26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ISIN</w:t>
            </w:r>
          </w:p>
        </w:tc>
        <w:tc>
          <w:tcPr>
            <w:tcW w:w="8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National Inspectorate for Nuclear Safety and Radiation Protection, a sub-body of the Italian Ministry of Economic</w:t>
            </w:r>
          </w:p>
        </w:tc>
      </w:tr>
      <w:tr>
        <w:trPr>
          <w:trHeight w:val="243"/>
        </w:trPr>
        <w:tc>
          <w:tcPr>
            <w:tcW w:w="2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technology</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PLC</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public limited company organized under the laws of England and Wales on February 20, 2015</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LivaNova USA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LivaNova USA, Inc.</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LSM</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Site Management S.r.l.</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MedTech</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technology</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OBBBA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Big Beautiful Bill Act</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OSA</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Obstructive sleep apnea</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PMA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Premarket approval</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Administrations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Italian Ministry of the Environment and other Italian government agencies</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This Quarterly Report on Form 10-Q</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Securities Act of 1933, as amended</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S.p.A.</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SNIA Litigation Guarantee</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first demand bank guarantee of €270.0 million in connection with the SNIA environmental litigation</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Sorin</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Sorin S.p.A.</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Facilities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Initial Term Facility, together with the Delayed Draw Term Facility</w:t>
            </w:r>
          </w:p>
        </w:tc>
      </w:tr>
      <w:tr>
        <w:trPr>
          <w:trHeight w:val="189"/>
        </w:trPr>
        <w:tc>
          <w:tcPr>
            <w:tcW w:w="26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TRD</w:t>
            </w:r>
          </w:p>
        </w:tc>
        <w:tc>
          <w:tcPr>
            <w:tcW w:w="8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Treatment-resistant Depression - LivaNova’s RECOVER clinical study defines the patient population using the</w:t>
            </w:r>
          </w:p>
        </w:tc>
      </w:tr>
      <w:tr>
        <w:trPr>
          <w:trHeight w:val="184"/>
        </w:trPr>
        <w:tc>
          <w:tcPr>
            <w:tcW w:w="2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inclusion criteria for TRD, typically characterized by major depressive disorder that does not adequately respond to at</w:t>
            </w:r>
          </w:p>
        </w:tc>
      </w:tr>
      <w:tr>
        <w:trPr>
          <w:trHeight w:val="180"/>
        </w:trPr>
        <w:tc>
          <w:tcPr>
            <w:tcW w:w="2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least two different antidepressant treatments given at an appropriate dose and duration. As a result, the Company uses</w:t>
            </w:r>
          </w:p>
        </w:tc>
      </w:tr>
      <w:tr>
        <w:trPr>
          <w:trHeight w:val="175"/>
        </w:trPr>
        <w:tc>
          <w:tcPr>
            <w:tcW w:w="2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TRD in the context of the RECOVER study to maintain consistency with the study protocol approved by the U.S.</w:t>
            </w:r>
          </w:p>
        </w:tc>
      </w:tr>
      <w:tr>
        <w:trPr>
          <w:trHeight w:val="184"/>
        </w:trPr>
        <w:tc>
          <w:tcPr>
            <w:tcW w:w="2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Centers  for  Medicare  &amp;  Medicaid  Services.  Meanwhile,  the  Company’s  broader  business  and  strategic</w:t>
            </w:r>
          </w:p>
        </w:tc>
      </w:tr>
      <w:tr>
        <w:trPr>
          <w:trHeight w:val="180"/>
        </w:trPr>
        <w:tc>
          <w:tcPr>
            <w:tcW w:w="2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communications reference DTD as the preferred disease state when speaking more broadly about depression</w:t>
            </w:r>
          </w:p>
        </w:tc>
      </w:tr>
      <w:tr>
        <w:trPr>
          <w:trHeight w:val="175"/>
        </w:trPr>
        <w:tc>
          <w:tcPr>
            <w:tcW w:w="2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treatment, as it is a more inclusive and clinically evolving concept that encompasses patients whose depression</w:t>
            </w:r>
          </w:p>
        </w:tc>
      </w:tr>
      <w:tr>
        <w:trPr>
          <w:trHeight w:val="184"/>
        </w:trPr>
        <w:tc>
          <w:tcPr>
            <w:tcW w:w="2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continues to cause significant burden despite usual treatment efforts. References to either term in this filing are</w:t>
            </w:r>
          </w:p>
        </w:tc>
      </w:tr>
      <w:tr>
        <w:trPr>
          <w:trHeight w:val="234"/>
        </w:trPr>
        <w:tc>
          <w:tcPr>
            <w:tcW w:w="2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context-dependent but describe overlapping populations.</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VNS Therapy</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LivaNova Vagus Nerve Stimulation Therapy</w:t>
            </w:r>
          </w:p>
        </w:tc>
      </w:tr>
      <w:tr>
        <w:trPr>
          <w:trHeight w:val="796"/>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25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5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 w:name="page5"/>
    <w:bookmarkEnd w:id="4"/>
    <w:p>
      <w:pPr>
        <w:ind w:left="2220"/>
        <w:spacing w:after="0"/>
        <w:rPr>
          <w:sz w:val="20"/>
          <w:szCs w:val="20"/>
          <w:color w:val="auto"/>
        </w:rPr>
      </w:pPr>
      <w:r>
        <w:rPr>
          <w:rFonts w:ascii="Times New Roman" w:cs="Times New Roman" w:eastAsia="Times New Roman" w:hAnsi="Times New Roman"/>
          <w:sz w:val="22"/>
          <w:szCs w:val="22"/>
          <w:b w:val="1"/>
          <w:bCs w:val="1"/>
          <w:color w:val="auto"/>
        </w:rPr>
        <w:t>INTELLECTUAL PROPERTY, TRADEMARKS, AND TRADE NAMES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may contain references to LivaNova’s proprietary intellectual property, including among others:</w:t>
      </w:r>
    </w:p>
    <w:p>
      <w:pPr>
        <w:spacing w:after="0" w:line="127" w:lineRule="exact"/>
        <w:rPr>
          <w:sz w:val="20"/>
          <w:szCs w:val="20"/>
          <w:color w:val="auto"/>
        </w:rPr>
      </w:pPr>
    </w:p>
    <w:p>
      <w:pPr>
        <w:jc w:val="both"/>
        <w:ind w:left="660" w:hanging="328"/>
        <w:spacing w:after="0" w:line="22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LivaNova’s Neuromodulation systems, the VNS Therapy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 and LivaNova’s proprietary pulse generator products: Model 102 (Pulse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102R (Pulse Duo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103 (Demipulse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104 (Demipulse Duo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106 (AspireSR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1000 (SenTiva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1000-D (SenTiva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Duo), and Model 8103 (Symmetry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32" w:lineRule="exact"/>
        <w:rPr>
          <w:rFonts w:ascii="Times New Roman" w:cs="Times New Roman" w:eastAsia="Times New Roman" w:hAnsi="Times New Roman"/>
          <w:sz w:val="18"/>
          <w:szCs w:val="18"/>
          <w:color w:val="auto"/>
        </w:rPr>
      </w:pPr>
    </w:p>
    <w:p>
      <w:pPr>
        <w:ind w:left="660" w:hanging="328"/>
        <w:spacing w:after="0" w:line="24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LivaNova’s Cardiopulmonary products and systems: Essenz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S5</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S5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B-Capta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Inspire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Heartlink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XTRA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3T Heater-Cooler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Connect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Revolution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ProtekDuo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TandemHeart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LivaNova’s obstructive sleep apnea system: ImThera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aura6000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PolySync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symbol, but such references are not intended to indicate in any way that the Company will not assert, to the fullest extent under applicable law, LivaNova’s rights to these trademarks and trade names.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ABOUT FORWARD-LOOKING STATEMENTS</w:t>
      </w:r>
    </w:p>
    <w:p>
      <w:pPr>
        <w:spacing w:after="0" w:line="1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shareholders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risks associated with doing business globally, including volatility in the global market and worldwide economic conditions; adverse changes in export and import costs and other trade restrictions as well as uncertainty over global tariffs; risks relating to supply chain pressures; failure to protect, maintain, or upgrade LivaNova’s IT systems or products, or safeguard against cybersecurity incidents, service disruptions, or data corruption; costs of complying with privacy and security of personal information requirements and laws; changes in technology, including the development of superior or alternative technology or devices by competitors and/or competition from providers of alternative medical therapies; risks related to AI integration and regulation; failure of investments, alliances, supply agreements, acquisitions, or divestitures to achieve expected returns;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talent, maintain an effective succession plan, and negotiate successfully with local works councils; failure to obtain or maintain approvals, clearance, or reimbursement in relation to the Company’s products; unfavorable results from clinical studies or failure to meet milestones; global healthcare policy changes that may lead to restricted access and pricing as well as payback requirements and limited reimbursement; failure to comply with rules relating to healthcare goods and services as well as anti-bribery laws; the unfavorable impact of pending or existing climate change;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changes in tax laws and regulations, including exposure to additional income tax liabilities; risks relating to the Company’s indebtedness; risks associated with potential government shutdowns; the potential for impairments of intangible assets, goodwill, and other long-lived assets; risks associated with public health crises; risks associated with shareholder activism;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factors that could cause LivaNova’s actual results to differ from projected results are described in: (1) “Part II, Item 1A. Risk Factors” and elsewhere in this Report and the Company’s other Quarterly Reports on Form 10-Q, (2) the Company’s 2025 Form 10-K, (3) the Company’s reports and registration statements filed with and furnished from time to time to the SEC, and (4) other announcements LivaNova makes from time to time.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The following discussion and analysis should be read in conjunction with the Company’s unaudited condensed consolidated financial statements and related notes included elsewhere in this Report. Operating results for the three and nine months ended September 30, 2026 are not necessarily indicative of future results, including the full fiscal year. Also refer to the Company’s “Annual Consolidated Financial Statements,” “Notes” thereto, “Management’s Discussion and Analysis of Financial Condition and Results of Operations,” and “Risk Factors” contained in LivaNova’s 2025 Form 10-K and in the Company’s Quarterly Reports on Form 10-Q.</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Information and Currency of Financial Statements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financial information included in this Report has been prepared in accordance with U.S. GAAP. The reporting currency of the Company’s condensed consolidated financial statements is USD.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55"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22"/>
          <w:szCs w:val="22"/>
          <w:b w:val="1"/>
          <w:bCs w:val="1"/>
          <w:color w:val="auto"/>
        </w:rPr>
        <w:t>LIVANOVA PLC AND SUBSIDIARIES CONDENSED CONSOLIDATED STATEMENTS OF INCOME (LOSS)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7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50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1,145,993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1,027,132</w:t>
            </w: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128,097</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363,523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327,035</w:t>
            </w: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265,051</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782,470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700,097</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456,624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405,448</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160,042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133,641</w:t>
            </w:r>
          </w:p>
        </w:tc>
      </w:tr>
      <w:tr>
        <w:trPr>
          <w:trHeight w:val="24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46,424</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r>
      <w:tr>
        <w:trPr>
          <w:trHeight w:val="237"/>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156,812</w:t>
            </w: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(363,815)</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(41,080)</w:t>
            </w: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26,301</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7"/>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(248,415)</w:t>
            </w: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24,921</w:t>
            </w: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5"/>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165,157</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share:</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4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70"/>
        </w:trPr>
        <w:tc>
          <w:tcPr>
            <w:tcW w:w="5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54,529</w:t>
            </w:r>
          </w:p>
        </w:tc>
      </w:tr>
      <w:tr>
        <w:trPr>
          <w:trHeight w:val="24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54,529</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LIVANOVA PLC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(LOSS)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56"/>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7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5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50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26,784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165,157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(273,377)</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8"/>
              </w:rPr>
              <w:t>(2,605)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(22,583)</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85,678</w:t>
            </w:r>
          </w:p>
        </w:tc>
      </w:tr>
      <w:tr>
        <w:trPr>
          <w:trHeight w:val="23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8"/>
              </w:rPr>
              <w:t>(2,605)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(22,583)</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85,678</w:t>
            </w:r>
          </w:p>
        </w:tc>
      </w:tr>
      <w:tr>
        <w:trPr>
          <w:trHeight w:val="26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24,179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142,574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LIVANOVA PLC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20"/>
                <w:szCs w:val="20"/>
                <w:color w:val="auto"/>
              </w:rPr>
            </w:pPr>
          </w:p>
        </w:tc>
        <w:tc>
          <w:tcPr>
            <w:tcW w:w="1780" w:type="dxa"/>
            <w:vAlign w:val="bottom"/>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635,552</w:t>
            </w:r>
          </w:p>
        </w:tc>
        <w:tc>
          <w:tcPr>
            <w:tcW w:w="0" w:type="dxa"/>
            <w:vAlign w:val="bottom"/>
          </w:tcPr>
          <w:p>
            <w:pPr>
              <w:spacing w:after="0"/>
              <w:rPr>
                <w:sz w:val="1"/>
                <w:szCs w:val="1"/>
                <w:color w:val="auto"/>
              </w:rPr>
            </w:pPr>
          </w:p>
        </w:tc>
      </w:tr>
      <w:tr>
        <w:trPr>
          <w:trHeight w:val="175"/>
        </w:trPr>
        <w:tc>
          <w:tcPr>
            <w:tcW w:w="72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Accounts receivable, net of allowance of $10,736 as of September 30, 2026 and $12,527 as of</w:t>
            </w:r>
          </w:p>
        </w:tc>
        <w:tc>
          <w:tcPr>
            <w:tcW w:w="16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236,374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215,985</w:t>
            </w:r>
          </w:p>
        </w:tc>
        <w:tc>
          <w:tcPr>
            <w:tcW w:w="0" w:type="dxa"/>
            <w:vAlign w:val="bottom"/>
          </w:tcPr>
          <w:p>
            <w:pPr>
              <w:spacing w:after="0"/>
              <w:rPr>
                <w:sz w:val="1"/>
                <w:szCs w:val="1"/>
                <w:color w:val="auto"/>
              </w:rPr>
            </w:pPr>
          </w:p>
        </w:tc>
      </w:tr>
      <w:tr>
        <w:trPr>
          <w:trHeight w:val="213"/>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2025</w:t>
            </w:r>
          </w:p>
        </w:tc>
        <w:tc>
          <w:tcPr>
            <w:tcW w:w="16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164,701</w:t>
            </w:r>
          </w:p>
        </w:tc>
        <w:tc>
          <w:tcPr>
            <w:tcW w:w="0" w:type="dxa"/>
            <w:vAlign w:val="bottom"/>
          </w:tcPr>
          <w:p>
            <w:pPr>
              <w:spacing w:after="0"/>
              <w:rPr>
                <w:sz w:val="1"/>
                <w:szCs w:val="1"/>
                <w:color w:val="auto"/>
              </w:rPr>
            </w:pPr>
          </w:p>
        </w:tc>
      </w:tr>
      <w:tr>
        <w:trPr>
          <w:trHeight w:val="227"/>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and refundable taxes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48,606</w:t>
            </w: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36,769</w:t>
            </w:r>
          </w:p>
        </w:tc>
        <w:tc>
          <w:tcPr>
            <w:tcW w:w="0" w:type="dxa"/>
            <w:vAlign w:val="bottom"/>
          </w:tcPr>
          <w:p>
            <w:pPr>
              <w:spacing w:after="0"/>
              <w:rPr>
                <w:sz w:val="1"/>
                <w:szCs w:val="1"/>
                <w:color w:val="auto"/>
              </w:rPr>
            </w:pP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1,101,613</w:t>
            </w: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242,603</w:t>
            </w: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792,840</w:t>
            </w: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229,964</w:t>
            </w: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55,519</w:t>
            </w:r>
          </w:p>
        </w:tc>
        <w:tc>
          <w:tcPr>
            <w:tcW w:w="0" w:type="dxa"/>
            <w:vAlign w:val="bottom"/>
          </w:tcPr>
          <w:p>
            <w:pPr>
              <w:spacing w:after="0"/>
              <w:rPr>
                <w:sz w:val="1"/>
                <w:szCs w:val="1"/>
                <w:color w:val="auto"/>
              </w:rPr>
            </w:pPr>
          </w:p>
        </w:tc>
      </w:tr>
      <w:tr>
        <w:trPr>
          <w:trHeight w:val="23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20,291</w:t>
            </w: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110,983</w:t>
            </w: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derivative assets</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36,551</w:t>
            </w:r>
          </w:p>
        </w:tc>
        <w:tc>
          <w:tcPr>
            <w:tcW w:w="0" w:type="dxa"/>
            <w:vAlign w:val="bottom"/>
          </w:tcPr>
          <w:p>
            <w:pPr>
              <w:spacing w:after="0"/>
              <w:rPr>
                <w:sz w:val="1"/>
                <w:szCs w:val="1"/>
                <w:color w:val="auto"/>
              </w:rPr>
            </w:pPr>
          </w:p>
        </w:tc>
      </w:tr>
      <w:tr>
        <w:trPr>
          <w:trHeight w:val="227"/>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2,606,053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debt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31,472</w:t>
            </w: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97,157</w:t>
            </w:r>
          </w:p>
        </w:tc>
        <w:tc>
          <w:tcPr>
            <w:tcW w:w="0" w:type="dxa"/>
            <w:vAlign w:val="bottom"/>
          </w:tcPr>
          <w:p>
            <w:pPr>
              <w:spacing w:after="0"/>
              <w:rPr>
                <w:sz w:val="1"/>
                <w:szCs w:val="1"/>
                <w:color w:val="auto"/>
              </w:rPr>
            </w:pPr>
          </w:p>
        </w:tc>
      </w:tr>
      <w:tr>
        <w:trPr>
          <w:trHeight w:val="227"/>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107,125</w:t>
            </w: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SNIA environmental liability</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396,242</w:t>
            </w:r>
          </w:p>
        </w:tc>
        <w:tc>
          <w:tcPr>
            <w:tcW w:w="0" w:type="dxa"/>
            <w:vAlign w:val="bottom"/>
          </w:tcPr>
          <w:p>
            <w:pPr>
              <w:spacing w:after="0"/>
              <w:rPr>
                <w:sz w:val="1"/>
                <w:szCs w:val="1"/>
                <w:color w:val="auto"/>
              </w:rPr>
            </w:pPr>
          </w:p>
        </w:tc>
      </w:tr>
      <w:tr>
        <w:trPr>
          <w:trHeight w:val="226"/>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contingent consideration</w:t>
            </w:r>
          </w:p>
        </w:tc>
        <w:tc>
          <w:tcPr>
            <w:tcW w:w="16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50,030</w:t>
            </w: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payable</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33,133</w:t>
            </w:r>
          </w:p>
        </w:tc>
        <w:tc>
          <w:tcPr>
            <w:tcW w:w="0" w:type="dxa"/>
            <w:vAlign w:val="bottom"/>
          </w:tcPr>
          <w:p>
            <w:pPr>
              <w:spacing w:after="0"/>
              <w:rPr>
                <w:sz w:val="1"/>
                <w:szCs w:val="1"/>
                <w:color w:val="auto"/>
              </w:rPr>
            </w:pPr>
          </w:p>
        </w:tc>
      </w:tr>
      <w:tr>
        <w:trPr>
          <w:trHeight w:val="226"/>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related benefits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92,913</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808,072</w:t>
            </w: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obligations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345,185</w:t>
            </w: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contingent consideration</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42,045</w:t>
            </w: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9,590</w:t>
            </w: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48,327</w:t>
            </w: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employee compensation and related benefits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13,574</w:t>
            </w: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derivative liabilities</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83,904</w:t>
            </w:r>
          </w:p>
        </w:tc>
        <w:tc>
          <w:tcPr>
            <w:tcW w:w="0" w:type="dxa"/>
            <w:vAlign w:val="bottom"/>
          </w:tcPr>
          <w:p>
            <w:pPr>
              <w:spacing w:after="0"/>
              <w:rPr>
                <w:sz w:val="1"/>
                <w:szCs w:val="1"/>
                <w:color w:val="auto"/>
              </w:rPr>
            </w:pPr>
          </w:p>
        </w:tc>
      </w:tr>
      <w:tr>
        <w:trPr>
          <w:trHeight w:val="226"/>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55,369</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1,341,053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1,406,066</w:t>
            </w: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2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Ordinary Shares, £1.00 par value: Unlimited shares authorized; 55,604,976 shares issued and 55,085,074</w:t>
            </w: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outstanding as of September 30, 2026; 55,535,181 shares issued and 54,649,085 shares outstanding</w:t>
            </w:r>
          </w:p>
        </w:tc>
        <w:tc>
          <w:tcPr>
            <w:tcW w:w="16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84,599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84,564</w:t>
            </w:r>
          </w:p>
        </w:tc>
        <w:tc>
          <w:tcPr>
            <w:tcW w:w="0" w:type="dxa"/>
            <w:vAlign w:val="bottom"/>
          </w:tcPr>
          <w:p>
            <w:pPr>
              <w:spacing w:after="0"/>
              <w:rPr>
                <w:sz w:val="1"/>
                <w:szCs w:val="1"/>
                <w:color w:val="auto"/>
              </w:rPr>
            </w:pPr>
          </w:p>
        </w:tc>
      </w:tr>
      <w:tr>
        <w:trPr>
          <w:trHeight w:val="213"/>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 of December 31, 2025</w:t>
            </w:r>
          </w:p>
        </w:tc>
        <w:tc>
          <w:tcPr>
            <w:tcW w:w="16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2,283,983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2,254,980</w:t>
            </w:r>
          </w:p>
        </w:tc>
        <w:tc>
          <w:tcPr>
            <w:tcW w:w="0" w:type="dxa"/>
            <w:vAlign w:val="bottom"/>
          </w:tcPr>
          <w:p>
            <w:pPr>
              <w:spacing w:after="0"/>
              <w:rPr>
                <w:sz w:val="1"/>
                <w:szCs w:val="1"/>
                <w:color w:val="auto"/>
              </w:rPr>
            </w:pPr>
          </w:p>
        </w:tc>
      </w:tr>
      <w:tr>
        <w:trPr>
          <w:trHeight w:val="227"/>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w:t>
            </w:r>
          </w:p>
        </w:tc>
        <w:tc>
          <w:tcPr>
            <w:tcW w:w="0" w:type="dxa"/>
            <w:vAlign w:val="bottom"/>
          </w:tcPr>
          <w:p>
            <w:pPr>
              <w:spacing w:after="0"/>
              <w:rPr>
                <w:sz w:val="1"/>
                <w:szCs w:val="1"/>
                <w:color w:val="auto"/>
              </w:rPr>
            </w:pPr>
          </w:p>
        </w:tc>
      </w:tr>
      <w:tr>
        <w:trPr>
          <w:trHeight w:val="232"/>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(980,564)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(1,145,721)</w:t>
            </w:r>
          </w:p>
        </w:tc>
        <w:tc>
          <w:tcPr>
            <w:tcW w:w="0" w:type="dxa"/>
            <w:vAlign w:val="bottom"/>
          </w:tcPr>
          <w:p>
            <w:pPr>
              <w:spacing w:after="0"/>
              <w:rPr>
                <w:sz w:val="1"/>
                <w:szCs w:val="1"/>
                <w:color w:val="auto"/>
              </w:rPr>
            </w:pPr>
          </w:p>
        </w:tc>
      </w:tr>
      <w:tr>
        <w:trPr>
          <w:trHeight w:val="176"/>
        </w:trPr>
        <w:tc>
          <w:tcPr>
            <w:tcW w:w="72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Treasury shares at cost, 519,902 ordinary shares as of September 30, 2026; 886,096 ordinary shares as of</w:t>
            </w:r>
          </w:p>
        </w:tc>
        <w:tc>
          <w:tcPr>
            <w:tcW w:w="16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December 31, 2025</w:t>
            </w: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1,372,071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1,199,987</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2,713,124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2,606,053</w:t>
            </w:r>
          </w:p>
        </w:tc>
        <w:tc>
          <w:tcPr>
            <w:tcW w:w="0" w:type="dxa"/>
            <w:vAlign w:val="bottom"/>
          </w:tcPr>
          <w:p>
            <w:pPr>
              <w:spacing w:after="0"/>
              <w:rPr>
                <w:sz w:val="1"/>
                <w:szCs w:val="1"/>
                <w:color w:val="auto"/>
              </w:rPr>
            </w:pPr>
          </w:p>
        </w:tc>
      </w:tr>
      <w:tr>
        <w:trPr>
          <w:trHeight w:val="24"/>
        </w:trPr>
        <w:tc>
          <w:tcPr>
            <w:tcW w:w="7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64"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9" w:name="page10"/>
    <w:bookmarkEnd w:id="9"/>
    <w:p>
      <w:pPr>
        <w:jc w:val="center"/>
        <w:spacing w:after="0" w:line="261" w:lineRule="auto"/>
        <w:rPr>
          <w:sz w:val="20"/>
          <w:szCs w:val="20"/>
          <w:color w:val="auto"/>
        </w:rPr>
      </w:pPr>
      <w:r>
        <w:rPr>
          <w:rFonts w:ascii="Times New Roman" w:cs="Times New Roman" w:eastAsia="Times New Roman" w:hAnsi="Times New Roman"/>
          <w:sz w:val="22"/>
          <w:szCs w:val="22"/>
          <w:b w:val="1"/>
          <w:bCs w:val="1"/>
          <w:color w:val="auto"/>
        </w:rPr>
        <w:t>LIVANOVA PLC AND SUBSIDIARIES CONDENSED CONSOLIDATED STATEMENTS OF CASH FLOWS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3"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ind w:left="91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13335</wp:posOffset>
            </wp:positionV>
            <wp:extent cx="19716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(273,377)</w:t>
            </w:r>
          </w:p>
        </w:tc>
      </w:tr>
      <w:tr>
        <w:trPr>
          <w:trHeight w:val="22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w:t>
            </w:r>
          </w:p>
        </w:tc>
      </w:tr>
      <w:tr>
        <w:trPr>
          <w:trHeight w:val="226"/>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26,904</w:t>
            </w:r>
          </w:p>
        </w:tc>
      </w:tr>
      <w:tr>
        <w:trPr>
          <w:trHeight w:val="23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Remeasurement of derivative instruments</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(16,990)</w:t>
            </w: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21,008</w:t>
            </w:r>
          </w:p>
        </w:tc>
      </w:tr>
      <w:tr>
        <w:trPr>
          <w:trHeight w:val="232"/>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13,186</w:t>
            </w: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17,259</w:t>
            </w:r>
          </w:p>
        </w:tc>
      </w:tr>
      <w:tr>
        <w:trPr>
          <w:trHeight w:val="23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Remeasurement of contingent consideration to fair value</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w:t>
            </w: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sale of investment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10,732</w:t>
            </w: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investment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32"/>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w:t>
            </w: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investment revaluation - Ceribell, Inc.</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w:t>
            </w:r>
          </w:p>
        </w:tc>
      </w:tr>
      <w:tr>
        <w:trPr>
          <w:trHeight w:val="23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r>
      <w:tr>
        <w:trPr>
          <w:trHeight w:val="22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w:t>
            </w: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w:t>
            </w:r>
          </w:p>
        </w:tc>
      </w:tr>
      <w:tr>
        <w:trPr>
          <w:trHeight w:val="232"/>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50,582</w:t>
            </w:r>
          </w:p>
        </w:tc>
      </w:tr>
      <w:tr>
        <w:trPr>
          <w:trHeight w:val="227"/>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current and non-current liabilities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(36,051)</w:t>
            </w:r>
          </w:p>
        </w:tc>
      </w:tr>
      <w:tr>
        <w:trPr>
          <w:trHeight w:val="23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payable</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(13,575)</w:t>
            </w:r>
          </w:p>
        </w:tc>
      </w:tr>
      <w:tr>
        <w:trPr>
          <w:trHeight w:val="226"/>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Litigation provision liability</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w:t>
            </w:r>
          </w:p>
        </w:tc>
      </w:tr>
      <w:tr>
        <w:trPr>
          <w:trHeight w:val="233"/>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SNIA environmental liability</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363,815</w:t>
            </w:r>
          </w:p>
        </w:tc>
      </w:tr>
      <w:tr>
        <w:trPr>
          <w:trHeight w:val="22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155,467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171,943</w:t>
            </w:r>
          </w:p>
        </w:tc>
      </w:tr>
      <w:tr>
        <w:trPr>
          <w:trHeight w:val="23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(48,817)</w:t>
            </w:r>
          </w:p>
        </w:tc>
      </w:tr>
      <w:tr>
        <w:trPr>
          <w:trHeight w:val="23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investments</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6,522</w:t>
            </w:r>
          </w:p>
        </w:tc>
      </w:tr>
      <w:tr>
        <w:trPr>
          <w:trHeight w:val="22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2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(42,653)</w:t>
            </w:r>
          </w:p>
        </w:tc>
      </w:tr>
      <w:tr>
        <w:trPr>
          <w:trHeight w:val="23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long-term debt obligations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(216,813)</w:t>
            </w:r>
          </w:p>
        </w:tc>
      </w:tr>
      <w:tr>
        <w:trPr>
          <w:trHeight w:val="23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repurchased from employees for minimum tax withholding</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r>
      <w:tr>
        <w:trPr>
          <w:trHeight w:val="23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r>
      <w:tr>
        <w:trPr>
          <w:trHeight w:val="22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(222,776)</w:t>
            </w:r>
          </w:p>
        </w:tc>
      </w:tr>
      <w:tr>
        <w:trPr>
          <w:trHeight w:val="23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16,009</w:t>
            </w:r>
          </w:p>
        </w:tc>
      </w:tr>
      <w:tr>
        <w:trPr>
          <w:trHeight w:val="22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(77,477)</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635,552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723,556</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563,467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646,079</w:t>
            </w:r>
          </w:p>
        </w:tc>
      </w:tr>
      <w:tr>
        <w:trPr>
          <w:trHeight w:val="24"/>
        </w:trPr>
        <w:tc>
          <w:tcPr>
            <w:tcW w:w="8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LIVANOVA PLC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Unaudited Condensed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 of Presentation</w:t>
      </w:r>
    </w:p>
    <w:p>
      <w:pPr>
        <w:spacing w:after="0" w:line="1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LivaNova and the notes thereto as of and for the three and nine months ended September 30, 2026 and 2025 have been prepared in accordance with U.S. GAAP for interim financial information and the instructions to Form 10-Q and Article 10 of Regulation S-X. The accompanying condensed consolidated balance sheet of LivaNova as of December 31, 2025 has been derived from audited consolidated financial statements contained in LivaNova’s 2025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nine months ended September 30, 2026, and are not necessarily indicative of the results that may be expected for the year ending December 31, 2026. The financial information presented herein should be read in conjunction with the audited consolidated financial statements and notes thereto accompanying LivaNova’s 2025 Form 10-K. The Company has reclassified certain prior period amounts on the condensed consolidated statements of income (loss), condensed consolidated balance sheet, and the condensed consolidated statements of cash flows for comparative purposes.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Accounting Policies</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LivaNova’s significant accounting policies are included within “Note 2. Basis of Presentation, Use of Accounting Estimates, and Significant Accounting Policies” and “Note 3. Revenue Recognition” of LivaNova’s 2025 Form 10-K.</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Intangible Assets</w:t>
      </w:r>
    </w:p>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Upon receiving PMA from the FDA for the aura6000 System in March 2026, LivaNova reclassified its indefinite-lived IPR&amp;D intangible asset of $112.0 million from the acquisition of ImThera to a finite-lived developed technology intangible asset and commenced amortization over an estimated useful life of 15 years.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Derivatives and Risk Management</w:t>
      </w:r>
    </w:p>
    <w:p>
      <w:pPr>
        <w:spacing w:after="0" w:line="11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Due to the global nature of LivaNova’s operations, the Company is exposed to FX fluctuations. LivaNova enters into FX derivative contracts to reduce the impact of FX fluctuations on earnings and cash flow.</w:t>
      </w:r>
    </w:p>
    <w:p>
      <w:pPr>
        <w:spacing w:after="0" w:line="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LivaNova is also exposed to equity price risk in connection with its 2029 Notes, including exchange/conversion and settlement provisions based on the price of its ordinary shares at exchange/conversion or maturity of the 2029 Notes. The 2029 Capped Calls associated with the 2029 Notes also include settlement provisions that are based on the price of LivaNova’s ordinary shares, subject to a capped price per share.</w:t>
      </w:r>
    </w:p>
    <w:p>
      <w:pPr>
        <w:spacing w:after="0" w:line="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These derivatives are intended to serve as economic hedges and follow the cash flows of the economic hedged item. LivaNova does not enter into derivative contracts for speculative purposes.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had no designated hedging instruments as of September 30, 2026 and December 31,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Freestanding FX Derivatives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LivaNova uses freestanding derivative forward contracts to offset the variability of the value associated with intercompany loans denominated in a foreign currency. The gross notional amount of freestanding FX derivative contracts outstanding as of September 30, 2026 and December 31, 2025 was $86.3 million and $113.2 million, respectively. From freestanding derivatives, LivaNova recorded net losses of $2.6 million and $0.2 million for the three months ended September 30, 2026 and 2025, respectively, and net losses of $4.6 million and net gains of $25.2 million for the nine months ended September 30, 2026 and 2025, respectively. These amounts, together with foreign currency remeasurement gains and losses on the underlying intercompany loans, are included in foreign exchange and other income/(expense) in LivaNova’s condensed consolidated statements of income (loss).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Capped Call Derivatives</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Capped Call Transactions are carried on the condensed consolidated balance sheets as a derivative asset at their estimated fair value and are adjusted at the end of each reporting period, with unrealized gain or loss reflected in foreign exchange and other income/(expense) in the condensed consolidated statements of income (loss). The Capped Call Transactions are measured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spacing w:after="0" w:line="274" w:lineRule="auto"/>
        <w:rPr>
          <w:sz w:val="20"/>
          <w:szCs w:val="20"/>
          <w:color w:val="auto"/>
        </w:rPr>
      </w:pPr>
      <w:r>
        <w:rPr>
          <w:rFonts w:ascii="Times New Roman" w:cs="Times New Roman" w:eastAsia="Times New Roman" w:hAnsi="Times New Roman"/>
          <w:sz w:val="18"/>
          <w:szCs w:val="18"/>
          <w:color w:val="auto"/>
        </w:rPr>
        <w:t>at fair value using the Black-Scholes model utilizing observable and unobservable market data, including share price, remaining contractual term, expected volatility, risk-free interest rate, and expected dividend yield, as applicable. For additional information, refer to “Note 4. Fair Value Measurements” and “Note 12. Supplemental Financial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2029 Capped Calls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LivaNova issued the 2029 Notes. In connection with the pricing of the 2029 Notes, the Company entered into the 2029 Capped Calls. Under the 2029 Capped Calls, the Company purchased a capped call option with an initial strike price of $69.40 and an initial cap price of $94.28 per share. The strike price, which is subject to certain adjustments, corresponds to the initial conversion price of the 2029 Notes. The 2029 Capped Calls are intended to offset any cash payments and/or cash equivalent value of ordinary shares upon conversion of the 2029 Notes if the market value per ordinary share is greater than the strike price, with such offsets being subject to the initial cap price of $94.28 per share. However, the proceeds under the 2029 Capped Calls are limited to the initial cap price in the event the Company’s share price exceeds the cap price at the time of conversion. The 2029 Capped Calls expire on March 15, 2029 and must be settled in cash. The 2029 Capped Calls are subject to anti-dilution adjustments substantially similar to those applicable to the 2029 Notes and cover the number of LivaNova’s ordinary shares underlying the 2029 Notes. If the 2029 Capped Calls are terminated early, settlement occurs at their termination value, which is equal to their fair value at the time of the early termination.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Capped Calls</w:t>
      </w:r>
    </w:p>
    <w:p>
      <w:pPr>
        <w:spacing w:after="0" w:line="1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June 2020, LivaNova issued the 2025 Notes. In connection with the pricing of the 2025 Notes, the Company entered into the 2025 Capped Calls. Under the 2025 Capped Calls, the Company purchased a capped call option with an initial strike price of $60.98 and an initial cap price of $100.00 per share. The strike price, subject to certain adjustments, corresponded to the initial exchange price of the 2025 Notes. The 2025 Capped Calls were intended to offset any cash payments upon exchange of the 2025 Notes in excess of the principal amount. In connection with the issuance of the 2029 Notes, the Company repurchased an aggregate principal amount of $230.0 million of the 2025 Notes and unwound a corresponding portion of the 2025 Capped Calls at the fair value of such portion of the 2025 Capped Calls. The Company received $22.5 million in cash consideration, the fair value of the terminated portion, upon settlement. The remaining 2025 Capped Calls expired with a fair value of zero on December 15,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Embedded Derivatives</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2025 Notes included, and the 2029 Notes include, terms resulting in a bifurcated embedded derivative. The Embedded Derivatives are measured at fair value using a binomial lattice model and estimated discounted cash flows that utilize observable and unobservable market data and are adjusted at the end of each reporting period, with the unrealized gain or loss reflected in foreign exchange and other income/(expense) in the condensed consolidated statements of income (loss). For additional information, refer to “Note 12. Supplemental Financial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 Presentation</w:t>
      </w:r>
    </w:p>
    <w:p>
      <w:pPr>
        <w:spacing w:after="0" w:line="1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LivaNova offsets fair value amounts associated with its derivative instruments that are executed with the same counterparty under master netting arrangements on the Company’s condensed consolidated balance sheets. Master netting arrangements include a right to set off or net together purchases and sales of similar products in the settlement process.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and the location of derivative contracts reported on the condensed consolidated balance sheets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6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Balance Sheet Location</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0" w:type="dxa"/>
            <w:vAlign w:val="bottom"/>
          </w:tcPr>
          <w:p>
            <w:pPr>
              <w:spacing w:after="0"/>
              <w:rPr>
                <w:sz w:val="1"/>
                <w:szCs w:val="1"/>
                <w:color w:val="auto"/>
              </w:rPr>
            </w:pPr>
          </w:p>
        </w:tc>
      </w:tr>
      <w:tr>
        <w:trPr>
          <w:trHeight w:val="23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Capped Calls</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52,593</w:t>
            </w:r>
          </w:p>
        </w:tc>
        <w:tc>
          <w:tcPr>
            <w:tcW w:w="12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Embedded Derivative</w:t>
            </w:r>
          </w:p>
        </w:tc>
        <w:tc>
          <w:tcPr>
            <w:tcW w:w="2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derivative liabilities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124,752</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Prepaid expenses and other</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1"/>
                <w:szCs w:val="21"/>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69"/>
        </w:trPr>
        <w:tc>
          <w:tcPr>
            <w:tcW w:w="34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060" w:type="dxa"/>
            <w:vAlign w:val="bottom"/>
          </w:tcPr>
          <w:p>
            <w:pPr>
              <w:spacing w:after="0"/>
              <w:rPr>
                <w:sz w:val="14"/>
                <w:szCs w:val="14"/>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52,644</w:t>
            </w:r>
          </w:p>
        </w:tc>
        <w:tc>
          <w:tcPr>
            <w:tcW w:w="2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124,900</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0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86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60" w:type="dxa"/>
            <w:vAlign w:val="bottom"/>
            <w:tcBorders>
              <w:bottom w:val="single" w:sz="8" w:color="9A9A9A"/>
            </w:tcBorders>
          </w:tcPr>
          <w:p>
            <w:pPr>
              <w:spacing w:after="0"/>
              <w:rPr>
                <w:sz w:val="20"/>
                <w:szCs w:val="20"/>
                <w:color w:val="auto"/>
              </w:rPr>
            </w:pPr>
          </w:p>
        </w:tc>
        <w:tc>
          <w:tcPr>
            <w:tcW w:w="206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4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60" w:type="dxa"/>
            <w:vAlign w:val="bottom"/>
            <w:tcBorders>
              <w:bottom w:val="single" w:sz="8" w:color="auto"/>
            </w:tcBorders>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6"/>
        </w:trPr>
        <w:tc>
          <w:tcPr>
            <w:tcW w:w="5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Capped Calls</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10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Embedded Derivative</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derivative liabilities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83,904</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69"/>
        </w:trPr>
        <w:tc>
          <w:tcPr>
            <w:tcW w:w="34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460" w:type="dxa"/>
            <w:vAlign w:val="bottom"/>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36,716</w:t>
            </w:r>
          </w:p>
        </w:tc>
        <w:tc>
          <w:tcPr>
            <w:tcW w:w="2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84,003</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4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84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Fair Value Measurements</w:t>
      </w:r>
    </w:p>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LivaNova reviews its fair value hierarchy classification on a quarterly basis. Changes in the ability to observe valuation inputs may result in a reclassification of levels for certain securities in the fair value hierarchy. There were no transfers between Level 1, Level 2, or Level 3 for the nine months ended September 30, 2026 and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 and Liabilities Measured at Fair Value on a Recurring Basis</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tables present the level in the fair value hierarchy at which the Company’s assets and liabilities are measured on a recurring basis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 Measurements Using Inputs</w:t>
            </w:r>
          </w:p>
        </w:tc>
      </w:tr>
      <w:tr>
        <w:trPr>
          <w:trHeight w:val="238"/>
        </w:trPr>
        <w:tc>
          <w:tcPr>
            <w:tcW w:w="6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Considered as: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41"/>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7"/>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3"/>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 - freestanding instruments (FX)</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assets - 2029 Capped Calls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52,593</w:t>
            </w:r>
          </w:p>
        </w:tc>
      </w:tr>
      <w:tr>
        <w:trPr>
          <w:trHeight w:val="243"/>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convertible notes receivable</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r>
      <w:tr>
        <w:trPr>
          <w:trHeight w:val="236"/>
        </w:trPr>
        <w:tc>
          <w:tcPr>
            <w:tcW w:w="6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56,760</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liabilities - freestanding instruments (FX)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 - 2029 Embedded Derivative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124,752</w:t>
            </w:r>
          </w:p>
        </w:tc>
      </w:tr>
      <w:tr>
        <w:trPr>
          <w:trHeight w:val="243"/>
        </w:trPr>
        <w:tc>
          <w:tcPr>
            <w:tcW w:w="6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45,394</w:t>
            </w:r>
          </w:p>
        </w:tc>
      </w:tr>
      <w:tr>
        <w:trPr>
          <w:trHeight w:val="256"/>
        </w:trPr>
        <w:tc>
          <w:tcPr>
            <w:tcW w:w="6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170,146</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 Inputs</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Considered as: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7"/>
        </w:trPr>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 - freestanding instruments (FX)</w:t>
            </w:r>
          </w:p>
        </w:tc>
        <w:tc>
          <w:tcPr>
            <w:tcW w:w="1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assets - 2029 Capped Calls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convertible notes receivable</w:t>
            </w: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 - freestanding instruments (FX)</w:t>
            </w: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 - 2029 Embedded Derivative</w:t>
            </w: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83,904</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arrangements</w:t>
            </w:r>
          </w:p>
        </w:tc>
        <w:tc>
          <w:tcPr>
            <w:tcW w:w="1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92,075</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spacing w:after="0"/>
              <w:rPr>
                <w:sz w:val="22"/>
                <w:szCs w:val="22"/>
                <w:color w:val="auto"/>
              </w:rPr>
            </w:pPr>
          </w:p>
        </w:tc>
        <w:tc>
          <w:tcPr>
            <w:tcW w:w="1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7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Reconciliation of Level 3 Assets and Liabilities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reconciliations of recurring fair value measurements that use significant unobservable inputs (Level 3) (in thousands):</w:t>
      </w:r>
    </w:p>
    <w:p>
      <w:pPr>
        <w:spacing w:after="0" w:line="167" w:lineRule="exact"/>
        <w:rPr>
          <w:sz w:val="20"/>
          <w:szCs w:val="20"/>
          <w:color w:val="auto"/>
        </w:rPr>
      </w:pPr>
    </w:p>
    <w:tbl>
      <w:tblPr>
        <w:tblLayout w:type="fixed"/>
        <w:tblInd w:w="446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 in</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Derivative Liabilities -</w:t>
            </w:r>
          </w:p>
        </w:tc>
        <w:tc>
          <w:tcPr>
            <w:tcW w:w="15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ImThera Contingent</w:t>
            </w:r>
          </w:p>
        </w:tc>
        <w:tc>
          <w:tcPr>
            <w:tcW w:w="0" w:type="dxa"/>
            <w:vAlign w:val="bottom"/>
          </w:tcPr>
          <w:p>
            <w:pPr>
              <w:spacing w:after="0"/>
              <w:rPr>
                <w:sz w:val="1"/>
                <w:szCs w:val="1"/>
                <w:color w:val="auto"/>
              </w:rPr>
            </w:pPr>
          </w:p>
        </w:tc>
      </w:tr>
      <w:tr>
        <w:trPr>
          <w:trHeight w:val="162"/>
        </w:trPr>
        <w:tc>
          <w:tcPr>
            <w:tcW w:w="164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Derivative Assets -</w:t>
            </w:r>
          </w:p>
        </w:tc>
        <w:tc>
          <w:tcPr>
            <w:tcW w:w="162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56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Consideration</w:t>
            </w:r>
          </w:p>
        </w:tc>
        <w:tc>
          <w:tcPr>
            <w:tcW w:w="0" w:type="dxa"/>
            <w:vAlign w:val="bottom"/>
          </w:tcPr>
          <w:p>
            <w:pPr>
              <w:spacing w:after="0"/>
              <w:rPr>
                <w:sz w:val="1"/>
                <w:szCs w:val="1"/>
                <w:color w:val="auto"/>
              </w:rPr>
            </w:pPr>
          </w:p>
        </w:tc>
      </w:tr>
      <w:tr>
        <w:trPr>
          <w:trHeight w:val="162"/>
        </w:trPr>
        <w:tc>
          <w:tcPr>
            <w:tcW w:w="1640" w:type="dxa"/>
            <w:vAlign w:val="bottom"/>
            <w:vMerge w:val="continue"/>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Convertible Notes</w:t>
            </w:r>
          </w:p>
        </w:tc>
        <w:tc>
          <w:tcPr>
            <w:tcW w:w="1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2029 Embedded</w:t>
            </w:r>
          </w:p>
        </w:tc>
        <w:tc>
          <w:tcPr>
            <w:tcW w:w="1560" w:type="dxa"/>
            <w:vAlign w:val="bottom"/>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rPr>
              <w:t>Arrangements</w:t>
            </w:r>
          </w:p>
        </w:tc>
        <w:tc>
          <w:tcPr>
            <w:tcW w:w="0" w:type="dxa"/>
            <w:vAlign w:val="bottom"/>
          </w:tcPr>
          <w:p>
            <w:pPr>
              <w:spacing w:after="0"/>
              <w:rPr>
                <w:sz w:val="1"/>
                <w:szCs w:val="1"/>
                <w:color w:val="auto"/>
              </w:rPr>
            </w:pPr>
          </w:p>
        </w:tc>
      </w:tr>
      <w:tr>
        <w:trPr>
          <w:trHeight w:val="258"/>
        </w:trPr>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 xml:space="preserve">2029 Capped Calls </w:t>
            </w:r>
            <w:r>
              <w:rPr>
                <w:rFonts w:ascii="Times New Roman" w:cs="Times New Roman" w:eastAsia="Times New Roman" w:hAnsi="Times New Roman"/>
                <w:sz w:val="21"/>
                <w:szCs w:val="21"/>
                <w:b w:val="1"/>
                <w:bCs w:val="1"/>
                <w:color w:val="auto"/>
                <w:w w:val="98"/>
                <w:vertAlign w:val="superscript"/>
              </w:rPr>
              <w:t>(1)</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Derivative </w:t>
            </w:r>
            <w:r>
              <w:rPr>
                <w:rFonts w:ascii="Times New Roman" w:cs="Times New Roman" w:eastAsia="Times New Roman" w:hAnsi="Times New Roman"/>
                <w:sz w:val="21"/>
                <w:szCs w:val="21"/>
                <w:b w:val="1"/>
                <w:bCs w:val="1"/>
                <w:color w:val="auto"/>
                <w:w w:val="96"/>
                <w:vertAlign w:val="superscript"/>
              </w:rPr>
              <w:t>(1)</w:t>
            </w:r>
          </w:p>
        </w:tc>
        <w:tc>
          <w:tcPr>
            <w:tcW w:w="15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June 30, 2026</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Changes in fair value </w:t>
      </w:r>
      <w:r>
        <w:rPr>
          <w:rFonts w:ascii="Times New Roman" w:cs="Times New Roman" w:eastAsia="Times New Roman" w:hAnsi="Times New Roman"/>
          <w:sz w:val="22"/>
          <w:szCs w:val="22"/>
          <w:color w:val="auto"/>
          <w:vertAlign w:val="superscript"/>
        </w:rPr>
        <w:t>(2)</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152,904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42,121</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237"/>
        </w:trPr>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45,394</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Derivative Liabilities -</w:t>
            </w: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Derivative Liabilities -</w:t>
            </w:r>
          </w:p>
        </w:tc>
        <w:tc>
          <w:tcPr>
            <w:tcW w:w="100" w:type="dxa"/>
            <w:vAlign w:val="bottom"/>
          </w:tcPr>
          <w:p>
            <w:pPr>
              <w:spacing w:after="0"/>
              <w:rPr>
                <w:sz w:val="24"/>
                <w:szCs w:val="24"/>
                <w:color w:val="auto"/>
              </w:rPr>
            </w:pPr>
          </w:p>
        </w:tc>
        <w:tc>
          <w:tcPr>
            <w:tcW w:w="15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ImThera Contingent</w:t>
            </w:r>
          </w:p>
        </w:tc>
        <w:tc>
          <w:tcPr>
            <w:tcW w:w="0" w:type="dxa"/>
            <w:vAlign w:val="bottom"/>
          </w:tcPr>
          <w:p>
            <w:pPr>
              <w:spacing w:after="0"/>
              <w:rPr>
                <w:sz w:val="1"/>
                <w:szCs w:val="1"/>
                <w:color w:val="auto"/>
              </w:rPr>
            </w:pPr>
          </w:p>
        </w:tc>
      </w:tr>
      <w:tr>
        <w:trPr>
          <w:trHeight w:val="162"/>
        </w:trPr>
        <w:tc>
          <w:tcPr>
            <w:tcW w:w="1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Derivative Assets -</w:t>
            </w: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Derivative Assets -</w:t>
            </w:r>
          </w:p>
        </w:tc>
        <w:tc>
          <w:tcPr>
            <w:tcW w:w="1760" w:type="dxa"/>
            <w:vAlign w:val="bottom"/>
            <w:gridSpan w:val="3"/>
            <w:vMerge w:val="continue"/>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Consideration</w:t>
            </w:r>
          </w:p>
        </w:tc>
        <w:tc>
          <w:tcPr>
            <w:tcW w:w="0" w:type="dxa"/>
            <w:vAlign w:val="bottom"/>
          </w:tcPr>
          <w:p>
            <w:pPr>
              <w:spacing w:after="0"/>
              <w:rPr>
                <w:sz w:val="1"/>
                <w:szCs w:val="1"/>
                <w:color w:val="auto"/>
              </w:rPr>
            </w:pPr>
          </w:p>
        </w:tc>
      </w:tr>
      <w:tr>
        <w:trPr>
          <w:trHeight w:val="162"/>
        </w:trPr>
        <w:tc>
          <w:tcPr>
            <w:tcW w:w="170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2025 Embedded</w:t>
            </w:r>
          </w:p>
        </w:tc>
        <w:tc>
          <w:tcPr>
            <w:tcW w:w="180" w:type="dxa"/>
            <w:vAlign w:val="bottom"/>
          </w:tcPr>
          <w:p>
            <w:pPr>
              <w:spacing w:after="0"/>
              <w:rPr>
                <w:sz w:val="14"/>
                <w:szCs w:val="14"/>
                <w:color w:val="auto"/>
              </w:rPr>
            </w:pPr>
          </w:p>
        </w:tc>
        <w:tc>
          <w:tcPr>
            <w:tcW w:w="15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2029 Embedded</w:t>
            </w:r>
          </w:p>
        </w:tc>
        <w:tc>
          <w:tcPr>
            <w:tcW w:w="100" w:type="dxa"/>
            <w:vAlign w:val="bottom"/>
          </w:tcPr>
          <w:p>
            <w:pPr>
              <w:spacing w:after="0"/>
              <w:rPr>
                <w:sz w:val="14"/>
                <w:szCs w:val="14"/>
                <w:color w:val="auto"/>
              </w:rPr>
            </w:pPr>
          </w:p>
        </w:tc>
        <w:tc>
          <w:tcPr>
            <w:tcW w:w="154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Arrangements</w:t>
            </w:r>
          </w:p>
        </w:tc>
        <w:tc>
          <w:tcPr>
            <w:tcW w:w="0" w:type="dxa"/>
            <w:vAlign w:val="bottom"/>
          </w:tcPr>
          <w:p>
            <w:pPr>
              <w:spacing w:after="0"/>
              <w:rPr>
                <w:sz w:val="1"/>
                <w:szCs w:val="1"/>
                <w:color w:val="auto"/>
              </w:rPr>
            </w:pPr>
          </w:p>
        </w:tc>
      </w:tr>
      <w:tr>
        <w:trPr>
          <w:trHeight w:val="214"/>
        </w:trPr>
        <w:tc>
          <w:tcPr>
            <w:tcW w:w="1700" w:type="dxa"/>
            <w:vAlign w:val="bottom"/>
            <w:gridSpan w:val="2"/>
          </w:tcPr>
          <w:p>
            <w:pPr>
              <w:jc w:val="right"/>
              <w:ind w:right="240"/>
              <w:spacing w:after="0" w:line="214" w:lineRule="exact"/>
              <w:rPr>
                <w:sz w:val="20"/>
                <w:szCs w:val="20"/>
                <w:color w:val="auto"/>
              </w:rPr>
            </w:pPr>
            <w:r>
              <w:rPr>
                <w:rFonts w:ascii="Times New Roman" w:cs="Times New Roman" w:eastAsia="Times New Roman" w:hAnsi="Times New Roman"/>
                <w:sz w:val="16"/>
                <w:szCs w:val="16"/>
                <w:b w:val="1"/>
                <w:bCs w:val="1"/>
                <w:color w:val="auto"/>
                <w:w w:val="97"/>
              </w:rPr>
              <w:t xml:space="preserve">2025 Capped Calls </w:t>
            </w:r>
            <w:r>
              <w:rPr>
                <w:rFonts w:ascii="Times New Roman" w:cs="Times New Roman" w:eastAsia="Times New Roman" w:hAnsi="Times New Roman"/>
                <w:sz w:val="21"/>
                <w:szCs w:val="21"/>
                <w:b w:val="1"/>
                <w:bCs w:val="1"/>
                <w:color w:val="auto"/>
                <w:w w:val="97"/>
                <w:vertAlign w:val="superscript"/>
              </w:rPr>
              <w:t>(1)</w:t>
            </w:r>
          </w:p>
        </w:tc>
        <w:tc>
          <w:tcPr>
            <w:tcW w:w="1620" w:type="dxa"/>
            <w:vAlign w:val="bottom"/>
            <w:gridSpan w:val="2"/>
          </w:tcPr>
          <w:p>
            <w:pPr>
              <w:jc w:val="center"/>
              <w:ind w:right="120"/>
              <w:spacing w:after="0" w:line="214" w:lineRule="exact"/>
              <w:rPr>
                <w:sz w:val="20"/>
                <w:szCs w:val="20"/>
                <w:color w:val="auto"/>
              </w:rPr>
            </w:pPr>
            <w:r>
              <w:rPr>
                <w:rFonts w:ascii="Times New Roman" w:cs="Times New Roman" w:eastAsia="Times New Roman" w:hAnsi="Times New Roman"/>
                <w:sz w:val="16"/>
                <w:szCs w:val="16"/>
                <w:b w:val="1"/>
                <w:bCs w:val="1"/>
                <w:color w:val="auto"/>
                <w:w w:val="98"/>
              </w:rPr>
              <w:t xml:space="preserve">2029 Capped Calls </w:t>
            </w:r>
            <w:r>
              <w:rPr>
                <w:rFonts w:ascii="Times New Roman" w:cs="Times New Roman" w:eastAsia="Times New Roman" w:hAnsi="Times New Roman"/>
                <w:sz w:val="21"/>
                <w:szCs w:val="21"/>
                <w:b w:val="1"/>
                <w:bCs w:val="1"/>
                <w:color w:val="auto"/>
                <w:w w:val="98"/>
                <w:vertAlign w:val="superscript"/>
              </w:rPr>
              <w:t>(1)</w:t>
            </w:r>
          </w:p>
        </w:tc>
        <w:tc>
          <w:tcPr>
            <w:tcW w:w="200" w:type="dxa"/>
            <w:vAlign w:val="bottom"/>
          </w:tcPr>
          <w:p>
            <w:pPr>
              <w:spacing w:after="0"/>
              <w:rPr>
                <w:sz w:val="18"/>
                <w:szCs w:val="18"/>
                <w:color w:val="auto"/>
              </w:rPr>
            </w:pPr>
          </w:p>
        </w:tc>
        <w:tc>
          <w:tcPr>
            <w:tcW w:w="1560" w:type="dxa"/>
            <w:vAlign w:val="bottom"/>
            <w:gridSpan w:val="2"/>
          </w:tcPr>
          <w:p>
            <w:pPr>
              <w:jc w:val="center"/>
              <w:ind w:right="240"/>
              <w:spacing w:after="0" w:line="214" w:lineRule="exact"/>
              <w:rPr>
                <w:sz w:val="20"/>
                <w:szCs w:val="20"/>
                <w:color w:val="auto"/>
              </w:rPr>
            </w:pPr>
            <w:r>
              <w:rPr>
                <w:rFonts w:ascii="Times New Roman" w:cs="Times New Roman" w:eastAsia="Times New Roman" w:hAnsi="Times New Roman"/>
                <w:sz w:val="16"/>
                <w:szCs w:val="16"/>
                <w:b w:val="1"/>
                <w:bCs w:val="1"/>
                <w:color w:val="auto"/>
                <w:w w:val="96"/>
              </w:rPr>
              <w:t xml:space="preserve">Derivative </w:t>
            </w:r>
            <w:r>
              <w:rPr>
                <w:rFonts w:ascii="Times New Roman" w:cs="Times New Roman" w:eastAsia="Times New Roman" w:hAnsi="Times New Roman"/>
                <w:sz w:val="21"/>
                <w:szCs w:val="21"/>
                <w:b w:val="1"/>
                <w:bCs w:val="1"/>
                <w:color w:val="auto"/>
                <w:w w:val="96"/>
                <w:vertAlign w:val="superscript"/>
              </w:rPr>
              <w:t>(1)</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line="214" w:lineRule="exact"/>
              <w:rPr>
                <w:sz w:val="20"/>
                <w:szCs w:val="20"/>
                <w:color w:val="auto"/>
              </w:rPr>
            </w:pPr>
            <w:r>
              <w:rPr>
                <w:rFonts w:ascii="Times New Roman" w:cs="Times New Roman" w:eastAsia="Times New Roman" w:hAnsi="Times New Roman"/>
                <w:sz w:val="16"/>
                <w:szCs w:val="16"/>
                <w:b w:val="1"/>
                <w:bCs w:val="1"/>
                <w:color w:val="auto"/>
                <w:w w:val="96"/>
              </w:rPr>
              <w:t xml:space="preserve">Derivative </w:t>
            </w:r>
            <w:r>
              <w:rPr>
                <w:rFonts w:ascii="Times New Roman" w:cs="Times New Roman" w:eastAsia="Times New Roman" w:hAnsi="Times New Roman"/>
                <w:sz w:val="21"/>
                <w:szCs w:val="21"/>
                <w:b w:val="1"/>
                <w:bCs w:val="1"/>
                <w:color w:val="auto"/>
                <w:w w:val="96"/>
                <w:vertAlign w:val="superscript"/>
              </w:rPr>
              <w:t>(1)</w:t>
            </w:r>
          </w:p>
        </w:tc>
        <w:tc>
          <w:tcPr>
            <w:tcW w:w="100" w:type="dxa"/>
            <w:vAlign w:val="bottom"/>
          </w:tcPr>
          <w:p>
            <w:pPr>
              <w:spacing w:after="0"/>
              <w:rPr>
                <w:sz w:val="18"/>
                <w:szCs w:val="18"/>
                <w:color w:val="auto"/>
              </w:rPr>
            </w:pPr>
          </w:p>
        </w:tc>
        <w:tc>
          <w:tcPr>
            <w:tcW w:w="15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-949960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060" w:space="720"/>
            <w:col w:w="84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48,093</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87,927</w:t>
            </w:r>
          </w:p>
        </w:tc>
      </w:tr>
      <w:tr>
        <w:trPr>
          <w:trHeight w:val="243"/>
        </w:trPr>
        <w:tc>
          <w:tcPr>
            <w:tcW w:w="27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Changes in fair value </w:t>
            </w:r>
            <w:r>
              <w:rPr>
                <w:rFonts w:ascii="Times New Roman" w:cs="Times New Roman" w:eastAsia="Times New Roman" w:hAnsi="Times New Roman"/>
                <w:sz w:val="23"/>
                <w:szCs w:val="23"/>
                <w:color w:val="auto"/>
                <w:vertAlign w:val="superscript"/>
              </w:rPr>
              <w:t>(2)</w:t>
            </w:r>
          </w:p>
        </w:tc>
        <w:tc>
          <w:tcPr>
            <w:tcW w:w="6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61"/>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89,682</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tbl>
      <w:tblPr>
        <w:tblLayout w:type="fixed"/>
        <w:tblInd w:w="446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 in</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Derivative Liabilities -</w:t>
            </w:r>
          </w:p>
        </w:tc>
        <w:tc>
          <w:tcPr>
            <w:tcW w:w="15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ImThera Contingent</w:t>
            </w:r>
          </w:p>
        </w:tc>
        <w:tc>
          <w:tcPr>
            <w:tcW w:w="0" w:type="dxa"/>
            <w:vAlign w:val="bottom"/>
          </w:tcPr>
          <w:p>
            <w:pPr>
              <w:spacing w:after="0"/>
              <w:rPr>
                <w:sz w:val="1"/>
                <w:szCs w:val="1"/>
                <w:color w:val="auto"/>
              </w:rPr>
            </w:pPr>
          </w:p>
        </w:tc>
      </w:tr>
      <w:tr>
        <w:trPr>
          <w:trHeight w:val="162"/>
        </w:trPr>
        <w:tc>
          <w:tcPr>
            <w:tcW w:w="164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Derivative Assets -</w:t>
            </w:r>
          </w:p>
        </w:tc>
        <w:tc>
          <w:tcPr>
            <w:tcW w:w="162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56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Consideration</w:t>
            </w:r>
          </w:p>
        </w:tc>
        <w:tc>
          <w:tcPr>
            <w:tcW w:w="0" w:type="dxa"/>
            <w:vAlign w:val="bottom"/>
          </w:tcPr>
          <w:p>
            <w:pPr>
              <w:spacing w:after="0"/>
              <w:rPr>
                <w:sz w:val="1"/>
                <w:szCs w:val="1"/>
                <w:color w:val="auto"/>
              </w:rPr>
            </w:pPr>
          </w:p>
        </w:tc>
      </w:tr>
      <w:tr>
        <w:trPr>
          <w:trHeight w:val="162"/>
        </w:trPr>
        <w:tc>
          <w:tcPr>
            <w:tcW w:w="1640" w:type="dxa"/>
            <w:vAlign w:val="bottom"/>
            <w:vMerge w:val="continue"/>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Convertible Notes</w:t>
            </w:r>
          </w:p>
        </w:tc>
        <w:tc>
          <w:tcPr>
            <w:tcW w:w="1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2029 Embedded</w:t>
            </w:r>
          </w:p>
        </w:tc>
        <w:tc>
          <w:tcPr>
            <w:tcW w:w="1560" w:type="dxa"/>
            <w:vAlign w:val="bottom"/>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rPr>
              <w:t>Arrangements</w:t>
            </w:r>
          </w:p>
        </w:tc>
        <w:tc>
          <w:tcPr>
            <w:tcW w:w="0" w:type="dxa"/>
            <w:vAlign w:val="bottom"/>
          </w:tcPr>
          <w:p>
            <w:pPr>
              <w:spacing w:after="0"/>
              <w:rPr>
                <w:sz w:val="1"/>
                <w:szCs w:val="1"/>
                <w:color w:val="auto"/>
              </w:rPr>
            </w:pPr>
          </w:p>
        </w:tc>
      </w:tr>
      <w:tr>
        <w:trPr>
          <w:trHeight w:val="258"/>
        </w:trPr>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 xml:space="preserve">2029 Capped Calls </w:t>
            </w:r>
            <w:r>
              <w:rPr>
                <w:rFonts w:ascii="Times New Roman" w:cs="Times New Roman" w:eastAsia="Times New Roman" w:hAnsi="Times New Roman"/>
                <w:sz w:val="21"/>
                <w:szCs w:val="21"/>
                <w:b w:val="1"/>
                <w:bCs w:val="1"/>
                <w:color w:val="auto"/>
                <w:w w:val="98"/>
                <w:vertAlign w:val="superscript"/>
              </w:rPr>
              <w:t>(1)</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Derivative </w:t>
            </w:r>
            <w:r>
              <w:rPr>
                <w:rFonts w:ascii="Times New Roman" w:cs="Times New Roman" w:eastAsia="Times New Roman" w:hAnsi="Times New Roman"/>
                <w:sz w:val="21"/>
                <w:szCs w:val="21"/>
                <w:b w:val="1"/>
                <w:bCs w:val="1"/>
                <w:color w:val="auto"/>
                <w:w w:val="96"/>
                <w:vertAlign w:val="superscript"/>
              </w:rPr>
              <w:t>(1)</w:t>
            </w:r>
          </w:p>
        </w:tc>
        <w:tc>
          <w:tcPr>
            <w:tcW w:w="15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Changes in fair value </w:t>
      </w:r>
      <w:r>
        <w:rPr>
          <w:rFonts w:ascii="Times New Roman" w:cs="Times New Roman" w:eastAsia="Times New Roman" w:hAnsi="Times New Roman"/>
          <w:sz w:val="22"/>
          <w:szCs w:val="22"/>
          <w:color w:val="auto"/>
          <w:vertAlign w:val="superscript"/>
        </w:rPr>
        <w:t>(2)</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92,075</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(60,458)</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0" w:type="dxa"/>
            <w:vAlign w:val="bottom"/>
          </w:tcPr>
          <w:p>
            <w:pPr>
              <w:spacing w:after="0"/>
              <w:rPr>
                <w:sz w:val="1"/>
                <w:szCs w:val="1"/>
                <w:color w:val="auto"/>
              </w:rPr>
            </w:pPr>
          </w:p>
        </w:tc>
      </w:tr>
      <w:tr>
        <w:trPr>
          <w:trHeight w:val="236"/>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45,394</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Derivative Liabilities -</w:t>
            </w: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Derivative Liabilities -</w:t>
            </w:r>
          </w:p>
        </w:tc>
        <w:tc>
          <w:tcPr>
            <w:tcW w:w="100" w:type="dxa"/>
            <w:vAlign w:val="bottom"/>
          </w:tcPr>
          <w:p>
            <w:pPr>
              <w:spacing w:after="0"/>
              <w:rPr>
                <w:sz w:val="24"/>
                <w:szCs w:val="24"/>
                <w:color w:val="auto"/>
              </w:rPr>
            </w:pPr>
          </w:p>
        </w:tc>
        <w:tc>
          <w:tcPr>
            <w:tcW w:w="154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ImThera Contingent</w:t>
            </w:r>
          </w:p>
        </w:tc>
        <w:tc>
          <w:tcPr>
            <w:tcW w:w="0" w:type="dxa"/>
            <w:vAlign w:val="bottom"/>
          </w:tcPr>
          <w:p>
            <w:pPr>
              <w:spacing w:after="0"/>
              <w:rPr>
                <w:sz w:val="1"/>
                <w:szCs w:val="1"/>
                <w:color w:val="auto"/>
              </w:rPr>
            </w:pPr>
          </w:p>
        </w:tc>
      </w:tr>
      <w:tr>
        <w:trPr>
          <w:trHeight w:val="162"/>
        </w:trPr>
        <w:tc>
          <w:tcPr>
            <w:tcW w:w="17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Derivative Assets -</w:t>
            </w: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Derivative Assets -</w:t>
            </w:r>
          </w:p>
        </w:tc>
        <w:tc>
          <w:tcPr>
            <w:tcW w:w="1760" w:type="dxa"/>
            <w:vAlign w:val="bottom"/>
            <w:gridSpan w:val="3"/>
            <w:vMerge w:val="continue"/>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Consideration</w:t>
            </w:r>
          </w:p>
        </w:tc>
        <w:tc>
          <w:tcPr>
            <w:tcW w:w="0" w:type="dxa"/>
            <w:vAlign w:val="bottom"/>
          </w:tcPr>
          <w:p>
            <w:pPr>
              <w:spacing w:after="0"/>
              <w:rPr>
                <w:sz w:val="1"/>
                <w:szCs w:val="1"/>
                <w:color w:val="auto"/>
              </w:rPr>
            </w:pPr>
          </w:p>
        </w:tc>
      </w:tr>
      <w:tr>
        <w:trPr>
          <w:trHeight w:val="162"/>
        </w:trPr>
        <w:tc>
          <w:tcPr>
            <w:tcW w:w="174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2025 Embedded</w:t>
            </w:r>
          </w:p>
        </w:tc>
        <w:tc>
          <w:tcPr>
            <w:tcW w:w="180" w:type="dxa"/>
            <w:vAlign w:val="bottom"/>
          </w:tcPr>
          <w:p>
            <w:pPr>
              <w:spacing w:after="0"/>
              <w:rPr>
                <w:sz w:val="14"/>
                <w:szCs w:val="14"/>
                <w:color w:val="auto"/>
              </w:rPr>
            </w:pPr>
          </w:p>
        </w:tc>
        <w:tc>
          <w:tcPr>
            <w:tcW w:w="15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2029 Embedded</w:t>
            </w:r>
          </w:p>
        </w:tc>
        <w:tc>
          <w:tcPr>
            <w:tcW w:w="100" w:type="dxa"/>
            <w:vAlign w:val="bottom"/>
          </w:tcPr>
          <w:p>
            <w:pPr>
              <w:spacing w:after="0"/>
              <w:rPr>
                <w:sz w:val="14"/>
                <w:szCs w:val="14"/>
                <w:color w:val="auto"/>
              </w:rPr>
            </w:pPr>
          </w:p>
        </w:tc>
        <w:tc>
          <w:tcPr>
            <w:tcW w:w="1540" w:type="dxa"/>
            <w:vAlign w:val="bottom"/>
          </w:tcPr>
          <w:p>
            <w:pPr>
              <w:jc w:val="center"/>
              <w:ind w:right="14"/>
              <w:spacing w:after="0" w:line="162" w:lineRule="exact"/>
              <w:rPr>
                <w:sz w:val="20"/>
                <w:szCs w:val="20"/>
                <w:color w:val="auto"/>
              </w:rPr>
            </w:pPr>
            <w:r>
              <w:rPr>
                <w:rFonts w:ascii="Times New Roman" w:cs="Times New Roman" w:eastAsia="Times New Roman" w:hAnsi="Times New Roman"/>
                <w:sz w:val="16"/>
                <w:szCs w:val="16"/>
                <w:b w:val="1"/>
                <w:bCs w:val="1"/>
                <w:color w:val="auto"/>
              </w:rPr>
              <w:t>Arrangements</w:t>
            </w:r>
          </w:p>
        </w:tc>
        <w:tc>
          <w:tcPr>
            <w:tcW w:w="0" w:type="dxa"/>
            <w:vAlign w:val="bottom"/>
          </w:tcPr>
          <w:p>
            <w:pPr>
              <w:spacing w:after="0"/>
              <w:rPr>
                <w:sz w:val="1"/>
                <w:szCs w:val="1"/>
                <w:color w:val="auto"/>
              </w:rPr>
            </w:pPr>
          </w:p>
        </w:tc>
      </w:tr>
      <w:tr>
        <w:trPr>
          <w:trHeight w:val="214"/>
        </w:trPr>
        <w:tc>
          <w:tcPr>
            <w:tcW w:w="1740" w:type="dxa"/>
            <w:vAlign w:val="bottom"/>
            <w:gridSpan w:val="2"/>
          </w:tcPr>
          <w:p>
            <w:pPr>
              <w:jc w:val="right"/>
              <w:ind w:right="280"/>
              <w:spacing w:after="0" w:line="214" w:lineRule="exact"/>
              <w:rPr>
                <w:sz w:val="20"/>
                <w:szCs w:val="20"/>
                <w:color w:val="auto"/>
              </w:rPr>
            </w:pPr>
            <w:r>
              <w:rPr>
                <w:rFonts w:ascii="Times New Roman" w:cs="Times New Roman" w:eastAsia="Times New Roman" w:hAnsi="Times New Roman"/>
                <w:sz w:val="16"/>
                <w:szCs w:val="16"/>
                <w:b w:val="1"/>
                <w:bCs w:val="1"/>
                <w:color w:val="auto"/>
                <w:w w:val="97"/>
              </w:rPr>
              <w:t xml:space="preserve">2025 Capped Calls </w:t>
            </w:r>
            <w:r>
              <w:rPr>
                <w:rFonts w:ascii="Times New Roman" w:cs="Times New Roman" w:eastAsia="Times New Roman" w:hAnsi="Times New Roman"/>
                <w:sz w:val="21"/>
                <w:szCs w:val="21"/>
                <w:b w:val="1"/>
                <w:bCs w:val="1"/>
                <w:color w:val="auto"/>
                <w:w w:val="97"/>
                <w:vertAlign w:val="superscript"/>
              </w:rPr>
              <w:t>(1)</w:t>
            </w:r>
          </w:p>
        </w:tc>
        <w:tc>
          <w:tcPr>
            <w:tcW w:w="1620" w:type="dxa"/>
            <w:vAlign w:val="bottom"/>
            <w:gridSpan w:val="2"/>
          </w:tcPr>
          <w:p>
            <w:pPr>
              <w:jc w:val="center"/>
              <w:ind w:right="160"/>
              <w:spacing w:after="0" w:line="214" w:lineRule="exact"/>
              <w:rPr>
                <w:sz w:val="20"/>
                <w:szCs w:val="20"/>
                <w:color w:val="auto"/>
              </w:rPr>
            </w:pPr>
            <w:r>
              <w:rPr>
                <w:rFonts w:ascii="Times New Roman" w:cs="Times New Roman" w:eastAsia="Times New Roman" w:hAnsi="Times New Roman"/>
                <w:sz w:val="16"/>
                <w:szCs w:val="16"/>
                <w:b w:val="1"/>
                <w:bCs w:val="1"/>
                <w:color w:val="auto"/>
                <w:w w:val="98"/>
              </w:rPr>
              <w:t xml:space="preserve">2029 Capped Calls </w:t>
            </w:r>
            <w:r>
              <w:rPr>
                <w:rFonts w:ascii="Times New Roman" w:cs="Times New Roman" w:eastAsia="Times New Roman" w:hAnsi="Times New Roman"/>
                <w:sz w:val="21"/>
                <w:szCs w:val="21"/>
                <w:b w:val="1"/>
                <w:bCs w:val="1"/>
                <w:color w:val="auto"/>
                <w:w w:val="98"/>
                <w:vertAlign w:val="superscript"/>
              </w:rPr>
              <w:t>(1)</w:t>
            </w:r>
          </w:p>
        </w:tc>
        <w:tc>
          <w:tcPr>
            <w:tcW w:w="200" w:type="dxa"/>
            <w:vAlign w:val="bottom"/>
          </w:tcPr>
          <w:p>
            <w:pPr>
              <w:spacing w:after="0"/>
              <w:rPr>
                <w:sz w:val="18"/>
                <w:szCs w:val="18"/>
                <w:color w:val="auto"/>
              </w:rPr>
            </w:pPr>
          </w:p>
        </w:tc>
        <w:tc>
          <w:tcPr>
            <w:tcW w:w="1560" w:type="dxa"/>
            <w:vAlign w:val="bottom"/>
            <w:gridSpan w:val="2"/>
          </w:tcPr>
          <w:p>
            <w:pPr>
              <w:jc w:val="center"/>
              <w:ind w:right="280"/>
              <w:spacing w:after="0" w:line="214" w:lineRule="exact"/>
              <w:rPr>
                <w:sz w:val="20"/>
                <w:szCs w:val="20"/>
                <w:color w:val="auto"/>
              </w:rPr>
            </w:pPr>
            <w:r>
              <w:rPr>
                <w:rFonts w:ascii="Times New Roman" w:cs="Times New Roman" w:eastAsia="Times New Roman" w:hAnsi="Times New Roman"/>
                <w:sz w:val="16"/>
                <w:szCs w:val="16"/>
                <w:b w:val="1"/>
                <w:bCs w:val="1"/>
                <w:color w:val="auto"/>
                <w:w w:val="96"/>
              </w:rPr>
              <w:t xml:space="preserve">Derivative </w:t>
            </w:r>
            <w:r>
              <w:rPr>
                <w:rFonts w:ascii="Times New Roman" w:cs="Times New Roman" w:eastAsia="Times New Roman" w:hAnsi="Times New Roman"/>
                <w:sz w:val="21"/>
                <w:szCs w:val="21"/>
                <w:b w:val="1"/>
                <w:bCs w:val="1"/>
                <w:color w:val="auto"/>
                <w:w w:val="96"/>
                <w:vertAlign w:val="superscript"/>
              </w:rPr>
              <w:t>(1)</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line="214" w:lineRule="exact"/>
              <w:rPr>
                <w:sz w:val="20"/>
                <w:szCs w:val="20"/>
                <w:color w:val="auto"/>
              </w:rPr>
            </w:pPr>
            <w:r>
              <w:rPr>
                <w:rFonts w:ascii="Times New Roman" w:cs="Times New Roman" w:eastAsia="Times New Roman" w:hAnsi="Times New Roman"/>
                <w:sz w:val="16"/>
                <w:szCs w:val="16"/>
                <w:b w:val="1"/>
                <w:bCs w:val="1"/>
                <w:color w:val="auto"/>
                <w:w w:val="96"/>
              </w:rPr>
              <w:t xml:space="preserve">Derivative </w:t>
            </w:r>
            <w:r>
              <w:rPr>
                <w:rFonts w:ascii="Times New Roman" w:cs="Times New Roman" w:eastAsia="Times New Roman" w:hAnsi="Times New Roman"/>
                <w:sz w:val="21"/>
                <w:szCs w:val="21"/>
                <w:b w:val="1"/>
                <w:bCs w:val="1"/>
                <w:color w:val="auto"/>
                <w:w w:val="96"/>
                <w:vertAlign w:val="superscript"/>
              </w:rPr>
              <w:t>(1)</w:t>
            </w:r>
          </w:p>
        </w:tc>
        <w:tc>
          <w:tcPr>
            <w:tcW w:w="100" w:type="dxa"/>
            <w:vAlign w:val="bottom"/>
          </w:tcPr>
          <w:p>
            <w:pPr>
              <w:spacing w:after="0"/>
              <w:rPr>
                <w:sz w:val="18"/>
                <w:szCs w:val="18"/>
                <w:color w:val="auto"/>
              </w:rPr>
            </w:pPr>
          </w:p>
        </w:tc>
        <w:tc>
          <w:tcPr>
            <w:tcW w:w="154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-1104265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-795020</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020" w:space="720"/>
            <w:col w:w="85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2,915</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84,218</w:t>
            </w:r>
          </w:p>
        </w:tc>
      </w:tr>
      <w:tr>
        <w:trPr>
          <w:trHeight w:val="243"/>
        </w:trPr>
        <w:tc>
          <w:tcPr>
            <w:tcW w:w="26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Changes in fair value </w:t>
            </w:r>
            <w:r>
              <w:rPr>
                <w:rFonts w:ascii="Times New Roman" w:cs="Times New Roman" w:eastAsia="Times New Roman" w:hAnsi="Times New Roman"/>
                <w:sz w:val="23"/>
                <w:szCs w:val="23"/>
                <w:color w:val="auto"/>
                <w:vertAlign w:val="superscript"/>
              </w:rPr>
              <w:t>(2)</w:t>
            </w:r>
          </w:p>
        </w:tc>
        <w:tc>
          <w:tcPr>
            <w:tcW w:w="6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r>
      <w:tr>
        <w:trPr>
          <w:trHeight w:val="261"/>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1,685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89,682</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Gains and losses are recorded in foreign exchange and other income/(expense) in the condensed consolidated statements of income (loss).</w:t>
      </w:r>
    </w:p>
    <w:p>
      <w:pPr>
        <w:spacing w:after="0" w:line="10" w:lineRule="exact"/>
        <w:rPr>
          <w:rFonts w:ascii="Times New Roman" w:cs="Times New Roman" w:eastAsia="Times New Roman" w:hAnsi="Times New Roman"/>
          <w:sz w:val="21"/>
          <w:szCs w:val="21"/>
          <w:color w:val="auto"/>
          <w:vertAlign w:val="superscript"/>
        </w:rPr>
      </w:pPr>
    </w:p>
    <w:p>
      <w:pPr>
        <w:jc w:val="both"/>
        <w:ind w:left="660" w:hanging="328"/>
        <w:spacing w:after="0" w:line="247" w:lineRule="auto"/>
        <w:tabs>
          <w:tab w:leader="none" w:pos="64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September 30, 2026, the contingent consideration change in fair value was recorded to cost of sales. For the comparable 2025 period, the contingent consideration changes in fair value resulted in increases of $1.0 million and $0.8 million recorded to cost of sales and R&amp;D, respectively. For the nine months ended September 30, 2026, the contingent consideration changes in fair value resulted in increases of $3.3 million and $10.4 million recorded to cost of sales and R&amp;D, respectively. For the comparable 2025 period, the contingent consideration changes in fair value resulted in increases of $2.8 million and $2.7 million recorded to cost of sales and R&amp;D,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 Price Volatility</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share price volatility utilized in determining the fair value of LivaNova’s 2029 Capped Call derivative assets and 2029 Embedded Derivative liability as of September 30, 2026 was 37%. In general, an increase in LivaNova’s share price or share price volatility would increase the fair value of the embedded and capped call derivatives, which would result in an increase in net expense. As the remaining time to the expiration of the derivatives decreases, the fair value of the derivatives decreases.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 w:name="page15"/>
    <w:bookmarkEnd w:id="14"/>
    <w:p>
      <w:pPr>
        <w:jc w:val="both"/>
        <w:spacing w:after="0" w:line="297" w:lineRule="auto"/>
        <w:rPr>
          <w:sz w:val="20"/>
          <w:szCs w:val="20"/>
          <w:color w:val="auto"/>
        </w:rPr>
      </w:pPr>
      <w:r>
        <w:rPr>
          <w:rFonts w:ascii="Times New Roman" w:cs="Times New Roman" w:eastAsia="Times New Roman" w:hAnsi="Times New Roman"/>
          <w:sz w:val="18"/>
          <w:szCs w:val="18"/>
          <w:color w:val="auto"/>
        </w:rPr>
        <w:t>future impact of the derivatives on net income (loss) depends on how significant inputs, such as share price volatility and time to the expiration of the derivatives, change in relation to other inputs.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Contingent Consideration Arrangements</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ImThera acquisition involved contingent consideration arrangements comprised of potential cash payments upon the achievement of a certain regulatory milestone and a sales-based earnout associated with sales of products. In March 2026, the Company received PMA from the FDA for the aura6000 System, thereby achieving the regulatory milestone and, in June 2026, paid $60.5 million, fully satisfying the related regulatory-based contingent consideration liability. Of this payment, $10.0 million was classified as an operating cash outflow in the condensed consolidated statements of cash flows, representing the portion of the payment that exceeded the acquisition-date fair value of the liability, with the remainder classified as a financing cash outflow on the condensed consolidated statements of cash flows. The remaining sales-based earnout is valued using projected sales from LivaNova’s internal strategic plan. These arrangements are Level 3 fair value measurements. The table below presents the significant unobservable inputs of the sales-based earnout arrangement from the ImThera acquisition as of September 30, 2026: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00" w:type="dxa"/>
            <w:vAlign w:val="bottom"/>
            <w:tcBorders>
              <w:bottom w:val="single" w:sz="8" w:color="CCEEFF"/>
            </w:tcBorders>
          </w:tcPr>
          <w:p>
            <w:pPr>
              <w:spacing w:after="0"/>
              <w:rPr>
                <w:sz w:val="20"/>
                <w:szCs w:val="20"/>
                <w:color w:val="auto"/>
              </w:rPr>
            </w:pPr>
          </w:p>
        </w:tc>
        <w:tc>
          <w:tcPr>
            <w:tcW w:w="36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00" w:type="dxa"/>
            <w:vAlign w:val="bottom"/>
            <w:tcBorders>
              <w:bottom w:val="single" w:sz="8" w:color="CCEEFF"/>
            </w:tcBorders>
          </w:tcPr>
          <w:p>
            <w:pPr>
              <w:spacing w:after="0"/>
              <w:rPr>
                <w:sz w:val="20"/>
                <w:szCs w:val="20"/>
                <w:color w:val="auto"/>
              </w:rPr>
            </w:pPr>
          </w:p>
        </w:tc>
        <w:tc>
          <w:tcPr>
            <w:tcW w:w="3660" w:type="dxa"/>
            <w:vAlign w:val="bottom"/>
            <w:tcBorders>
              <w:bottom w:val="single" w:sz="8" w:color="auto"/>
            </w:tcBorders>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Inputs</w:t>
            </w:r>
          </w:p>
        </w:tc>
      </w:tr>
      <w:tr>
        <w:trPr>
          <w:trHeight w:val="237"/>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Monte-Carlo simulation</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Risk-adjusted discount 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- 12.9%</w:t>
            </w:r>
          </w:p>
        </w:tc>
      </w:tr>
      <w:tr>
        <w:trPr>
          <w:trHeight w:val="243"/>
        </w:trPr>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risk discount rate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- 6.8%</w:t>
            </w:r>
          </w:p>
        </w:tc>
      </w:tr>
      <w:tr>
        <w:trPr>
          <w:trHeight w:val="243"/>
        </w:trPr>
        <w:tc>
          <w:tcPr>
            <w:tcW w:w="3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3660" w:type="dxa"/>
            <w:vAlign w:val="bottom"/>
            <w:gridSpan w:val="2"/>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3660" w:type="dxa"/>
            <w:vAlign w:val="bottom"/>
            <w:gridSpan w:val="2"/>
          </w:tcPr>
          <w:p>
            <w:pPr>
              <w:jc w:val="right"/>
              <w:ind w:right="1570"/>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3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payment years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- 2030</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carrying value of LivaNova’s long-term debt, including the current portion as of September 30, 2026 and December 31, 2025, was $295.4 million and $376.1 million, respectively. The fair value of the 2029 Notes, excluding the conversion feature, as of September 30, 2026 and December 31, 2025, was $316.5 million and $315.2 million, respectively. The fair value was estimated using a discounted cash flow model and is classified as Level 2 within the fair value hierarchy. For all other long-term debt obligations, LivaNova believes the carrying value approximates fair value. The fair values and principal values consider the terms of the related debt and exclude the impacts of debt discounts and hedging activity.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Financing Arrangements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LivaNova’s long-term debt obligations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3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289,886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275,599</w:t>
            </w:r>
          </w:p>
        </w:tc>
        <w:tc>
          <w:tcPr>
            <w:tcW w:w="1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2029</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Facilities</w:t>
            </w:r>
          </w:p>
        </w:tc>
        <w:tc>
          <w:tcPr>
            <w:tcW w:w="160" w:type="dxa"/>
            <w:vAlign w:val="bottom"/>
          </w:tcPr>
          <w:p>
            <w:pPr>
              <w:spacing w:after="0"/>
              <w:rPr>
                <w:sz w:val="21"/>
                <w:szCs w:val="21"/>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376,063</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30,878</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 obligations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295,194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345,185</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Credit and Term Facilities</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outstanding principal amount of LivaNova’s short-term unsecured revolving credit agreements and other agreements with various banks was $3.7 million and $0.6 million as of September 30, 2026 and December 31, 2025, respectively, with an interest rate of 5.40% as of September 30, 2026.</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On March 8, 2024, LivaNova and LivaNova USA entered into Incremental Facility Amendment No. 3, which provides for LivaNova USA to obtain revolving commitments in an aggregate principal amount of $225.0 million and matures on March 8, 2029. There were no outstanding borrowings under the revolving facilities under the 2021 First Lien Credit Agreement as of September 30, 2026 and December 31, 2025. As of both September 30, 2026 and December 31, 2025, the applicable commitment fee percentage was 0.25% per annum. As of September 30, 2026, the Company was in compliance with the financial covenants contained in the 2021 First Lien Credit Agreement.</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 2025, LivaNova made a $200.0 million early repayment of principal under the Term Facilities. This repayment resulted in a loss on debt extinguishment of $2.7 million recognized for the nine months ended September 30, 2025, associated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spacing w:after="0" w:line="271" w:lineRule="auto"/>
        <w:rPr>
          <w:sz w:val="20"/>
          <w:szCs w:val="20"/>
          <w:color w:val="auto"/>
        </w:rPr>
      </w:pPr>
      <w:r>
        <w:rPr>
          <w:rFonts w:ascii="Times New Roman" w:cs="Times New Roman" w:eastAsia="Times New Roman" w:hAnsi="Times New Roman"/>
          <w:sz w:val="18"/>
          <w:szCs w:val="18"/>
          <w:color w:val="auto"/>
        </w:rPr>
        <w:t>with the write-off of unamortized debt issuance costs. On January 8, 2026, LivaNova made a $95.9 million early repayment of the remaining outstanding balance under the Term Facilities. This repayment resulted in a loss on debt extinguishment of $0.9 million recognized for the nine months ended September 30, 2026, associated with the write-off of the remaining unamortized debt issuance costs. Loss on debt extinguishment is included in interest expense in the condensed consolidated statements of income (loss).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2029 Notes</w:t>
      </w:r>
    </w:p>
    <w:p>
      <w:pPr>
        <w:spacing w:after="0" w:line="1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effective interest rate of the 2029 Notes was 9.84% as of September 30, 2026. The unamortized debt discount and issuance costs related to the 2029 Notes as of September 30, 2026 and December 31, 2025 were $55.1 million and $69.4 million, respectively. The initial conversion rate for the 2029 Notes is 14.4085 ordinary shares per $1,000 principal amount of notes, which is equivalent to an initial conversion price of $69.40 per share. Although the Company’s ordinary share price met or exceeded the initial conversion price during portions of the quarter and through the filing date, the conditions required for conversion were not met as of September 30, 2026. Under the terms of the indenture, holders may convert the 2029 Notes during a calendar quarter only if, among other circumstances, the last reported sale price of the Company’s ordinary shares equals or exceeds 130% of the conversion price, or $90.22 per share, for at least 20 trading days (whether or not consecutive) during a period of 30 consecutive trading days ending on the last trading day of the immediately preceding calendar quarter. Accordingly, the Company included its obligations from the 2029 Notes and the associated embedded derivative as long-term liabilities in the condensed consolidated balance sheet as of September 30, 2026, and the 2029 Notes are not convertible for the three months ending December 31, 2026. For additional information regarding the 2029 Notes and related 2029 Capped Calls, refer to LivaNova’s 2025 Form 10-K and “Note 3. Derivatives and Risk Management.”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Commitments and Contingencies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Saluggia Site Hazardous Substances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performs ordinary maintenance, secures the facilities, monitors air and water quality, and files applicable reports with the competent environmental authorities.</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The national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Although there is no legal obligation to deliver any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September 30, 2026 was $39.8 million (€35.0 million), which represented the estimated low end of the range of loss, with an estimated maximum end of the range of loss of $49.8 million (€43.8 million). The estimated liability as of December 31, 2025 was $41.8 million (€35.6 million).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SNIA Environmental Litigation</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Sorin was created as a result of a spin-off from SNIA in 2004. SNIA subsequently became insolvent, and the Public Administrations sought compensation from SNIA in an aggregate amount of approximately $3.9 billion for remediation costs relating to the environmental damage at chemical sites previously operated by SNIA’s other subsidiaries. 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2015, Sorin was merged into LivaNova.</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2016, the Court of Milan dismissed all legal actions of SNIA and of the Public Administrations, further requiring the Public Administrations to pay Sorin €292,000 ($331,626 as of September 30, 2026) for legal fees. The Public Administrations appealed the 2016 Decision to the Court of Appeal. In March 2019, the Court of Appeal issued a partial decision on the merits declaring LivaNova jointly liable with SNIA for SNIA’s environmental liabilities in an amount up to the fair value of the net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worth received by Sorin because of the spin-off of Sorin from SNIA in 2004, an estimated €572.1 million ($649.7 million as of September 30,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appealed the partial decision on liability to the Italian Supreme Court in August 2019.</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November 2021, the Court of Appeal delivered the remainder of its decision, ordering LivaNova to pay damages of €453.6 million ($515.1 million as of September 30, 2026). LivaNova appealed the decision on damages in December 2021. In February 2022, the Court of Appeal notified the Company that it granted the Company a suspension with respect to the payment of damages until a decision was reached on the appeal to the Italian Supreme Court, subject to LivaNova providing a first demand bank guarantee of €270.0 million ($306.6 million as of September 30, 2026); LivaNova delivered the SNIA Litigation Guarantee in March 2022.</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the Italian Supreme Court issued a procedural document whereby the Italian Supreme Court referred a question on the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In July 2024, the ECJ issued a judgment, stating that a demerged company can be held responsible for liabilities not established prior to a demerger as long as the liabilities derive from the conduct of a demerged company prior to the demerger. The ECJ judgment also states that national law should determine whether liability for damages stemming from conduct after a demerger can be assigned to a demerged company.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however, the Italian Supreme Court also ruled that the Company should not be held responsible for certain payments previously approved by the Court of Appeal in the amount of €157.3 million ($178.6 million as of September 30, 2026). The case was referred back to the Court of Appeal to implement the decisions respecting costs and damages in accordance with the judgment of the Italian Supreme Court.</w:t>
      </w:r>
    </w:p>
    <w:p>
      <w:pPr>
        <w:spacing w:after="0" w:line="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March 31, 2025, as a result of the decision by the Italian Supreme Court, the SNIA Litigation Guarantee was terminated, and the restriction on the cash deposit held as collateral was released. For additional information on the financing of the guarantee, refer to “Note 12. Supplemental Financial Information.”</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On May 15, 2025, as a procedural step, the Public Administrations served the Company with a filing to return the proceedings to the Court of Appeal. In addition to seeking a return of the case to the Court of Appeal, the Public Administrations asserted that the Court of Appeal forgo an examination of the amounts disapproved by the Italian Supreme Court and instead impose costs of €108.8 million ($123.6 million as of September 30, 2026) at a minimum. These assertions are counter to the decision of the Italian Supreme Court’s judgment, which disapproved costs of €157.3 million ($178.6 million as of September 30, 2026). The Public Administrations’ filing is not a legal judgment or demand for payment.</w:t>
      </w:r>
    </w:p>
    <w:p>
      <w:pPr>
        <w:spacing w:after="0" w:line="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a hearing on June 24, 2026, the Court of Appeal scheduled a hearing for December 9, 2026 to allow the parties to discuss a possible out-of-court resolution of the matter. On November 2, 2026, the Court of Appeal rescheduled the hearing to February 10, 2027 for administrative reasons. Discussions remain ongoing, and there can be no assurance that they will result in a settlement.</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As a result of the March 14, 2025 decision by the Italian Supreme Court, the Company recorded a current liability in the first quarter of 2025. As of September 30, 2026, the current liability on the consolidated balance sheet was €337.8 million ($383.6 million), representing the Company’s best estimate inclusive of estimated costs, fees, interest, and taxes. These estimated costs do not include the Company’s legal fees, which are expensed as incurred and included in SG&amp;A in LivaNova’s condensed consolidated statements of income (loss). As of the date of this filing, the Company believes the amount recorded for the SNIA matter remains its best estimate and has determined that it has sufficient resources to satisfy the liability.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Liability Litigation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be involved in litigation involving LivaNova’s 3T Heater-Cooler device. The litigation includes the cases remaining in the federal multi-district litigation in the U.S. District Court for the Middle District of Pennsylvania and various U.S. state courts, as well as claims in jurisdictions outside the United States. As of November 4, 2026, the Company was aware of approximately 55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LivaNova recorded an additional liability of $34.0 million and $45.3 million, respectively, reflecting developments that resulted in a reassessment of probable losses associated with certain outstanding claims. As of September 30, 2026 and December 31, 2025, the provision for these matters was $44.2 million and $15.6 million, respectively. While the amount accrued represents LivaNova’s best estimate for those worldwide filed and unfiled claims of which LivaNova is aware and believes are both probable and estimable at this time, the actual liability for resolution of these matters may vary from the Company’s provision. A provision has not been recorded for any claims where a potential loss is not determined to be probable, or a potential loss or range of potential loss is not reasonably estimable at this time.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litigation provision liability for the nine months ended September 30, 2026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w:t>
            </w:r>
          </w:p>
        </w:tc>
      </w:tr>
      <w:tr>
        <w:trPr>
          <w:trHeight w:val="243"/>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(16,383)</w:t>
            </w:r>
          </w:p>
        </w:tc>
      </w:tr>
      <w:tr>
        <w:trPr>
          <w:trHeight w:val="243"/>
        </w:trPr>
        <w:tc>
          <w:tcPr>
            <w:tcW w:w="88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45,346</w:t>
            </w:r>
          </w:p>
        </w:tc>
      </w:tr>
      <w:tr>
        <w:trPr>
          <w:trHeight w:val="243"/>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FX and other</w:t>
            </w:r>
          </w:p>
        </w:tc>
        <w:tc>
          <w:tcPr>
            <w:tcW w:w="9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2026</w:t>
            </w:r>
          </w:p>
        </w:tc>
        <w:tc>
          <w:tcPr>
            <w:tcW w:w="9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44,177</w:t>
            </w:r>
          </w:p>
        </w:tc>
      </w:tr>
      <w:tr>
        <w:trPr>
          <w:trHeight w:val="243"/>
        </w:trPr>
        <w:tc>
          <w:tcPr>
            <w:tcW w:w="882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Less: Current portion as of September 30, 2026 </w:t>
            </w:r>
            <w:r>
              <w:rPr>
                <w:rFonts w:ascii="Times New Roman" w:cs="Times New Roman" w:eastAsia="Times New Roman" w:hAnsi="Times New Roman"/>
                <w:sz w:val="23"/>
                <w:szCs w:val="23"/>
                <w:color w:val="auto"/>
                <w:vertAlign w:val="superscript"/>
              </w:rPr>
              <w:t>(2)</w:t>
            </w:r>
          </w:p>
        </w:tc>
        <w:tc>
          <w:tcPr>
            <w:tcW w:w="9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27,824</w:t>
            </w:r>
          </w:p>
        </w:tc>
      </w:tr>
      <w:tr>
        <w:trPr>
          <w:trHeight w:val="262"/>
        </w:trPr>
        <w:tc>
          <w:tcPr>
            <w:tcW w:w="8820" w:type="dxa"/>
            <w:vAlign w:val="bottom"/>
            <w:tcBorders>
              <w:bottom w:val="single" w:sz="8" w:color="CCEEFF"/>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Long-term portion as of September 30, 2026 </w:t>
            </w:r>
            <w:r>
              <w:rPr>
                <w:rFonts w:ascii="Times New Roman" w:cs="Times New Roman" w:eastAsia="Times New Roman" w:hAnsi="Times New Roman"/>
                <w:sz w:val="23"/>
                <w:szCs w:val="23"/>
                <w:color w:val="auto"/>
                <w:vertAlign w:val="superscript"/>
              </w:rPr>
              <w:t>(3)</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Adjustments to the litigation provision are included in other operating expense on the condensed consolidated statements of income (loss).</w:t>
      </w:r>
    </w:p>
    <w:p>
      <w:pPr>
        <w:spacing w:after="0" w:line="10"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accrued liabilities and other on the condensed consolidated balance sheets.</w:t>
      </w:r>
    </w:p>
    <w:p>
      <w:pPr>
        <w:spacing w:after="0" w:line="10"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long-term liabilities on the condensed consolidated balance sheets.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Italian MedTech Payback Measure</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2015, the Italian Parliament introduced a law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2024, the Constitutional Court of Italy upheld the payback law, and it entered into force in August 2025. In June 2025, the Italian government introduced a settlement mechanism for 2015-2018 obligations, in which the Company elected to participate. In September 2025, the Company paid €3.5 million ($4.0 million as of September 30, 2026), representing full settlement of its obligations for that period, and reversed the remaining $3.8 million reserve associated with those years. As of September 30, 2026 and December 31, 2025, the Company had a reserve of $14.5 million and $12.8 million, respectively, reflecting its best estimate of the full potential obligation for 2019 to present; however, the actual liability could vary. The reserve is included in accrued liabilities and other in the condensed consolidated balance sheets. Amounts recognized associated with the Italian MedTech payback measure are recorded as a reduction to net revenue in the condensed consolidated statements of income (loss).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Matters</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LivaNova is the subject of various pending or threatened legal actions and proceedings that arise in the ordinary course of LivaNova’s business. These matters are subject to many uncertainties and outcomes that are not predictable and may not be known for extended periods of time. Since the outcome of these matters cannot be predicted with certainty, the costs associated with them could have a material adverse effect on LivaNova’s consolidated results of operations, financial condition, and/or cash flows.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Note 7. Shareholders’ Equity</w:t>
      </w:r>
    </w:p>
    <w:p>
      <w:pPr>
        <w:spacing w:after="0" w:line="11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tables below present the condensed consolidated statements of shareholders’ equity as of and for the three and nine months ended September 30, 2026 and 2025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120" w:type="dxa"/>
            <w:vAlign w:val="bottom"/>
          </w:tcPr>
          <w:p>
            <w:pPr>
              <w:spacing w:after="0"/>
              <w:rPr>
                <w:sz w:val="12"/>
                <w:szCs w:val="12"/>
                <w:color w:val="auto"/>
              </w:rPr>
            </w:pPr>
          </w:p>
        </w:tc>
        <w:tc>
          <w:tcPr>
            <w:tcW w:w="104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8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2026</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55,601</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2,270,699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(1,014,858)</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1,325,322</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62"/>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2,283,983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1,372,071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(1,203,411)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1,122,839</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62"/>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2,245,024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1,157,230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3000" w:type="dxa"/>
            <w:vAlign w:val="bottom"/>
          </w:tcPr>
          <w:p>
            <w:pPr>
              <w:spacing w:after="0"/>
              <w:rPr>
                <w:sz w:val="24"/>
                <w:szCs w:val="24"/>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4"/>
                <w:szCs w:val="24"/>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120" w:type="dxa"/>
            <w:vAlign w:val="bottom"/>
          </w:tcPr>
          <w:p>
            <w:pPr>
              <w:spacing w:after="0"/>
              <w:rPr>
                <w:sz w:val="12"/>
                <w:szCs w:val="12"/>
                <w:color w:val="auto"/>
              </w:rPr>
            </w:pPr>
          </w:p>
        </w:tc>
        <w:tc>
          <w:tcPr>
            <w:tcW w:w="104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2"/>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2,254,980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(1,145,721)</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(1,166)</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1,199,987</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29,510</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165,157</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0" w:type="dxa"/>
            <w:vAlign w:val="bottom"/>
          </w:tcPr>
          <w:p>
            <w:pPr>
              <w:spacing w:after="0"/>
              <w:rPr>
                <w:sz w:val="1"/>
                <w:szCs w:val="1"/>
                <w:color w:val="auto"/>
              </w:rPr>
            </w:pPr>
          </w:p>
        </w:tc>
      </w:tr>
      <w:tr>
        <w:trPr>
          <w:trHeight w:val="261"/>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2,283,983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1,372,071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(903,250)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1,320,258</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24,671</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(273,377)</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0" w:type="dxa"/>
            <w:vAlign w:val="bottom"/>
          </w:tcPr>
          <w:p>
            <w:pPr>
              <w:spacing w:after="0"/>
              <w:rPr>
                <w:sz w:val="1"/>
                <w:szCs w:val="1"/>
                <w:color w:val="auto"/>
              </w:rPr>
            </w:pPr>
          </w:p>
        </w:tc>
      </w:tr>
      <w:tr>
        <w:trPr>
          <w:trHeight w:val="261"/>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2,245,024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1,157,230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The tables below present the changes in AOCI, net of tax, for the nine months ended September 30, 2026 and 2025 (in thousands):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gridSpan w:val="4"/>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0" w:type="dxa"/>
            <w:vAlign w:val="bottom"/>
          </w:tcPr>
          <w:p>
            <w:pPr>
              <w:spacing w:after="0"/>
              <w:rPr>
                <w:sz w:val="1"/>
                <w:szCs w:val="1"/>
                <w:color w:val="auto"/>
              </w:rPr>
            </w:pPr>
          </w:p>
        </w:tc>
      </w:tr>
      <w:tr>
        <w:trPr>
          <w:trHeight w:val="243"/>
        </w:trPr>
        <w:tc>
          <w:tcPr>
            <w:tcW w:w="5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0" w:type="dxa"/>
            <w:vAlign w:val="bottom"/>
          </w:tcPr>
          <w:p>
            <w:pPr>
              <w:spacing w:after="0"/>
              <w:rPr>
                <w:sz w:val="1"/>
                <w:szCs w:val="1"/>
                <w:color w:val="auto"/>
              </w:rPr>
            </w:pPr>
          </w:p>
        </w:tc>
      </w:tr>
      <w:tr>
        <w:trPr>
          <w:trHeight w:val="243"/>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amounts from AOCI, net of tax</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loss, net of tax</w:t>
            </w: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0" w:type="dxa"/>
            <w:vAlign w:val="bottom"/>
          </w:tcPr>
          <w:p>
            <w:pPr>
              <w:spacing w:after="0"/>
              <w:rPr>
                <w:sz w:val="1"/>
                <w:szCs w:val="1"/>
                <w:color w:val="auto"/>
              </w:rPr>
            </w:pPr>
          </w:p>
        </w:tc>
      </w:tr>
      <w:tr>
        <w:trPr>
          <w:trHeight w:val="25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hanging="328"/>
        <w:spacing w:after="0" w:line="232"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Taxes were not provided for foreign currency translation adjustments, as translation adjustments are related to earnings that are intended to be reinvested in the countries where earned.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9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r>
      <w:tr>
        <w:trPr>
          <w:trHeight w:val="179"/>
        </w:trPr>
        <w:tc>
          <w:tcPr>
            <w:tcW w:w="9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50"/>
              <w:spacing w:after="0" w:line="179" w:lineRule="exact"/>
              <w:rPr>
                <w:sz w:val="20"/>
                <w:szCs w:val="20"/>
                <w:color w:val="auto"/>
              </w:rPr>
            </w:pPr>
            <w:r>
              <w:rPr>
                <w:rFonts w:ascii="Times New Roman" w:cs="Times New Roman" w:eastAsia="Times New Roman" w:hAnsi="Times New Roman"/>
                <w:sz w:val="18"/>
                <w:szCs w:val="18"/>
                <w:b w:val="1"/>
                <w:bCs w:val="1"/>
                <w:color w:val="auto"/>
                <w:w w:val="99"/>
              </w:rPr>
              <w:t>Translation</w:t>
            </w:r>
          </w:p>
        </w:tc>
      </w:tr>
      <w:tr>
        <w:trPr>
          <w:trHeight w:val="240"/>
        </w:trPr>
        <w:tc>
          <w:tcPr>
            <w:tcW w:w="95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70"/>
              <w:spacing w:after="0" w:line="240"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r>
      <w:tr>
        <w:trPr>
          <w:trHeight w:val="237"/>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(80,170)</w:t>
            </w:r>
          </w:p>
        </w:tc>
      </w:tr>
      <w:tr>
        <w:trPr>
          <w:trHeight w:val="243"/>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 net of tax</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w:t>
            </w:r>
          </w:p>
        </w:tc>
      </w:tr>
      <w:tr>
        <w:trPr>
          <w:trHeight w:val="243"/>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amounts from AOCI, net of tax</w:t>
            </w:r>
          </w:p>
        </w:tc>
        <w:tc>
          <w:tcPr>
            <w:tcW w:w="1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net of tax</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85,678</w:t>
            </w:r>
          </w:p>
        </w:tc>
      </w:tr>
      <w:tr>
        <w:trPr>
          <w:trHeight w:val="262"/>
        </w:trPr>
        <w:tc>
          <w:tcPr>
            <w:tcW w:w="9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60" w:hanging="328"/>
        <w:spacing w:after="0" w:line="232"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Taxes were not provided for foreign currency translation adjustments, as translation adjustments are related to earnings that are intended to be reinvested in the countries where earned.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Share-Based Incentive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Share-Based Compensation Expense</w:t>
      </w:r>
    </w:p>
    <w:p>
      <w:pPr>
        <w:spacing w:after="0" w:line="11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following table presents the amounts of share-based compensation expense recognized in LivaNova’s condensed consolidated statements of income (loss) by type of arrangement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4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21,004</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Service-based SARs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performance-based RSUs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performance-based RSUs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share purchase plan</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36"/>
        </w:trPr>
        <w:tc>
          <w:tcPr>
            <w:tcW w:w="49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39,707</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26,904</w:t>
            </w:r>
          </w:p>
        </w:tc>
      </w:tr>
      <w:tr>
        <w:trPr>
          <w:trHeight w:val="21"/>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Share-based compensation granted for the nine months ended September 30, 2026, representing potential shares and their weighted average grant date fair values by type, is as follows (shares in thousands, fair value in dollars):</w:t>
      </w:r>
    </w:p>
    <w:p>
      <w:pPr>
        <w:spacing w:after="0" w:line="10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19685</wp:posOffset>
            </wp:positionV>
            <wp:extent cx="25546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14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Weighted Average Grant</w:t>
            </w:r>
          </w:p>
        </w:tc>
        <w:tc>
          <w:tcPr>
            <w:tcW w:w="0" w:type="dxa"/>
            <w:vAlign w:val="bottom"/>
          </w:tcPr>
          <w:p>
            <w:pPr>
              <w:spacing w:after="0"/>
              <w:rPr>
                <w:sz w:val="1"/>
                <w:szCs w:val="1"/>
                <w:color w:val="auto"/>
              </w:rPr>
            </w:pPr>
          </w:p>
        </w:tc>
      </w:tr>
      <w:tr>
        <w:trPr>
          <w:trHeight w:val="243"/>
        </w:trPr>
        <w:tc>
          <w:tcPr>
            <w:tcW w:w="72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3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4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0" w:type="dxa"/>
            <w:vAlign w:val="bottom"/>
          </w:tcPr>
          <w:p>
            <w:pPr>
              <w:spacing w:after="0"/>
              <w:rPr>
                <w:sz w:val="1"/>
                <w:szCs w:val="1"/>
                <w:color w:val="auto"/>
              </w:rPr>
            </w:pPr>
          </w:p>
        </w:tc>
      </w:tr>
      <w:tr>
        <w:trPr>
          <w:trHeight w:val="312"/>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Performance-based RSUs </w:t>
            </w:r>
            <w:r>
              <w:rPr>
                <w:rFonts w:ascii="Times New Roman" w:cs="Times New Roman" w:eastAsia="Times New Roman" w:hAnsi="Times New Roman"/>
                <w:sz w:val="23"/>
                <w:szCs w:val="23"/>
                <w:color w:val="auto"/>
                <w:vertAlign w:val="superscript"/>
              </w:rPr>
              <w:t>(1) (2)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left="660" w:hanging="328"/>
        <w:spacing w:after="0" w:line="242"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Awards cliff vest after three years and are subject to performance conditions, including the rank of LivaNova’s total shareholder return for the three-year period ending December 31, 2028 relative to the total shareholder returns of the S&amp;P Healthcare Equipment Select Constituents index, as well as the achievement of specified cumulative revenue growth and adjusted earnings per share performance thresholds.</w:t>
      </w:r>
    </w:p>
    <w:p>
      <w:pPr>
        <w:ind w:left="660" w:hanging="328"/>
        <w:spacing w:after="0" w:line="228"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shares based on an assumed 100% performance achievement. Performance-based RSU awards have a minimum and maximum possible achievement level of 0% and 200%,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Income Taxes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LivaNova’s effective income tax rate for the three and nine months ended September 30, 2026 was 26.5% and (79.2)%, respectively, compared to 21.0% and (10.0)% for the three and nine months ended September 30, 2025, respectively. The changes in the effective tax rates for the three and nine months ended September 30, 2026, compared to the prior year period, were primarily attributable to year-over-year changes in income before income tax in countries with varying statutory tax rates, certain discrete tax items, including the SNIA environmental liability recognized in 2025 and the discrete tax benefit resulting from the Italian tax ruling recognized in 2026 (further described below), and changes in valuation allowances.</w:t>
      </w:r>
    </w:p>
    <w:p>
      <w:pPr>
        <w:spacing w:after="0" w:line="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considers all available evidence (both positive and negative) in determining whether a valuation allowance is required on deferred tax assets. Depending on operating results in the future, a release of a valuation allowance could occur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0" w:name="page21"/>
    <w:bookmarkEnd w:id="20"/>
    <w:p>
      <w:pPr>
        <w:jc w:val="both"/>
        <w:spacing w:after="0" w:line="297" w:lineRule="auto"/>
        <w:rPr>
          <w:sz w:val="20"/>
          <w:szCs w:val="20"/>
          <w:color w:val="auto"/>
        </w:rPr>
      </w:pPr>
      <w:r>
        <w:rPr>
          <w:rFonts w:ascii="Times New Roman" w:cs="Times New Roman" w:eastAsia="Times New Roman" w:hAnsi="Times New Roman"/>
          <w:sz w:val="18"/>
          <w:szCs w:val="18"/>
          <w:color w:val="auto"/>
        </w:rPr>
        <w:t>within the next 12 months. The timing and amount of the valuation allowance release could vary based on the Company’s assessment of all available evidence.</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May 2026, the Italian tax authority, Agenzia delle Entrate, issued a ruling on the deductibility of the SNIA environmental liability expense, resulting in a discrete tax benefit for the nine months ended September 30, 2026 of €81.8 million ($95.0 million) and an estimated deferred tax asset of €80.0 million ($92.8 million), as of September 30, 2026. LivaNova determined that the Italian deferred tax assets are more likely than not realizable and, accordingly, did not record a valuation allowance.</w:t>
      </w:r>
    </w:p>
    <w:p>
      <w:pPr>
        <w:spacing w:after="0" w:line="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OBBBA was enacted in the U.S. in July 2025 and includes significant provisions, such as the permanent extension of certain expiring provisions of the Tax Cuts and Jobs Act, modifications to the international tax framework, and the restoration of favorable tax treatment for certain business provisions. LivaNova has accounted for the relevant changes within its annual effective tax rate and cash taxes.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Earnings (Loss) Per Share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basic and diluted earnings (loss)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6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9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49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4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reconciliations of net income (loss) and weighted average shares outstanding used in the calculations of basic and diluted earnings (loss) per share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7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5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 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165,157</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(273,377)</w:t>
            </w:r>
          </w:p>
        </w:tc>
      </w:tr>
      <w:tr>
        <w:trPr>
          <w:trHeight w:val="189"/>
        </w:trPr>
        <w:tc>
          <w:tcPr>
            <w:tcW w:w="50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Less: Gain on 2029 Notes conversion option change in fair value,</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3"/>
        </w:trPr>
        <w:tc>
          <w:tcPr>
            <w:tcW w:w="502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 xml:space="preserve">net of tax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 diluted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54,529</w:t>
            </w:r>
          </w:p>
        </w:tc>
      </w:tr>
      <w:tr>
        <w:trPr>
          <w:trHeight w:val="243"/>
        </w:trPr>
        <w:tc>
          <w:tcPr>
            <w:tcW w:w="5020" w:type="dxa"/>
            <w:vAlign w:val="bottom"/>
            <w:shd w:val="clear" w:color="auto" w:fill="CCEEFF"/>
          </w:tcPr>
          <w:p>
            <w:pPr>
              <w:ind w:left="40"/>
              <w:spacing w:after="0" w:line="243" w:lineRule="exact"/>
              <w:rPr>
                <w:sz w:val="20"/>
                <w:szCs w:val="20"/>
                <w:color w:val="auto"/>
              </w:rPr>
            </w:pPr>
            <w:r>
              <w:rPr>
                <w:rFonts w:ascii="Times New Roman" w:cs="Times New Roman" w:eastAsia="Times New Roman" w:hAnsi="Times New Roman"/>
                <w:sz w:val="18"/>
                <w:szCs w:val="18"/>
                <w:color w:val="auto"/>
              </w:rPr>
              <w:t xml:space="preserve">Add: Dilutive effect of share-based compensation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 xml:space="preserve">Add: Dilutive effect of convertible debt instrument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660" w:hanging="328"/>
        <w:spacing w:after="0" w:line="242"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September 30, 2025, and for the nine months ended September 30, 2026 and 2025, the 2029 Notes were outstanding and potentially dilutive securities but were excluded from the computation of diluted earnings (loss) per share because their effect would have been anti-dilutive under the if-converted method. Anti-dilution from the 2029 Notes was 0.2 million shares for the nine months ended September 30, 2026.</w:t>
      </w:r>
    </w:p>
    <w:p>
      <w:pPr>
        <w:jc w:val="both"/>
        <w:ind w:left="660" w:hanging="328"/>
        <w:spacing w:after="0" w:line="239"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Excluded from the computation of diluted earnings (loss) per share were shares underlying stock options, SARs, and RSUs totaling 0.1 million and 0.5 million for the three months ended September 30, 2026 and 2025, respectively, and 0.1 million and 2.6 million for the nine months ended September 30, 2026 and 2025, respectively, because to include them would have been anti-dilutive under the treasury stock method.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Note 11. Segment and Geographic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Information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LivaNova identifies operating segments based on how it manages, evaluates, and internally reports its business activities to allocate resources, develop and execute its strategy, and assess performance. LivaNova has two reportable segments: Cardiopulmonary and Neuromodulation.</w:t>
      </w:r>
    </w:p>
    <w:p>
      <w:pPr>
        <w:spacing w:after="0" w:line="6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LivaNova’s Neuromodulation segment is engaged in the design, development, manufacture, marketing, and sale of devices that deliver neuromodulation therapy for treating DRE and DTD. Neuromodulation products include the VNS Therapy System, which consists of an implantable pulse generator, a lead that connects the generator to the vagus nerve, and other accessories. This segment also includes the design and development of neurostimulation devices for treating OSA.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by operating segment and geographic region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7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6"/>
        </w:trPr>
        <w:tc>
          <w:tcPr>
            <w:tcW w:w="5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80,407</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222,479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204,023</w:t>
            </w:r>
          </w:p>
        </w:tc>
      </w:tr>
      <w:tr>
        <w:trPr>
          <w:trHeight w:val="243"/>
        </w:trPr>
        <w:tc>
          <w:tcPr>
            <w:tcW w:w="502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176,324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143,605</w:t>
            </w:r>
          </w:p>
        </w:tc>
      </w:tr>
      <w:tr>
        <w:trPr>
          <w:trHeight w:val="243"/>
        </w:trPr>
        <w:tc>
          <w:tcPr>
            <w:tcW w:w="50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87,836</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256,732</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231,182</w:t>
            </w:r>
          </w:p>
        </w:tc>
      </w:tr>
      <w:tr>
        <w:trPr>
          <w:trHeight w:val="237"/>
        </w:trPr>
        <w:tc>
          <w:tcPr>
            <w:tcW w:w="50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225,304</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655,535</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578,810</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372,693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343,950</w:t>
            </w:r>
          </w:p>
        </w:tc>
      </w:tr>
      <w:tr>
        <w:trPr>
          <w:trHeight w:val="243"/>
        </w:trPr>
        <w:tc>
          <w:tcPr>
            <w:tcW w:w="50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47,445</w:t>
            </w:r>
          </w:p>
        </w:tc>
      </w:tr>
      <w:tr>
        <w:trPr>
          <w:trHeight w:val="243"/>
        </w:trPr>
        <w:tc>
          <w:tcPr>
            <w:tcW w:w="5020" w:type="dxa"/>
            <w:vAlign w:val="bottom"/>
            <w:tcBorders>
              <w:bottom w:val="single" w:sz="8" w:color="CCEEFF"/>
            </w:tcBorders>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18,782</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48,693</w:t>
            </w:r>
          </w:p>
        </w:tc>
      </w:tr>
      <w:tr>
        <w:trPr>
          <w:trHeight w:val="236"/>
        </w:trPr>
        <w:tc>
          <w:tcPr>
            <w:tcW w:w="50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166,127</w:t>
            </w:r>
          </w:p>
        </w:tc>
        <w:tc>
          <w:tcPr>
            <w:tcW w:w="12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149,525</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484,860</w:t>
            </w:r>
          </w:p>
        </w:tc>
        <w:tc>
          <w:tcPr>
            <w:tcW w:w="12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440,088</w:t>
            </w:r>
          </w:p>
        </w:tc>
      </w:tr>
      <w:tr>
        <w:trPr>
          <w:trHeight w:val="237"/>
        </w:trPr>
        <w:tc>
          <w:tcPr>
            <w:tcW w:w="5020" w:type="dxa"/>
            <w:vAlign w:val="bottom"/>
            <w:tcBorders>
              <w:bottom w:val="single" w:sz="8" w:color="CCEEFF"/>
            </w:tcBorders>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Other revenue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8,234</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211,144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595,172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548,085</w:t>
            </w:r>
          </w:p>
        </w:tc>
      </w:tr>
      <w:tr>
        <w:trPr>
          <w:trHeight w:val="243"/>
        </w:trPr>
        <w:tc>
          <w:tcPr>
            <w:tcW w:w="50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73,671</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231,140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194,160</w:t>
            </w:r>
          </w:p>
        </w:tc>
      </w:tr>
      <w:tr>
        <w:trPr>
          <w:trHeight w:val="243"/>
        </w:trPr>
        <w:tc>
          <w:tcPr>
            <w:tcW w:w="5020" w:type="dxa"/>
            <w:vAlign w:val="bottom"/>
            <w:tcBorders>
              <w:bottom w:val="single" w:sz="8" w:color="CCEEFF"/>
            </w:tcBorders>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108,333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319,681</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284,887</w:t>
            </w:r>
          </w:p>
        </w:tc>
      </w:tr>
      <w:tr>
        <w:trPr>
          <w:trHeight w:val="262"/>
        </w:trPr>
        <w:tc>
          <w:tcPr>
            <w:tcW w:w="5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1,145,993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1,027,132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60" w:hanging="328"/>
        <w:spacing w:after="0" w:line="232"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Times New Roman" w:cs="Times New Roman" w:eastAsia="Times New Roman" w:hAnsi="Times New Roman"/>
          <w:sz w:val="21"/>
          <w:szCs w:val="21"/>
          <w:color w:val="auto"/>
          <w:vertAlign w:val="superscript"/>
        </w:rPr>
      </w:pPr>
    </w:p>
    <w:p>
      <w:pPr>
        <w:jc w:val="both"/>
        <w:ind w:left="660" w:hanging="328"/>
        <w:spacing w:after="0" w:line="239"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revenue” includes rental and site services income not allocated to segments. In addition, for the three and nine months ended September 30, 2025, “Other revenue” includes $3.1 million from a reduction in the reserve associated with the Italian MedTech payback measure related to product sales of previously divested businesses. For additional information, refer to “Note 6. Commitments and Contingencies.”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LivaNova defines segment income as operating income before restructuring expense, amortization of intangible assets, the Saluggia site provision, merger and integration expense, and other income and expense not allocated to segments. Other income and expense not allocated to segments primarily includes corporate expense and rental income. LivaNova’s CODM is the Company’s CEO, who is regularly provided the results comprising segment income to make strategic business decisions, including, but not limited to, evaluation of the Company’s business portfolio, R&amp;D investment decisions, and consideration of the Company’s organizational structure.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income to consolidated income (loss) before income tax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7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50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80,796</w:t>
            </w: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62,134</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167,223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164,558</w:t>
            </w: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69,712</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233,020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245,354</w:t>
            </w: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(113,640)</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(88,542)</w:t>
            </w:r>
          </w:p>
        </w:tc>
      </w:tr>
      <w:tr>
        <w:trPr>
          <w:trHeight w:val="237"/>
        </w:trPr>
        <w:tc>
          <w:tcPr>
            <w:tcW w:w="5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156,812</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(363,815)</w:t>
            </w:r>
          </w:p>
        </w:tc>
      </w:tr>
      <w:tr>
        <w:trPr>
          <w:trHeight w:val="243"/>
        </w:trPr>
        <w:tc>
          <w:tcPr>
            <w:tcW w:w="50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(41,080)</w:t>
            </w: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26,301</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62"/>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(248,415)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60" w:right="20" w:hanging="328"/>
        <w:spacing w:after="0" w:line="243"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expense” includes contractual interest expense associated with LivaNova’s short- and long-term financing arrangements and the amortization of debt discount and issuance costs of $5.1 million and $5.9 million for the three months ended September 30, 2026 and 2025, respectively, and $14.8 million and $17.3 million for the nine months ended September 30, 2026 and 2025,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segment income, including significant expenses, of LivaNova’s reportable segments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Neuromodulation</w:t>
            </w:r>
          </w:p>
        </w:tc>
      </w:tr>
      <w:tr>
        <w:trPr>
          <w:trHeight w:val="183"/>
        </w:trPr>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gridSpan w:val="5"/>
          </w:tcPr>
          <w:p>
            <w:pPr>
              <w:jc w:val="center"/>
              <w:ind w:right="4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5"/>
                <w:szCs w:val="15"/>
                <w:color w:val="auto"/>
              </w:rPr>
            </w:pPr>
          </w:p>
        </w:tc>
        <w:tc>
          <w:tcPr>
            <w:tcW w:w="2760" w:type="dxa"/>
            <w:vAlign w:val="bottom"/>
            <w:gridSpan w:val="4"/>
          </w:tcPr>
          <w:p>
            <w:pPr>
              <w:jc w:val="center"/>
              <w:ind w:right="2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4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49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225,304</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149,525</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49,937</w:t>
            </w: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30,710</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3T litigation provision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496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93"/>
        </w:trPr>
        <w:tc>
          <w:tcPr>
            <w:tcW w:w="49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Neuromodulation</w:t>
            </w:r>
          </w:p>
        </w:tc>
      </w:tr>
      <w:tr>
        <w:trPr>
          <w:trHeight w:val="183"/>
        </w:trPr>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gridSpan w:val="5"/>
          </w:tcPr>
          <w:p>
            <w:pPr>
              <w:jc w:val="center"/>
              <w:ind w:right="5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40" w:type="dxa"/>
            <w:vAlign w:val="bottom"/>
          </w:tcPr>
          <w:p>
            <w:pPr>
              <w:spacing w:after="0"/>
              <w:rPr>
                <w:sz w:val="15"/>
                <w:szCs w:val="15"/>
                <w:color w:val="auto"/>
              </w:rPr>
            </w:pPr>
          </w:p>
        </w:tc>
        <w:tc>
          <w:tcPr>
            <w:tcW w:w="2760" w:type="dxa"/>
            <w:vAlign w:val="bottom"/>
            <w:gridSpan w:val="4"/>
          </w:tcPr>
          <w:p>
            <w:pPr>
              <w:jc w:val="center"/>
              <w:ind w:right="2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4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49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655,535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578,810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484,860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440,088</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302,680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40,848</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187,698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148,604</w:t>
            </w: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86,078</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3T litigation provision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496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6"/>
        </w:trPr>
        <w:tc>
          <w:tcPr>
            <w:tcW w:w="496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presents assets by reportable segment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7"/>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1,082,181</w:t>
            </w: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1,045,189</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639,742</w:t>
            </w:r>
          </w:p>
        </w:tc>
        <w:tc>
          <w:tcPr>
            <w:tcW w:w="0" w:type="dxa"/>
            <w:vAlign w:val="bottom"/>
          </w:tcPr>
          <w:p>
            <w:pPr>
              <w:spacing w:after="0"/>
              <w:rPr>
                <w:sz w:val="1"/>
                <w:szCs w:val="1"/>
                <w:color w:val="auto"/>
              </w:rPr>
            </w:pPr>
          </w:p>
        </w:tc>
      </w:tr>
      <w:tr>
        <w:trPr>
          <w:trHeight w:val="243"/>
        </w:trPr>
        <w:tc>
          <w:tcPr>
            <w:tcW w:w="49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980,686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921,122</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2,713,124</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2,606,053</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auto"/>
              </w:rPr>
              <w:t>(1)</w:t>
            </w:r>
          </w:p>
        </w:tc>
        <w:tc>
          <w:tcPr>
            <w:tcW w:w="5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“Other assets” primarily include corporate assets not allocated to segments.</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540" w:type="dxa"/>
            <w:vAlign w:val="bottom"/>
            <w:vMerge w:val="continue"/>
          </w:tcPr>
          <w:p>
            <w:pPr>
              <w:spacing w:after="0"/>
              <w:rPr>
                <w:sz w:val="24"/>
                <w:szCs w:val="24"/>
                <w:color w:val="auto"/>
              </w:rPr>
            </w:pPr>
          </w:p>
        </w:tc>
        <w:tc>
          <w:tcPr>
            <w:tcW w:w="50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540" w:type="dxa"/>
            <w:vAlign w:val="bottom"/>
          </w:tcPr>
          <w:p>
            <w:pPr>
              <w:spacing w:after="0"/>
              <w:rPr>
                <w:sz w:val="6"/>
                <w:szCs w:val="6"/>
                <w:color w:val="auto"/>
              </w:rPr>
            </w:pPr>
          </w:p>
        </w:tc>
        <w:tc>
          <w:tcPr>
            <w:tcW w:w="50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following table presents capital expenditures by segment (in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920" w:type="dxa"/>
            <w:vAlign w:val="bottom"/>
            <w:gridSpan w:val="7"/>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7"/>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35,251</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color w:val="auto"/>
              </w:rPr>
              <w:t>23,840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0" w:type="dxa"/>
            <w:vAlign w:val="bottom"/>
          </w:tcPr>
          <w:p>
            <w:pPr>
              <w:spacing w:after="0"/>
              <w:rPr>
                <w:sz w:val="1"/>
                <w:szCs w:val="1"/>
                <w:color w:val="auto"/>
              </w:rPr>
            </w:pPr>
          </w:p>
        </w:tc>
      </w:tr>
      <w:tr>
        <w:trPr>
          <w:trHeight w:val="243"/>
        </w:trPr>
        <w:tc>
          <w:tcPr>
            <w:tcW w:w="49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capital expenditures </w:t>
            </w:r>
            <w:r>
              <w:rPr>
                <w:rFonts w:ascii="Times New Roman" w:cs="Times New Roman" w:eastAsia="Times New Roman" w:hAnsi="Times New Roman"/>
                <w:sz w:val="23"/>
                <w:szCs w:val="23"/>
                <w:color w:val="auto"/>
                <w:vertAlign w:val="superscript"/>
              </w:rPr>
              <w:t>(1)</w:t>
            </w: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4"/>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21,458</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29,291</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23,384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4"/>
          </w:tcPr>
          <w:p>
            <w:pPr>
              <w:jc w:val="center"/>
              <w:ind w:left="610"/>
              <w:spacing w:after="0"/>
              <w:rPr>
                <w:sz w:val="20"/>
                <w:szCs w:val="20"/>
                <w:color w:val="auto"/>
              </w:rPr>
            </w:pPr>
            <w:r>
              <w:rPr>
                <w:rFonts w:ascii="Times New Roman" w:cs="Times New Roman" w:eastAsia="Times New Roman" w:hAnsi="Times New Roman"/>
                <w:sz w:val="18"/>
                <w:szCs w:val="18"/>
                <w:color w:val="auto"/>
              </w:rPr>
              <w:t>80,549</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51,061</w:t>
            </w: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capital expenditures” primarily includes corporate capital expenditures not allocated to segments.</w:t>
      </w:r>
    </w:p>
    <w:p>
      <w:pPr>
        <w:spacing w:after="0" w:line="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carrying amount of goodwill by reportable segment for the nine months ended September 30, 2026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440" w:type="dxa"/>
            <w:vAlign w:val="bottom"/>
          </w:tcPr>
          <w:p>
            <w:pPr>
              <w:spacing w:after="0"/>
              <w:rPr>
                <w:sz w:val="20"/>
                <w:szCs w:val="20"/>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394,086</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792,840</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00" w:type="dxa"/>
            <w:vAlign w:val="bottom"/>
          </w:tcPr>
          <w:p>
            <w:pPr>
              <w:spacing w:after="0"/>
              <w:rPr>
                <w:sz w:val="21"/>
                <w:szCs w:val="21"/>
                <w:color w:val="auto"/>
              </w:rPr>
            </w:pP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(14,035)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(14,035)</w:t>
            </w:r>
          </w:p>
        </w:tc>
      </w:tr>
      <w:tr>
        <w:trPr>
          <w:trHeight w:val="261"/>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380,051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778,805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Geographic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property, plant, and equipment, net by geographic region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7"/>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79,499</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147,303</w:t>
            </w:r>
          </w:p>
        </w:tc>
      </w:tr>
      <w:tr>
        <w:trPr>
          <w:trHeight w:val="24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w:t>
            </w:r>
          </w:p>
        </w:tc>
      </w:tr>
      <w:tr>
        <w:trPr>
          <w:trHeight w:val="237"/>
        </w:trPr>
        <w:tc>
          <w:tcPr>
            <w:tcW w:w="7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293,322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242,603</w:t>
            </w: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Supplemental Financial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inventories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7"/>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w:t>
            </w:r>
          </w:p>
        </w:tc>
      </w:tr>
      <w:tr>
        <w:trPr>
          <w:trHeight w:val="24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76,026</w:t>
            </w:r>
          </w:p>
        </w:tc>
      </w:tr>
      <w:tr>
        <w:trPr>
          <w:trHeight w:val="236"/>
        </w:trPr>
        <w:tc>
          <w:tcPr>
            <w:tcW w:w="7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177,881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164,701</w:t>
            </w:r>
          </w:p>
        </w:tc>
      </w:tr>
      <w:tr>
        <w:trPr>
          <w:trHeight w:val="21"/>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of September 30, 2026 and December 31, 2025, inventories included adjustments totaling $20.6 million and $18.0 million, respectively, to record balances at the lower of cost or net realizable value.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accrued liabilities and other (in thousands):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1"/>
        </w:trPr>
        <w:tc>
          <w:tcPr>
            <w:tcW w:w="7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7"/>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professional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17,467</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18,396</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Italian MedTech payback measure</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w:t>
            </w:r>
          </w:p>
        </w:tc>
      </w:tr>
      <w:tr>
        <w:trPr>
          <w:trHeight w:val="243"/>
        </w:trPr>
        <w:tc>
          <w:tcPr>
            <w:tcW w:w="72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Product liability litigation provision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w:t>
            </w:r>
          </w:p>
        </w:tc>
      </w:tr>
      <w:tr>
        <w:trPr>
          <w:trHeight w:val="24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accrual</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r>
      <w:tr>
        <w:trPr>
          <w:trHeight w:val="24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Provisions for agents, returns, and other</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Tariff refund payable</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r>
      <w:tr>
        <w:trPr>
          <w:trHeight w:val="243"/>
        </w:trPr>
        <w:tc>
          <w:tcPr>
            <w:tcW w:w="72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Current derivative liabilities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26,989</w:t>
            </w:r>
          </w:p>
        </w:tc>
      </w:tr>
      <w:tr>
        <w:trPr>
          <w:trHeight w:val="262"/>
        </w:trPr>
        <w:tc>
          <w:tcPr>
            <w:tcW w:w="7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6. Commitments and Contingencies.”</w:t>
      </w:r>
    </w:p>
    <w:p>
      <w:pPr>
        <w:spacing w:after="0" w:line="10"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3. Derivatives and Risk Management.”</w:t>
      </w:r>
    </w:p>
    <w:p>
      <w:pPr>
        <w:spacing w:after="0" w:line="96"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As of September 30, 2026 and December 31, 2025, contract liabilities totaling $20.1 million and $17.9 million, respectively, were included in accrued liabilities and other long-term liabilities in the condensed consolidated balance sheets.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items included in foreign exchange and other income/(expense) on the condensed consolidated statements of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49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96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Fair value adjustment - 2029 Embedded Derivative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28,152</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w:t>
            </w:r>
          </w:p>
        </w:tc>
      </w:tr>
      <w:tr>
        <w:trPr>
          <w:trHeight w:val="243"/>
        </w:trPr>
        <w:tc>
          <w:tcPr>
            <w:tcW w:w="49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Fair value adjustment - 2029 Capped Calls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43"/>
        </w:trPr>
        <w:tc>
          <w:tcPr>
            <w:tcW w:w="49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Gain on sale of investment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14,525</w:t>
            </w: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fluctuations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investment</w:t>
            </w: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43"/>
        </w:trPr>
        <w:tc>
          <w:tcPr>
            <w:tcW w:w="49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Investment revaluation - Ceribell, Inc.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r>
      <w:tr>
        <w:trPr>
          <w:trHeight w:val="243"/>
        </w:trPr>
        <w:tc>
          <w:tcPr>
            <w:tcW w:w="49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Fair value adjustment - 2025 Embedded Derivative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43"/>
        </w:trPr>
        <w:tc>
          <w:tcPr>
            <w:tcW w:w="49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Fair value adjustment - 2025 Capped Calls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4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62"/>
        </w:trPr>
        <w:tc>
          <w:tcPr>
            <w:tcW w:w="4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4. Fair Value Measurements.”</w:t>
      </w:r>
    </w:p>
    <w:p>
      <w:pPr>
        <w:spacing w:after="0" w:line="10" w:lineRule="exact"/>
        <w:rPr>
          <w:rFonts w:ascii="Times New Roman" w:cs="Times New Roman" w:eastAsia="Times New Roman" w:hAnsi="Times New Roman"/>
          <w:sz w:val="21"/>
          <w:szCs w:val="21"/>
          <w:color w:val="auto"/>
          <w:vertAlign w:val="superscript"/>
        </w:rPr>
      </w:pPr>
    </w:p>
    <w:p>
      <w:pPr>
        <w:ind w:left="660" w:hanging="328"/>
        <w:spacing w:after="0" w:line="222"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June 2026, one of LivaNova’s equity investments was acquired by a third party, resulting in consideration of $17.1 million and the recognition of a gain on sale of $13.6 million for the nine months ended September 30, 2026.</w:t>
      </w:r>
    </w:p>
    <w:p>
      <w:pPr>
        <w:spacing w:after="0" w:line="1" w:lineRule="exact"/>
        <w:rPr>
          <w:rFonts w:ascii="Times New Roman" w:cs="Times New Roman" w:eastAsia="Times New Roman" w:hAnsi="Times New Roman"/>
          <w:sz w:val="21"/>
          <w:szCs w:val="21"/>
          <w:color w:val="auto"/>
          <w:vertAlign w:val="superscript"/>
        </w:rPr>
      </w:pPr>
    </w:p>
    <w:p>
      <w:pPr>
        <w:ind w:left="660" w:hanging="328"/>
        <w:spacing w:after="0" w:line="228"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nine months ended September 30, 2025, LivaNova liquidated its investment in Ceribell, Inc., consisting of 391,952 common shares, in a series of transactions with an average sales price of $16.69 per common share, resulting in net proceeds of $6.5 million from an initial investment in 2018 of $3.0 million.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 presents supplemental information to the condensed consolidated statements of cash flows (in thousands):</w:t>
      </w:r>
    </w:p>
    <w:p>
      <w:pPr>
        <w:spacing w:after="0" w:line="173"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ind w:left="91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13335</wp:posOffset>
            </wp:positionV>
            <wp:extent cx="1954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investing and financing transactions: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 from sale of investment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obtained in exchange for operating lease obligations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9,898</w:t>
            </w:r>
          </w:p>
        </w:tc>
      </w:tr>
      <w:tr>
        <w:trPr>
          <w:trHeight w:val="24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New Accounting Pronouncements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description of future adoptions of new ASUs issued by the FASB that may have an impact on LivaNova’s consolidated financial statements when adopted: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Issue Date &amp; Standard</w:t>
            </w:r>
          </w:p>
        </w:tc>
        <w:tc>
          <w:tcPr>
            <w:tcW w:w="100" w:type="dxa"/>
            <w:vAlign w:val="bottom"/>
            <w:tcBorders>
              <w:bottom w:val="single" w:sz="8" w:color="CCEEFF"/>
            </w:tcBorders>
          </w:tcPr>
          <w:p>
            <w:pPr>
              <w:spacing w:after="0"/>
              <w:rPr>
                <w:sz w:val="20"/>
                <w:szCs w:val="20"/>
                <w:color w:val="auto"/>
              </w:rPr>
            </w:pPr>
          </w:p>
        </w:tc>
        <w:tc>
          <w:tcPr>
            <w:tcW w:w="38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1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Assessment</w:t>
            </w:r>
          </w:p>
        </w:tc>
      </w:tr>
      <w:tr>
        <w:trPr>
          <w:trHeight w:val="170"/>
        </w:trPr>
        <w:tc>
          <w:tcPr>
            <w:tcW w:w="248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November 2024 ASU No. 2024-</w:t>
            </w:r>
          </w:p>
        </w:tc>
        <w:tc>
          <w:tcPr>
            <w:tcW w:w="398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This ASU requires disclosure in the notes to financial</w:t>
            </w:r>
          </w:p>
        </w:tc>
        <w:tc>
          <w:tcPr>
            <w:tcW w:w="282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This ASU will be effective for annual</w:t>
            </w:r>
          </w:p>
        </w:tc>
        <w:tc>
          <w:tcPr>
            <w:tcW w:w="19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LivaNova is currently</w:t>
            </w:r>
          </w:p>
        </w:tc>
      </w:tr>
      <w:tr>
        <w:trPr>
          <w:trHeight w:val="174"/>
        </w:trPr>
        <w:tc>
          <w:tcPr>
            <w:tcW w:w="24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 xml:space="preserve">03, </w:t>
            </w:r>
            <w:r>
              <w:rPr>
                <w:rFonts w:ascii="Times New Roman" w:cs="Times New Roman" w:eastAsia="Times New Roman" w:hAnsi="Times New Roman"/>
                <w:sz w:val="17"/>
                <w:szCs w:val="17"/>
                <w:i w:val="1"/>
                <w:iCs w:val="1"/>
                <w:color w:val="auto"/>
              </w:rPr>
              <w:t>Income Statement—Reporting</w:t>
            </w:r>
          </w:p>
        </w:tc>
        <w:tc>
          <w:tcPr>
            <w:tcW w:w="39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statements of additional information disaggregating</w:t>
            </w:r>
          </w:p>
        </w:tc>
        <w:tc>
          <w:tcPr>
            <w:tcW w:w="28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periods beginning after December 15,</w:t>
            </w:r>
          </w:p>
        </w:tc>
        <w:tc>
          <w:tcPr>
            <w:tcW w:w="1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evaluating the effect this</w:t>
            </w:r>
          </w:p>
        </w:tc>
      </w:tr>
      <w:tr>
        <w:trPr>
          <w:trHeight w:val="163"/>
        </w:trPr>
        <w:tc>
          <w:tcPr>
            <w:tcW w:w="24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Comprehensive Income—Expense</w:t>
            </w:r>
          </w:p>
        </w:tc>
        <w:tc>
          <w:tcPr>
            <w:tcW w:w="39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specific expense categories underlying certain income</w:t>
            </w:r>
          </w:p>
        </w:tc>
        <w:tc>
          <w:tcPr>
            <w:tcW w:w="282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2026, and interim periods beginning</w:t>
            </w:r>
          </w:p>
        </w:tc>
        <w:tc>
          <w:tcPr>
            <w:tcW w:w="19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standard will have on the</w:t>
            </w:r>
          </w:p>
        </w:tc>
      </w:tr>
      <w:tr>
        <w:trPr>
          <w:trHeight w:val="176"/>
        </w:trPr>
        <w:tc>
          <w:tcPr>
            <w:tcW w:w="24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i w:val="1"/>
                <w:iCs w:val="1"/>
                <w:color w:val="auto"/>
              </w:rPr>
              <w:t>Disaggregation Disclosures</w:t>
            </w:r>
          </w:p>
        </w:tc>
        <w:tc>
          <w:tcPr>
            <w:tcW w:w="3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statement expense line items, including employee</w:t>
            </w:r>
          </w:p>
        </w:tc>
        <w:tc>
          <w:tcPr>
            <w:tcW w:w="28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after December 15, 2027. This ASU</w:t>
            </w:r>
          </w:p>
        </w:tc>
        <w:tc>
          <w:tcPr>
            <w:tcW w:w="1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Company’s consolidated</w:t>
            </w:r>
          </w:p>
        </w:tc>
      </w:tr>
      <w:tr>
        <w:trPr>
          <w:trHeight w:val="174"/>
        </w:trPr>
        <w:tc>
          <w:tcPr>
            <w:tcW w:w="24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(Subtopic 220-40):</w:t>
            </w:r>
          </w:p>
        </w:tc>
        <w:tc>
          <w:tcPr>
            <w:tcW w:w="39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compensation, depreciation, and intangible asset</w:t>
            </w:r>
          </w:p>
        </w:tc>
        <w:tc>
          <w:tcPr>
            <w:tcW w:w="28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may be applied on either a prospective</w:t>
            </w:r>
          </w:p>
        </w:tc>
        <w:tc>
          <w:tcPr>
            <w:tcW w:w="1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financial statements and</w:t>
            </w:r>
          </w:p>
        </w:tc>
      </w:tr>
      <w:tr>
        <w:trPr>
          <w:trHeight w:val="163"/>
        </w:trPr>
        <w:tc>
          <w:tcPr>
            <w:tcW w:w="24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Disaggregation of Income</w:t>
            </w:r>
          </w:p>
        </w:tc>
        <w:tc>
          <w:tcPr>
            <w:tcW w:w="39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amortization, as well as certain other disclosures to</w:t>
            </w:r>
          </w:p>
        </w:tc>
        <w:tc>
          <w:tcPr>
            <w:tcW w:w="282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or retrospective basis, with early</w:t>
            </w:r>
          </w:p>
        </w:tc>
        <w:tc>
          <w:tcPr>
            <w:tcW w:w="19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related disclosures.</w:t>
            </w:r>
          </w:p>
        </w:tc>
      </w:tr>
      <w:tr>
        <w:trPr>
          <w:trHeight w:val="179"/>
        </w:trPr>
        <w:tc>
          <w:tcPr>
            <w:tcW w:w="24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7"/>
                <w:szCs w:val="17"/>
                <w:i w:val="1"/>
                <w:iCs w:val="1"/>
                <w:color w:val="auto"/>
              </w:rPr>
              <w:t>Statement Expenses</w:t>
            </w:r>
          </w:p>
        </w:tc>
        <w:tc>
          <w:tcPr>
            <w:tcW w:w="39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7"/>
                <w:szCs w:val="17"/>
                <w:color w:val="auto"/>
              </w:rPr>
              <w:t>provide enhanced transparency into the nature and</w:t>
            </w:r>
          </w:p>
        </w:tc>
        <w:tc>
          <w:tcPr>
            <w:tcW w:w="28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7"/>
                <w:szCs w:val="17"/>
                <w:color w:val="auto"/>
              </w:rPr>
              <w:t>adoption permitted.</w:t>
            </w:r>
          </w:p>
        </w:tc>
        <w:tc>
          <w:tcPr>
            <w:tcW w:w="1960" w:type="dxa"/>
            <w:vAlign w:val="bottom"/>
            <w:shd w:val="clear" w:color="auto" w:fill="CCEEFF"/>
          </w:tcPr>
          <w:p>
            <w:pPr>
              <w:spacing w:after="0"/>
              <w:rPr>
                <w:sz w:val="15"/>
                <w:szCs w:val="15"/>
                <w:color w:val="auto"/>
              </w:rPr>
            </w:pPr>
          </w:p>
        </w:tc>
      </w:tr>
      <w:tr>
        <w:trPr>
          <w:trHeight w:val="224"/>
        </w:trPr>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function of expenses.</w:t>
            </w:r>
          </w:p>
        </w:tc>
        <w:tc>
          <w:tcPr>
            <w:tcW w:w="2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177"/>
        </w:trPr>
        <w:tc>
          <w:tcPr>
            <w:tcW w:w="2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September 2025 ASU No. 2025-</w:t>
            </w:r>
          </w:p>
        </w:tc>
        <w:tc>
          <w:tcPr>
            <w:tcW w:w="3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This ASU updates the cost capitalization threshold for</w:t>
            </w:r>
          </w:p>
        </w:tc>
        <w:tc>
          <w:tcPr>
            <w:tcW w:w="28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This ASU will be effective for annual</w:t>
            </w:r>
          </w:p>
        </w:tc>
        <w:tc>
          <w:tcPr>
            <w:tcW w:w="19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LivaNova is currently</w:t>
            </w:r>
          </w:p>
        </w:tc>
      </w:tr>
      <w:tr>
        <w:trPr>
          <w:trHeight w:val="174"/>
        </w:trPr>
        <w:tc>
          <w:tcPr>
            <w:tcW w:w="24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 xml:space="preserve">06, </w:t>
            </w:r>
            <w:r>
              <w:rPr>
                <w:rFonts w:ascii="Times New Roman" w:cs="Times New Roman" w:eastAsia="Times New Roman" w:hAnsi="Times New Roman"/>
                <w:sz w:val="17"/>
                <w:szCs w:val="17"/>
                <w:i w:val="1"/>
                <w:iCs w:val="1"/>
                <w:color w:val="auto"/>
              </w:rPr>
              <w:t>Intangibles—Goodwill and</w:t>
            </w:r>
          </w:p>
        </w:tc>
        <w:tc>
          <w:tcPr>
            <w:tcW w:w="39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internal-use software development costs by removing</w:t>
            </w:r>
          </w:p>
        </w:tc>
        <w:tc>
          <w:tcPr>
            <w:tcW w:w="28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periods beginning after December 15,</w:t>
            </w:r>
          </w:p>
        </w:tc>
        <w:tc>
          <w:tcPr>
            <w:tcW w:w="196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evaluating the effect this</w:t>
            </w:r>
          </w:p>
        </w:tc>
      </w:tr>
      <w:tr>
        <w:trPr>
          <w:trHeight w:val="163"/>
        </w:trPr>
        <w:tc>
          <w:tcPr>
            <w:tcW w:w="24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Other—Internal-Use Software</w:t>
            </w:r>
          </w:p>
        </w:tc>
        <w:tc>
          <w:tcPr>
            <w:tcW w:w="39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all references to software project development stages</w:t>
            </w:r>
          </w:p>
        </w:tc>
        <w:tc>
          <w:tcPr>
            <w:tcW w:w="282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2027, and interim periods within those</w:t>
            </w:r>
          </w:p>
        </w:tc>
        <w:tc>
          <w:tcPr>
            <w:tcW w:w="196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standard will have on the</w:t>
            </w:r>
          </w:p>
        </w:tc>
      </w:tr>
      <w:tr>
        <w:trPr>
          <w:trHeight w:val="176"/>
        </w:trPr>
        <w:tc>
          <w:tcPr>
            <w:tcW w:w="2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i w:val="1"/>
                <w:iCs w:val="1"/>
                <w:color w:val="auto"/>
              </w:rPr>
              <w:t>(Subtopic 350-40): Targeted</w:t>
            </w:r>
          </w:p>
        </w:tc>
        <w:tc>
          <w:tcPr>
            <w:tcW w:w="3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and providing new guidance on how to evaluate</w:t>
            </w:r>
          </w:p>
        </w:tc>
        <w:tc>
          <w:tcPr>
            <w:tcW w:w="28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annual reporting periods, with early</w:t>
            </w:r>
          </w:p>
        </w:tc>
        <w:tc>
          <w:tcPr>
            <w:tcW w:w="19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Company’s consolidated</w:t>
            </w:r>
          </w:p>
        </w:tc>
      </w:tr>
      <w:tr>
        <w:trPr>
          <w:trHeight w:val="174"/>
        </w:trPr>
        <w:tc>
          <w:tcPr>
            <w:tcW w:w="24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Improvements to the Accounting</w:t>
            </w:r>
          </w:p>
        </w:tc>
        <w:tc>
          <w:tcPr>
            <w:tcW w:w="39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whether the probable-to-complete recognition threshold</w:t>
            </w:r>
          </w:p>
        </w:tc>
        <w:tc>
          <w:tcPr>
            <w:tcW w:w="28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adoption permitted. The transition</w:t>
            </w:r>
          </w:p>
        </w:tc>
        <w:tc>
          <w:tcPr>
            <w:tcW w:w="196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financial statements and</w:t>
            </w:r>
          </w:p>
        </w:tc>
      </w:tr>
      <w:tr>
        <w:trPr>
          <w:trHeight w:val="167"/>
        </w:trPr>
        <w:tc>
          <w:tcPr>
            <w:tcW w:w="24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i w:val="1"/>
                <w:iCs w:val="1"/>
                <w:color w:val="auto"/>
              </w:rPr>
              <w:t>for Internal-Use Software</w:t>
            </w:r>
          </w:p>
        </w:tc>
        <w:tc>
          <w:tcPr>
            <w:tcW w:w="39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has been met.</w:t>
            </w:r>
          </w:p>
        </w:tc>
        <w:tc>
          <w:tcPr>
            <w:tcW w:w="282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method may be prospective, modified,</w:t>
            </w:r>
          </w:p>
        </w:tc>
        <w:tc>
          <w:tcPr>
            <w:tcW w:w="19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related disclosures.</w:t>
            </w:r>
          </w:p>
        </w:tc>
      </w:tr>
      <w:tr>
        <w:trPr>
          <w:trHeight w:val="222"/>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or retrospective.</w:t>
            </w: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ind w:right="20"/>
        <w:spacing w:after="0" w:line="287"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condensed consolidated financial statements and related notes, which appear elsewhere in this Report, and with LivaNova’s 2025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2025 Form 10-K, as updated and supplemented by LivaNova’s Quarterly Reports on Form 10-Q, including in Part II, Item 1A. and elsewhere in this Report. The accompanying unaudited condensed consolidated financial statements of LivaNova and its consolidated subsidiaries have been prepared in accordance with U.S. GAAP on an interim basis. The capitalized terms used below are defined in the “Definitions” section and in the notes to LivaNova’s condensed consolidated financial statements in this Report.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the Business</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LivaNova PLC is a market-leading global medical technology company. The Company designs, develops, manufactures, markets, and sells products, therapies, and services that are consistent with LivaNova’s mission to “create ingenious medical solutions that ignite patient turnarounds.” LivaNova is a public limited company organized under the laws of England and Wales, with a registered office in Gloucester, England. LivaNova’s ordinary shares are listed for trading on the Nasdaq under the symbol “LIVN.”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Macroeconomic Environment and Global Supply Chain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macroeconomic environment, including FX volatility, inflationary pressures, and geopolitical instability, and global supply chain challenges have impacted and may continue to impact LivaNova’s business, consolidated results of operations, financial condition, and/or cash flows.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including through entry into supply agreements where possible. While LivaNova has business continuity plans in place, the impact of the ongoing challenges the Company is navigating, along with their potential escalation, may adversely affect its business.</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the impact that the imposition of tariffs and changes to global trade policies could have on the Company’s results of operations is uncertain. A significant number of LivaNova’s Cardiopulmonary products and component parts are sourced and produced outside of the U.S., including in Italy and Germany. Similarly, LivaNova manufactures its Neuromodulation products in the U.S., which are then often distributed internationally. In early 2025, the U.S. government imposed tariffs under the IEEPA, which impacted the Company. However, the U.S. Supreme Court ruled the IEEPA tariffs unlawful, resulting in a refund process with U.S. Customs and Border Protection. While the Company recognized net IEEPA tariff refunds that impacted segment income by $5.8 million ($7.7 million reducing cost of sales and $1.9 million reducing net revenue) for the nine months ended September 30, 2026, adverse changes in export and import costs, including the potential for new or expanded trade restrictions and additional global tariffs, could result in future increased costs or supply chain disruptions. The Company continues to monitor developments in global trade policy and assess potential implications for sourcing, pricing, and logistics.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“Part I, Item 1A. Risk Factors” of the Company’s 2025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Segments</w:t>
      </w:r>
    </w:p>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LivaNova identifies operating segments based on how it manages, evaluates, and internally reports its business activities to allocate resources, develop and execute its strategy, and assess performance. LivaNova has two reportable segments: Cardiopulmonary and Neuromodulation. For additional information regarding LivaNova’s reportable segments, historical financial information, and its methodology for the presentation of financial results, refer to the condensed consolidated financial statements and accompanying notes of this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 In particular, the Cardiopulmonary segment includes the Essenz Perfusion System, the Company’s next-generation HLM with an embedded patient monitor for tailored patient care strategies and sensing technology for data-driven decision-making during cardiopulmonary bypass procedures.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spacing w:after="0" w:line="274" w:lineRule="auto"/>
        <w:rPr>
          <w:sz w:val="20"/>
          <w:szCs w:val="20"/>
          <w:color w:val="auto"/>
        </w:rPr>
      </w:pPr>
      <w:r>
        <w:rPr>
          <w:rFonts w:ascii="Times New Roman" w:cs="Times New Roman" w:eastAsia="Times New Roman" w:hAnsi="Times New Roman"/>
          <w:sz w:val="18"/>
          <w:szCs w:val="18"/>
          <w:color w:val="auto"/>
        </w:rPr>
        <w:t>Information on the Cardiopulmonary segment that could potentially impact LivaNova’s condensed consolidated financial statements and related disclosures is incorporated by reference to “Note 6. Commitments and Contingencies: Product Liability Litigation” in the condensed consolidated financial statements in this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LivaNova’s Neuromodulation segment is engaged in the design, development, manufacture, marketing, and sale of devices that deliver neuromodulation therapy for treating DRE and DTD, as well as the design and development of neurostimulation devices for treating OSA.</w:t>
      </w:r>
    </w:p>
    <w:p>
      <w:pPr>
        <w:spacing w:after="0" w:line="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segment’s principal product for DRE and DTD, the VNS Therapy System, consists of an implantable pulse generator and connective lead that stimulates the left vagus nerve, surgical equipment to assist with the implant procedure, and equipment and instruction manuals that enable a treating healthcare professional to set parameters for a patient’s pulse generator. The lead does not need to be removed to replace a generator with a depleted battery.</w:t>
      </w:r>
    </w:p>
    <w:p>
      <w:pPr>
        <w:spacing w:after="0" w:line="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Neuromodulation segment also includes devices for the treatment of OSA, which are designed to stimulate the hypoglossal nerve and activate specific tongue and palate muscles to help keep the airway open during sleep. On March 18, 2026, the FDA granted PMA for the aura6000 System for the treatment of adult patients with moderate to severe OSA who have failed, do not tolerate, or are ineligible for first-line therapies, such as positive airway pressure.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3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For a discussion of LivaNova’s critical accounting estimates, see “Management’s Discussion and Analysis of Financial Condition and Results of Operations” included in the 2025 Form 10-K. For the nine months ended September 30, 2026, there were no material changes to the application of critical accounting policies and estimates previously disclosed in LivaNova’s 2025 Form 10-K.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LivaNova’s condensed consolidated results of operations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7"/>
        </w:trPr>
        <w:tc>
          <w:tcPr>
            <w:tcW w:w="49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1,145,993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1,027,132</w:t>
            </w:r>
          </w:p>
        </w:tc>
      </w:tr>
      <w:tr>
        <w:trPr>
          <w:trHeight w:val="24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128,097</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363,523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327,035</w:t>
            </w:r>
          </w:p>
        </w:tc>
      </w:tr>
      <w:tr>
        <w:trPr>
          <w:trHeight w:val="23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265,051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782,470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700,097</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456,624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405,448</w:t>
            </w:r>
          </w:p>
        </w:tc>
      </w:tr>
      <w:tr>
        <w:trPr>
          <w:trHeight w:val="24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133,641</w:t>
            </w:r>
          </w:p>
        </w:tc>
      </w:tr>
      <w:tr>
        <w:trPr>
          <w:trHeight w:val="243"/>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46,424</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r>
      <w:tr>
        <w:trPr>
          <w:trHeight w:val="23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156,812</w:t>
            </w: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(363,815)</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(41,080)</w:t>
            </w: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26,301</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6"/>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(248,415)</w:t>
            </w: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24,921</w:t>
            </w:r>
          </w:p>
        </w:tc>
      </w:tr>
      <w:tr>
        <w:trPr>
          <w:trHeight w:val="24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1"/>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6"/>
        </w:trPr>
        <w:tc>
          <w:tcPr>
            <w:tcW w:w="494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color w:val="auto"/>
        </w:rPr>
        <w:t>Net 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by operating segment and geographic region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6"/>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43"/>
        </w:trPr>
        <w:tc>
          <w:tcPr>
            <w:tcW w:w="1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222,479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204,023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43"/>
        </w:trPr>
        <w:tc>
          <w:tcPr>
            <w:tcW w:w="192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143,605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43"/>
        </w:trPr>
        <w:tc>
          <w:tcPr>
            <w:tcW w:w="192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256,732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36"/>
        </w:trPr>
        <w:tc>
          <w:tcPr>
            <w:tcW w:w="19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225,304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203,218</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655,535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578,810</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2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343,950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43"/>
        </w:trPr>
        <w:tc>
          <w:tcPr>
            <w:tcW w:w="192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43"/>
        </w:trPr>
        <w:tc>
          <w:tcPr>
            <w:tcW w:w="1920" w:type="dxa"/>
            <w:vAlign w:val="bottom"/>
            <w:tcBorders>
              <w:bottom w:val="single" w:sz="8" w:color="CCEEFF"/>
            </w:tcBorders>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36"/>
        </w:trPr>
        <w:tc>
          <w:tcPr>
            <w:tcW w:w="19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484,860</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440,088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37"/>
        </w:trPr>
        <w:tc>
          <w:tcPr>
            <w:tcW w:w="1920" w:type="dxa"/>
            <w:vAlign w:val="bottom"/>
            <w:tcBorders>
              <w:bottom w:val="single" w:sz="8" w:color="CCEEFF"/>
            </w:tcBorders>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Other revenue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548,085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43"/>
        </w:trPr>
        <w:tc>
          <w:tcPr>
            <w:tcW w:w="192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231,140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43"/>
        </w:trPr>
        <w:tc>
          <w:tcPr>
            <w:tcW w:w="1920" w:type="dxa"/>
            <w:vAlign w:val="bottom"/>
            <w:tcBorders>
              <w:bottom w:val="single" w:sz="8" w:color="CCEEFF"/>
            </w:tcBorders>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108,333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99,623</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319,681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284,887</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62"/>
        </w:trPr>
        <w:tc>
          <w:tcPr>
            <w:tcW w:w="1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1,027,132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89" w:lineRule="exact"/>
        <w:rPr>
          <w:sz w:val="20"/>
          <w:szCs w:val="20"/>
          <w:color w:val="auto"/>
        </w:rPr>
      </w:pPr>
    </w:p>
    <w:p>
      <w:pPr>
        <w:ind w:left="660" w:hanging="328"/>
        <w:spacing w:after="0" w:line="232"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Times New Roman" w:cs="Times New Roman" w:eastAsia="Times New Roman" w:hAnsi="Times New Roman"/>
          <w:sz w:val="21"/>
          <w:szCs w:val="21"/>
          <w:color w:val="auto"/>
          <w:vertAlign w:val="superscript"/>
        </w:rPr>
      </w:pPr>
    </w:p>
    <w:p>
      <w:pPr>
        <w:jc w:val="both"/>
        <w:ind w:left="660" w:hanging="328"/>
        <w:spacing w:after="0"/>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revenue” includes rental and site services income not allocated to segments. In addition, for the three and nine months ended September 30, 2025, “Other revenue” includes $3.1 million from a reduction in the reserve associated with the Italian MedTech payback measure related to product sales of previously divested businesses. For additional information, refer to “Note 6. Commitments and Contingencies” in the condensed consolidated financial statements in this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segment income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6"/>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6"/>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18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56,185</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164,558</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61"/>
        </w:trPr>
        <w:tc>
          <w:tcPr>
            <w:tcW w:w="18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245,354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89" w:lineRule="exact"/>
        <w:rPr>
          <w:sz w:val="20"/>
          <w:szCs w:val="20"/>
          <w:color w:val="auto"/>
        </w:rPr>
      </w:pPr>
    </w:p>
    <w:p>
      <w:pPr>
        <w:ind w:left="660" w:hanging="328"/>
        <w:spacing w:after="0" w:line="232" w:lineRule="auto"/>
        <w:tabs>
          <w:tab w:leader="none" w:pos="64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more details regarding management’s consideration of segment income and a reconciliation of segment income to consolidated income (loss) before income tax, refer to “Note 11. Segment and Geographic Information” in the condensed consolidated financial statements in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Cardiopulmonary net revenue for the three and nine months ended September 30, 2026 increased 10.9% to $225.3 million and 13.3% to $655.5 million, respectively, compared to the three and nine months ended September 30, 2025, with growth across all regions, driven by strong consumables demand and Essenz Perfusion System sales, as well as favorable realized price.</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Cardiopulmonary segment income for the three and nine months ended September 30, 2026 was $7.6 million and $65.8 million, respectively, compared to segment income of $24.7 million and $80.8 million for the three and nine months ended September 30, 2025, respectively. The decrease in segment income for the three-month comparative period primarily resulted from higher litigation provision expense related to LivaNova’s 3T Heater-Cooler device, partially offset by increased net revenue, as described above. The decrease in segment income for the nine-month comparative period primarily resulted from higher litigation provision expense related to LivaNova’s 3T Heater-Cooler device, partially offset by increased net revenue, as described above, and a $5.8 million benefit from net tariff refunds.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Neuromodulation net revenue for the three and nine months ended September 30, 2026 increased 11.1% to $166.1 million and 10.2% to $484.9 million, respectively, compared to the three and nine months ended September 30, 2025, with growth across all regions, driven by higher volume and favorable realized price.</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Neuromodulation segment income for the three and nine months ended September 30, 2026 was $62.1 million and $167.2 million, respectively, compared to $56.2 million and $164.6 million for the three and nine months ended September 30, 2025, respectively. The increase in segment income for the three-month comparative period primarily resulted from an increase in net revenue, as described above. The increase in segment income for the nine-month comparative period primarily resulted from an increase in net revenue, as described above, partially offset by a $9.1 million increase in R&amp;D expense associated with the design and development of neurostimulation devices for treating OSA, and $8.3 million of higher expense primarily associated with the ImThera regulatory-based contingent consideration arrangement resulting from achieving PMA from the FDA for the aura6000 System in March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 and Expenses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costs and expenses as a percentage of net 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40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40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13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13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6"/>
                <w:szCs w:val="16"/>
                <w:color w:val="auto"/>
              </w:rPr>
            </w:pPr>
          </w:p>
        </w:tc>
        <w:tc>
          <w:tcPr>
            <w:tcW w:w="132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3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6"/>
                <w:szCs w:val="16"/>
                <w:color w:val="auto"/>
              </w:rPr>
            </w:pPr>
          </w:p>
        </w:tc>
        <w:tc>
          <w:tcPr>
            <w:tcW w:w="13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6"/>
                <w:szCs w:val="16"/>
                <w:color w:val="auto"/>
              </w:rPr>
            </w:pPr>
          </w:p>
        </w:tc>
        <w:tc>
          <w:tcPr>
            <w:tcW w:w="1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Point Change</w:t>
            </w:r>
          </w:p>
        </w:tc>
        <w:tc>
          <w:tcPr>
            <w:tcW w:w="13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Point Change</w:t>
            </w:r>
          </w:p>
        </w:tc>
        <w:tc>
          <w:tcPr>
            <w:tcW w:w="0" w:type="dxa"/>
            <w:vAlign w:val="bottom"/>
          </w:tcPr>
          <w:p>
            <w:pPr>
              <w:spacing w:after="0"/>
              <w:rPr>
                <w:sz w:val="1"/>
                <w:szCs w:val="1"/>
                <w:color w:val="auto"/>
              </w:rPr>
            </w:pPr>
          </w:p>
        </w:tc>
      </w:tr>
      <w:tr>
        <w:trPr>
          <w:trHeight w:val="237"/>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2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2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120" w:type="dxa"/>
            <w:vAlign w:val="bottom"/>
          </w:tcPr>
          <w:p>
            <w:pPr>
              <w:spacing w:after="0"/>
              <w:rPr>
                <w:sz w:val="21"/>
                <w:szCs w:val="21"/>
                <w:color w:val="auto"/>
              </w:rPr>
            </w:pPr>
          </w:p>
        </w:tc>
        <w:tc>
          <w:tcPr>
            <w:tcW w:w="12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0.7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20" w:type="dxa"/>
            <w:vAlign w:val="bottom"/>
          </w:tcPr>
          <w:p>
            <w:pPr>
              <w:spacing w:after="0"/>
              <w:rPr>
                <w:sz w:val="21"/>
                <w:szCs w:val="21"/>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(1.5)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1"/>
                <w:szCs w:val="21"/>
                <w:color w:val="auto"/>
              </w:rPr>
            </w:pPr>
          </w:p>
        </w:tc>
        <w:tc>
          <w:tcPr>
            <w:tcW w:w="12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7.7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1"/>
                <w:szCs w:val="21"/>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3.7</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consists of direct labor, allocated manufacturing overhead, and the acquisition of raw materials and components.</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Cost of sales as a percentage of net revenue was 32.6% and 31.7% for the three and nine months ended September 30, 2026, respectively, representing an increase of 1.0 and a decrease of 0.1 percentage points compared to the three and nine months ended September 30, 2025, respectively. The increase in the three-month comparative period was primarily due to the net changes in fair value of the sales-based contingent consideration arrangement associated with the ImThera acquisition. The decrease in the nine-month comparative period was primarily a result of recognizing $7.7 million in tariff refunds.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 consists of sales, marketing, general, and administrative activities.</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SG&amp;A expense as a percentage of net revenue was 39.4% and 39.8% for the three and nine months ended September 30, 2026, respectively, representing increases of 0.7 and 0.3 percentage points compared to the three and nine months ended September 30, 2025, respectively, primarily driven by increased share-based compensation expense resulting primarily from accelerated recognition of expense for retirement-eligible employees. The nine-month comparative period was partially offset by fixed cost leverage.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consists of product design and development efforts, clinical study programs, and regulatory activities.</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R&amp;D expense as a percentage of net revenue was 12.1% and 14.0% for the three and nine months ended September 30, 2026, respectively, representing a decrease of 1.5 and an increase of 1.0 percentage points compared to the three and nine months ended September 30, 2025, respectively. The decrease in the three-month comparative period was primarily due to lower expense from the milestone-based contingent consideration arrangement associated with the ImThera acquisition recognized in the comparable period that did not recur in the current period, as well as a decrease in costs associated with the design and development of neurostimulation devices for treating OSA. The increase in the nine-month comparative period was primarily due to a $9.1 million increase in costs associated with the design and development of neurostimulation devices for treating OSA, as well as $7.8 million of higher expense associated with the ImThera regulatory-based contingent consideration arrangement resulting from achieving PMA from the FDA for the aura6000 System in March 2026.</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Other Operating Expense</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Other operating expense primarily consists of the provision for litigation involving LivaNova’s 3T Heater-Cooler device and the Saluggia site remediation provision.</w:t>
      </w:r>
    </w:p>
    <w:p>
      <w:pPr>
        <w:spacing w:after="0" w:line="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Other operating expense as a percentage of net revenue was 8.7% and 4.1% for the three and nine months ended September 30, 2026, respectively, representing increases of 7.7 and 3.7 percentage points compared to the three and nine months ended September 30, 2025, respectively, primarily due to increases of $30.3 million and $41.0 million in the amount recorded for the litigation provision related to LivaNova’s 3T Heater-Cooler device for the three- and nine-month comparative periods,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SNIA Environmental Liability Expense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As a result of the decision by the Italian Supreme Court, the Company recorded €333.3 million ($363.8 million) as SNIA environmental liability expense for the nine months ended September 30, 2025. For additional information, refer to “Note 6. Commitments and Contingencies” in the condensed consolidated financial statements in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 expense decreased to $8.0 million and $23.4 million for the three and nine months ended September 30, 2026, respectively, compared to $10.9 million and $41.1 million for the three and nine months ended September 30, 2025, respectively, primarily due to repaying the Term Facilities and 2025 Notes. For additional information, refer to “Note 5. Financing Arrangements” in the condensed consolidated financial statements in this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Exchange and Other Income/(Expense)</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gains and losses associated with LivaNova’s investments.</w:t>
      </w:r>
    </w:p>
    <w:p>
      <w:pPr>
        <w:spacing w:after="0" w:line="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Foreign exchange and other income/(expense) was income of $26.3 million and expense of $3.2 million for the three and nine months ended September 30, 2026, respectively, compared to expense of $7.5 million and $0.3 million for the three and nine months ended September 30, 2025, respectively. For additional information, refer to “Note 12. Supplemental Financial Information” in the condensed consolidated financial statements in this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Expense</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LivaNova’s effective income tax rate for the three and nine months ended September 30, 2026 was 26.5% and (79.2)%, respectively, compared to 21.0% and (10.0)% for the three and nine months ended September 30, 2025, respectively. The changes in the effective tax rates for the three and nine months ended September 30, 2026, compared to the prior year period, were primarily attributable to year-over-year changes in income before income tax in countries with varying statutory tax rates, certain discrete tax items, including the SNIA environmental liability recognized in 2025 and the discrete tax benefit resulting from the Italian tax ruling recognized in 2026 (further described below), and changes in valuation allowances.</w:t>
      </w:r>
    </w:p>
    <w:p>
      <w:pPr>
        <w:spacing w:after="0" w:line="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considers all available evidence (both positive and negative) in determining whether a valuation allowance is required on deferred tax assets. Depending on operating results in the future, a release of a valuation allowance could occur within the next 12 months. The timing and amount of the valuation allowance release could vary based on the Company’s assessment of all available evidence.</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May 2026, the Italian tax authority, Agenzia delle Entrate, issued a ruling on the deductibility of the SNIA environmental liability expense, resulting in a discrete tax benefit for the nine months ended September 30, 2026 of €81.8 million ($95.0 million) and an estimated deferred tax asset of €80.0 million ($92.8 million), as of September 30, 2026. LivaNova determined that the Italian deferred tax assets are more likely than not realizable and, accordingly, did not record a valuation allowance.</w:t>
      </w:r>
    </w:p>
    <w:p>
      <w:pPr>
        <w:spacing w:after="0" w:line="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OBBBA was enacted in the U.S. in July 2025 and includes significant provisions, such as the permanent extension of certain expiring provisions of the Tax Cuts and Jobs Act, modifications to the international tax framework, and the restoration of favorable tax treatment for certain business provisions. LivaNova has accounted for the relevant changes within its annual effective tax rate and cash taxes.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commitments and contingencies, including the SNIA environmental liability,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 Factors” in the 2025 Form 10-K, as well as “Note 6. Commitments and Contingencies” in the condensed consolidated financial statements in this Report.</w:t>
      </w:r>
    </w:p>
    <w:p>
      <w:pPr>
        <w:spacing w:after="0" w:line="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related to LivaNova’s liquidity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Short-term Liquidity</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635,552</w:t>
            </w:r>
          </w:p>
        </w:tc>
        <w:tc>
          <w:tcPr>
            <w:tcW w:w="0" w:type="dxa"/>
            <w:vAlign w:val="bottom"/>
          </w:tcPr>
          <w:p>
            <w:pPr>
              <w:spacing w:after="0"/>
              <w:rPr>
                <w:sz w:val="1"/>
                <w:szCs w:val="1"/>
                <w:color w:val="auto"/>
              </w:rPr>
            </w:pPr>
          </w:p>
        </w:tc>
      </w:tr>
      <w:tr>
        <w:trPr>
          <w:trHeight w:val="263"/>
        </w:trPr>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Availability under the 2021 First Lien Credit Agreement</w:t>
            </w:r>
          </w:p>
        </w:tc>
        <w:tc>
          <w:tcPr>
            <w:tcW w:w="1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68"/>
        </w:trPr>
        <w:tc>
          <w:tcPr>
            <w:tcW w:w="7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860,552</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1,101,613</w:t>
            </w:r>
          </w:p>
        </w:tc>
        <w:tc>
          <w:tcPr>
            <w:tcW w:w="0" w:type="dxa"/>
            <w:vAlign w:val="bottom"/>
          </w:tcPr>
          <w:p>
            <w:pPr>
              <w:spacing w:after="0"/>
              <w:rPr>
                <w:sz w:val="1"/>
                <w:szCs w:val="1"/>
                <w:color w:val="auto"/>
              </w:rPr>
            </w:pPr>
          </w:p>
        </w:tc>
      </w:tr>
      <w:tr>
        <w:trPr>
          <w:trHeight w:val="263"/>
        </w:trPr>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740,193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808,072</w:t>
            </w:r>
          </w:p>
        </w:tc>
        <w:tc>
          <w:tcPr>
            <w:tcW w:w="0" w:type="dxa"/>
            <w:vAlign w:val="bottom"/>
          </w:tcPr>
          <w:p>
            <w:pPr>
              <w:spacing w:after="0"/>
              <w:rPr>
                <w:sz w:val="1"/>
                <w:szCs w:val="1"/>
                <w:color w:val="auto"/>
              </w:rPr>
            </w:pPr>
          </w:p>
        </w:tc>
      </w:tr>
      <w:tr>
        <w:trPr>
          <w:trHeight w:val="268"/>
        </w:trPr>
        <w:tc>
          <w:tcPr>
            <w:tcW w:w="7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293,541</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Current portion of long-term debt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30,878</w:t>
            </w:r>
          </w:p>
        </w:tc>
        <w:tc>
          <w:tcPr>
            <w:tcW w:w="0" w:type="dxa"/>
            <w:vAlign w:val="bottom"/>
          </w:tcPr>
          <w:p>
            <w:pPr>
              <w:spacing w:after="0"/>
              <w:rPr>
                <w:sz w:val="1"/>
                <w:szCs w:val="1"/>
                <w:color w:val="auto"/>
              </w:rPr>
            </w:pPr>
          </w:p>
        </w:tc>
      </w:tr>
      <w:tr>
        <w:trPr>
          <w:trHeight w:val="263"/>
        </w:trPr>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Short-term unsecured borrowing arrangements</w:t>
            </w:r>
          </w:p>
        </w:tc>
        <w:tc>
          <w:tcPr>
            <w:tcW w:w="1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57"/>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debt obligations</w:t>
            </w:r>
          </w:p>
        </w:tc>
        <w:tc>
          <w:tcPr>
            <w:tcW w:w="16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0" w:type="dxa"/>
            <w:vAlign w:val="bottom"/>
          </w:tcPr>
          <w:p>
            <w:pPr>
              <w:spacing w:after="0"/>
              <w:rPr>
                <w:sz w:val="1"/>
                <w:szCs w:val="1"/>
                <w:color w:val="auto"/>
              </w:rPr>
            </w:pPr>
          </w:p>
        </w:tc>
      </w:tr>
      <w:tr>
        <w:trPr>
          <w:trHeight w:val="270"/>
        </w:trPr>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295,194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345,185</w:t>
            </w:r>
          </w:p>
        </w:tc>
        <w:tc>
          <w:tcPr>
            <w:tcW w:w="0" w:type="dxa"/>
            <w:vAlign w:val="bottom"/>
          </w:tcPr>
          <w:p>
            <w:pPr>
              <w:spacing w:after="0"/>
              <w:rPr>
                <w:sz w:val="1"/>
                <w:szCs w:val="1"/>
                <w:color w:val="auto"/>
              </w:rPr>
            </w:pPr>
          </w:p>
        </w:tc>
      </w:tr>
      <w:tr>
        <w:trPr>
          <w:trHeight w:val="261"/>
        </w:trPr>
        <w:tc>
          <w:tcPr>
            <w:tcW w:w="7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376,657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January 8, 2026, LivaNova made a $95.9 million early repayment of the remaining outstanding balance under the Term Facilities.</w:t>
      </w:r>
    </w:p>
    <w:p>
      <w:pPr>
        <w:spacing w:after="0" w:line="9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For information on LivaNova’s debt obligations, refer to “Note 5. Financing Arrangements” in the condensed consolidated financial statements in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Flows</w:t>
      </w:r>
    </w:p>
    <w:p>
      <w:pPr>
        <w:spacing w:after="0" w:line="11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following table presents net cash, cash equivalents, and restricted cash provided by (used in) operating, investing, and financing activities and the net decrease in the balance of cash, cash equivalents, and restricted cash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402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7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171,943</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(42,653)</w:t>
            </w:r>
          </w:p>
        </w:tc>
      </w:tr>
      <w:tr>
        <w:trPr>
          <w:trHeight w:val="24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(153,611)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(222,776)</w:t>
            </w:r>
          </w:p>
        </w:tc>
      </w:tr>
      <w:tr>
        <w:trPr>
          <w:trHeight w:val="24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16,009</w:t>
            </w:r>
          </w:p>
        </w:tc>
      </w:tr>
      <w:tr>
        <w:trPr>
          <w:trHeight w:val="261"/>
        </w:trPr>
        <w:tc>
          <w:tcPr>
            <w:tcW w:w="7220" w:type="dxa"/>
            <w:vAlign w:val="bottom"/>
            <w:tcBorders>
              <w:bottom w:val="single" w:sz="8" w:color="CCEEFF"/>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Net decrease in cash, cash equivalents, and restricted cash </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660" w:hanging="328"/>
        <w:spacing w:after="0" w:line="243"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March 31, 2025, as a result of the decision by the Italian Supreme Court, the SNIA Litigation Guarantee was terminated, and the restriction on the cash deposit held as collateral was released. For additional information, refer to “Note 6. Commitments and Contingencies” in the condensed consolidated financial statements in this Report.</w:t>
      </w:r>
    </w:p>
    <w:p>
      <w:pPr>
        <w:sectPr>
          <w:pgSz w:w="11900" w:h="16838" w:orient="portrait"/>
          <w:cols w:equalWidth="0" w:num="1">
            <w:col w:w="11240"/>
          </w:cols>
          <w:pgMar w:left="320" w:top="896"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2026 decreased by $16.5 million, compared to the same prior year period, primarily due to higher payments to vendors and suppliers, including increased inventory purchases to support anticipated demand and supply continuity, as well as higher payments to employees, largely offset by customer collections. The decrease also reflects $10.0 million from the June 2026 ImThera regulatory-based milestone payment, partially offset by lower cash interest payments.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2026 increased $27.0 million, compared to the same prior year period, primarily due to an increase in purchases of property, plant, and equipment of $27.8 million, principally related to purchases and development of internal-use software and manufacturing capacity expansion.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2026 decreased $69.2 million, compared to the same prior year period, primarily due to a decrease of $120.9 million in repayments of long-term debt obligations, partially offset by $50.4 million from the June 2026 payment satisfying the ImThera regulatory-based contingent consideration liability.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LivaNova is exposed to certain market risks as part of its ongoing business operations, including risks from foreign currency exchange and interest rates, as well as credit risk, that could adversely affect LivaNova’s consolidated results of operations, financial condition, and/or cash flows. The Company manages these risks through regular operating and financing activities and derivative financial instruments. Quantitative and qualitative disclosures about these risks are included in this Report in “Part I, Item 1. Financial Statements, Note 3. Derivatives and Risk Management,” “Part I, Item 2. Management’s Discussion and Analysis of Financial Condition and Results of Operations,” and in LivaNova’s 2025 Form 10-K in “Part II, Item 7. Management’s Discussion and Analysis of Financial Condition and Results of Operations” and “Part I, Item 1A.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(i) recorded, processed, summarized, and reported within the time periods specified in the SEC’s rules and forms and (ii) accumulated and communicated to management, including LivaNova’s CEO and CFO, as appropriate, to allow timely decisions regarding required disclosure. Any controls and procedures, no matter how well designed and operated, can provide only reasonable assurance of achieving the desired control objectives.</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the Company’s disclosure controls and procedures. LivaNova’s management, under the supervision and with the participation of the Company’s CEO and CFO, evaluated the effectiveness of the design and operation of the Company’s disclosure controls and procedures as of the end of the period covered by this Report. Based on that evaluation, LivaNova’s CEO and CFO concluded that, as of September 30, 2026, the design and operation of the Company’s disclosure controls and procedures were effective to accomplish their objectives at the reasonable assurance level.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is undergoing a multi-year global implementation and upgrade of its ERP system to SAP S/4HANA. In connection with this implementation and upgrade, certain processes and internal controls over financial reporting have been modified to align with the processes and functionality of the new ERP system.</w:t>
      </w:r>
    </w:p>
    <w:p>
      <w:pPr>
        <w:spacing w:after="0" w:line="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Except for the changes described above, there were no changes in LivaNova’s internal control over financial reporting (as defined in Rules 13a-15(f) and 15d-15(f) under the Exchange Act) during the quarter ended September 30, 2026 that have materially affected, or are reasonably likely to materially affect, LivaNova’s internal control over financial reporting.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2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For a description of LivaNova’s material pending legal and regulatory proceedings and settlements, refer to “Note 6. Commitments and Contingencies” in the Company’s condensed consolidated financial statements included in this Report.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LivaNova’s risk factors from those disclosed in Part I, Item 1A of the Company’s 2025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quarter ended September 30, 2026, none of the Company’s directors or officers (as defined in Rule 16a-1(f) of the Exchange Act) adopted, terminated, or modified a Rule 10b5-1 trading arrangement or non-Rule 10b5-1 trading arrangement (as such terms are defined in Item 408 of Regulation S-K of the Securities Act), except as follows:</w:t>
      </w:r>
    </w:p>
    <w:p>
      <w:pPr>
        <w:spacing w:after="0" w:line="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August 10, 2026, Alex Shvartsburg, Chief Financial Officer, adopted a trading plan intended to satisfy the conditions under Rule 10b5-1(c) of the Exchange Act. Mr. Shvartsburg’s plan provides for the sale of up to 10,000 shares of LivaNova’s ordinary shares to be made in accordance with the prices and instructions set forth in the plan. The plan terminates on the earlier of the date on which all the shares under the plan are sold or August 11, 2027.</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Pursuant to Section 13(r) of the Exchange Act of 1934</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13(r) of the Exchange Act requires issuers to disclose in quarterly reports, among other things, certain types of dealings with Iran and other entities, including transactions or dealings with government-owned entities, even when those activities are lawful and do not involve U.S. persons. Two of LivaNova’s non-U.S. subsidiaries currently sell medical devices, including cardiopulmonary and neuromodulation products, to distributors and a non-governmental organization in Iran to support patient care in that country. LivaNova has limited visibility into the identity of the customers of these distributors and the non-governmental organization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LivaNova’s gross revenue and net profits attributable to the above-mentioned Iranian activities were $1.9 million and $0.7 million for the three months ended September 30, 2026, respectively, and $5.3 million and $2.4 million for the nine months ended September 30, 2026, respectively.</w:t>
      </w:r>
    </w:p>
    <w:p>
      <w:pPr>
        <w:spacing w:after="0" w:line="6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LivaNova believes its activities are consistent with applicable law, including U.S., UK, European Union, and other applicable sanctions laws, though such laws are complex and continue to evolve rapidly. The Company intends to continue its business in Iran.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125"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exhibits marked with the asterisk symbol (*) are filed or furnished (for example, in the case of Exhibit 32.1) with this Report. Exhibits marked with the cross symbol (†), if any, are management contracts or compensatory plans or arrangements filed pursuant to Item 601(b)(10)(iii) of Regulation S-K.</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80" w:type="dxa"/>
            <w:vAlign w:val="bottom"/>
            <w:vMerge w:val="restart"/>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8"/>
              </w:rPr>
              <w:t>31.1*</w:t>
            </w:r>
          </w:p>
        </w:tc>
        <w:tc>
          <w:tcPr>
            <w:tcW w:w="10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24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31.2*</w:t>
            </w:r>
          </w:p>
        </w:tc>
        <w:tc>
          <w:tcPr>
            <w:tcW w:w="100" w:type="dxa"/>
            <w:vAlign w:val="bottom"/>
          </w:tcPr>
          <w:p>
            <w:pPr>
              <w:spacing w:after="0"/>
              <w:rPr>
                <w:sz w:val="21"/>
                <w:szCs w:val="21"/>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198"/>
        </w:trPr>
        <w:tc>
          <w:tcPr>
            <w:tcW w:w="10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0000FF"/>
                <w:w w:val="98"/>
              </w:rPr>
              <w:t>32.1*</w:t>
            </w:r>
          </w:p>
        </w:tc>
        <w:tc>
          <w:tcPr>
            <w:tcW w:w="100" w:type="dxa"/>
            <w:vAlign w:val="bottom"/>
            <w:shd w:val="clear" w:color="auto" w:fill="CCEEFF"/>
          </w:tcPr>
          <w:p>
            <w:pPr>
              <w:spacing w:after="0"/>
              <w:rPr>
                <w:sz w:val="17"/>
                <w:szCs w:val="17"/>
                <w:color w:val="auto"/>
              </w:rPr>
            </w:pPr>
          </w:p>
        </w:tc>
        <w:tc>
          <w:tcPr>
            <w:tcW w:w="10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Certification of the Chief Executive Officer and Chief Financial Officer of LivaNova PLC pursuant to Section 906 of the Sarbanes-Oxley</w:t>
            </w:r>
          </w:p>
        </w:tc>
        <w:tc>
          <w:tcPr>
            <w:tcW w:w="0" w:type="dxa"/>
            <w:vAlign w:val="bottom"/>
          </w:tcPr>
          <w:p>
            <w:pPr>
              <w:spacing w:after="0"/>
              <w:rPr>
                <w:sz w:val="1"/>
                <w:szCs w:val="1"/>
                <w:color w:val="auto"/>
              </w:rPr>
            </w:pPr>
          </w:p>
        </w:tc>
      </w:tr>
      <w:tr>
        <w:trPr>
          <w:trHeight w:val="234"/>
        </w:trPr>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198"/>
        </w:trPr>
        <w:tc>
          <w:tcPr>
            <w:tcW w:w="10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Pr>
          <w:p>
            <w:pPr>
              <w:spacing w:after="0"/>
              <w:rPr>
                <w:sz w:val="17"/>
                <w:szCs w:val="17"/>
                <w:color w:val="auto"/>
              </w:rPr>
            </w:pPr>
          </w:p>
        </w:tc>
        <w:tc>
          <w:tcPr>
            <w:tcW w:w="10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Inline XBRL: (i) the Condensed Consolidated Statements of</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Income (Loss) for the three and nine months ended September 30, 2026 and 2025, (ii) the Condensed Consolidated Statements of</w:t>
            </w: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Income (Loss) for the three and nine months ended September 30, 2026 and 2025, (iii) the Condensed Consolidated</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Balance Sheets as of September 30, 2026 and December 31, 2025, (iv) the Condensed Consolidated Statements of Cash Flows for the nine</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months ended September 30, 2026 and 2025, and (v) the Notes to the Condensed Consolidated Financial Statements</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shd w:val="clear" w:color="auto" w:fill="CCEEFF"/>
          </w:tcPr>
          <w:p>
            <w:pPr>
              <w:spacing w:after="0"/>
              <w:rPr>
                <w:sz w:val="21"/>
                <w:szCs w:val="21"/>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850"/>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0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2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LIVANOVA PLC</w:t>
            </w:r>
          </w:p>
        </w:tc>
      </w:tr>
      <w:tr>
        <w:trPr>
          <w:trHeight w:val="81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VLADIMIR MAKATSARIA</w:t>
            </w:r>
          </w:p>
        </w:tc>
      </w:tr>
      <w:tr>
        <w:trPr>
          <w:trHeight w:val="237"/>
        </w:trPr>
        <w:tc>
          <w:tcPr>
            <w:tcW w:w="1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Vladimir Makatsaria</w:t>
            </w:r>
          </w:p>
        </w:tc>
      </w:tr>
      <w:tr>
        <w:trPr>
          <w:trHeight w:val="243"/>
        </w:trPr>
        <w:tc>
          <w:tcPr>
            <w:tcW w:w="1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1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13"/>
        </w:trPr>
        <w:tc>
          <w:tcPr>
            <w:tcW w:w="190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LIVANOVA PLC</w:t>
            </w:r>
          </w:p>
        </w:tc>
      </w:tr>
      <w:tr>
        <w:trPr>
          <w:trHeight w:val="81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 SHVARTSBURG</w:t>
            </w:r>
          </w:p>
        </w:tc>
      </w:tr>
      <w:tr>
        <w:trPr>
          <w:trHeight w:val="237"/>
        </w:trPr>
        <w:tc>
          <w:tcPr>
            <w:tcW w:w="1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 Shvartsburg</w:t>
            </w:r>
          </w:p>
        </w:tc>
      </w:tr>
      <w:tr>
        <w:trPr>
          <w:trHeight w:val="243"/>
        </w:trPr>
        <w:tc>
          <w:tcPr>
            <w:tcW w:w="1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Vladimir Makatsaria, certify that:</w:t>
      </w:r>
    </w:p>
    <w:p>
      <w:pPr>
        <w:spacing w:after="0" w:line="117" w:lineRule="exact"/>
        <w:rPr>
          <w:sz w:val="20"/>
          <w:szCs w:val="20"/>
          <w:color w:val="auto"/>
        </w:rPr>
      </w:pPr>
    </w:p>
    <w:p>
      <w:pPr>
        <w:ind w:firstLine="332"/>
        <w:spacing w:after="0" w:line="282" w:lineRule="auto"/>
        <w:tabs>
          <w:tab w:leader="none" w:pos="5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2026 of LivaNova PLC and its consolidated subsidiaries;</w:t>
      </w:r>
    </w:p>
    <w:p>
      <w:pPr>
        <w:spacing w:after="0" w:line="53" w:lineRule="exact"/>
        <w:rPr>
          <w:rFonts w:ascii="Times New Roman" w:cs="Times New Roman" w:eastAsia="Times New Roman" w:hAnsi="Times New Roman"/>
          <w:sz w:val="18"/>
          <w:szCs w:val="18"/>
          <w:color w:val="auto"/>
        </w:rPr>
      </w:pPr>
    </w:p>
    <w:p>
      <w:pPr>
        <w:ind w:right="20" w:firstLine="332"/>
        <w:spacing w:after="0" w:line="282" w:lineRule="auto"/>
        <w:tabs>
          <w:tab w:leader="none" w:pos="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5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5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332"/>
        <w:spacing w:after="0" w:line="266"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332"/>
        <w:spacing w:after="0" w:line="266" w:lineRule="auto"/>
        <w:tabs>
          <w:tab w:leader="none" w:pos="6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332"/>
        <w:spacing w:after="0" w:line="282" w:lineRule="auto"/>
        <w:tabs>
          <w:tab w:leader="none" w:pos="7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20" w:firstLine="332"/>
        <w:spacing w:after="0" w:line="282" w:lineRule="auto"/>
        <w:tabs>
          <w:tab w:leader="none" w:pos="5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0" w:firstLine="332"/>
        <w:spacing w:after="0" w:line="282" w:lineRule="auto"/>
        <w:tabs>
          <w:tab w:leader="none" w:pos="6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1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3686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4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Alex Shvartsburg, certify that:</w:t>
      </w:r>
    </w:p>
    <w:p>
      <w:pPr>
        <w:spacing w:after="0" w:line="117" w:lineRule="exact"/>
        <w:rPr>
          <w:sz w:val="20"/>
          <w:szCs w:val="20"/>
          <w:color w:val="auto"/>
        </w:rPr>
      </w:pPr>
    </w:p>
    <w:p>
      <w:pPr>
        <w:ind w:firstLine="332"/>
        <w:spacing w:after="0" w:line="282" w:lineRule="auto"/>
        <w:tabs>
          <w:tab w:leader="none" w:pos="5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2026 of LivaNova PLC and its consolidated subsidiaries;</w:t>
      </w:r>
    </w:p>
    <w:p>
      <w:pPr>
        <w:spacing w:after="0" w:line="53" w:lineRule="exact"/>
        <w:rPr>
          <w:rFonts w:ascii="Times New Roman" w:cs="Times New Roman" w:eastAsia="Times New Roman" w:hAnsi="Times New Roman"/>
          <w:sz w:val="18"/>
          <w:szCs w:val="18"/>
          <w:color w:val="auto"/>
        </w:rPr>
      </w:pPr>
    </w:p>
    <w:p>
      <w:pPr>
        <w:ind w:right="20" w:firstLine="332"/>
        <w:spacing w:after="0" w:line="282" w:lineRule="auto"/>
        <w:tabs>
          <w:tab w:leader="none" w:pos="5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5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5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332"/>
        <w:spacing w:after="0" w:line="266"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332"/>
        <w:spacing w:after="0" w:line="266" w:lineRule="auto"/>
        <w:tabs>
          <w:tab w:leader="none" w:pos="6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332"/>
        <w:spacing w:after="0" w:line="282" w:lineRule="auto"/>
        <w:tabs>
          <w:tab w:leader="none" w:pos="7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20" w:firstLine="332"/>
        <w:spacing w:after="0" w:line="282" w:lineRule="auto"/>
        <w:tabs>
          <w:tab w:leader="none" w:pos="5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0" w:firstLine="332"/>
        <w:spacing w:after="0" w:line="282" w:lineRule="auto"/>
        <w:tabs>
          <w:tab w:leader="none" w:pos="6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3686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ectPr>
          <w:pgSz w:w="11900" w:h="16838" w:orient="portrait"/>
          <w:cols w:equalWidth="0" w:num="1">
            <w:col w:w="11240"/>
          </w:cols>
          <w:pgMar w:left="320" w:top="104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375" w:lineRule="auto"/>
        <w:rPr>
          <w:sz w:val="20"/>
          <w:szCs w:val="20"/>
          <w:color w:val="auto"/>
        </w:rPr>
      </w:pPr>
      <w:r>
        <w:rPr>
          <w:rFonts w:ascii="Times New Roman" w:cs="Times New Roman" w:eastAsia="Times New Roman" w:hAnsi="Times New Roman"/>
          <w:sz w:val="18"/>
          <w:szCs w:val="18"/>
          <w:color w:val="auto"/>
        </w:rPr>
        <w:t>Each of Vladimir Makatsaria, Chief Executive Officer of LivaNova PLC (the “Company”), and Alex Shvartsburg, Chief Financial Officer of the Company,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34" w:lineRule="exact"/>
        <w:rPr>
          <w:sz w:val="20"/>
          <w:szCs w:val="20"/>
          <w:color w:val="auto"/>
        </w:rPr>
      </w:pPr>
    </w:p>
    <w:p>
      <w:pPr>
        <w:jc w:val="both"/>
        <w:ind w:firstLine="534"/>
        <w:spacing w:after="0" w:line="375" w:lineRule="auto"/>
        <w:tabs>
          <w:tab w:leader="none" w:pos="8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and its consolidated subsidiaries for the quarterly period ended September 30, 2026, as filed with the Securities and Exchange Commission on the date hereof (the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840" w:hanging="306"/>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3686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3686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7"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decimal"/>
      <w:start w:val="5"/>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2026-11-04T14:05:04Z</dcterms:created>
  <dcterms:modified xsi:type="dcterms:W3CDTF">2026-11-04T14:05:04Z</dcterms:modified>
</cp:coreProperties>
</file>