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0"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5" w:lineRule="exact"/>
        <w:rPr>
          <w:sz w:val="24"/>
          <w:szCs w:val="24"/>
          <w:color w:val="auto"/>
        </w:rPr>
      </w:pPr>
    </w:p>
    <w:p>
      <w:pPr>
        <w:ind w:left="38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-242570</wp:posOffset>
            </wp:positionV>
            <wp:extent cx="135890" cy="135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890" cy="135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9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21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540" w:type="dxa"/>
            <w:vAlign w:val="bottom"/>
            <w:vMerge w:val="restart"/>
          </w:tcPr>
          <w:p>
            <w:pPr>
              <w:jc w:val="center"/>
              <w:ind w:right="19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5469890</wp:posOffset>
            </wp:positionH>
            <wp:positionV relativeFrom="paragraph">
              <wp:posOffset>-649605</wp:posOffset>
            </wp:positionV>
            <wp:extent cx="59690" cy="6629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2940"/>
                    </a:xfrm>
                    <a:prstGeom prst="rect">
                      <a:avLst/>
                    </a:prstGeom>
                    <a:noFill/>
                  </pic:spPr>
                </pic:pic>
              </a:graphicData>
            </a:graphic>
          </wp:anchor>
        </w:drawing>
        <w:drawing>
          <wp:anchor simplePos="0" relativeHeight="251657728" behindDoc="1" locked="0" layoutInCell="0" allowOverlap="1">
            <wp:simplePos x="0" y="0"/>
            <wp:positionH relativeFrom="column">
              <wp:posOffset>4135755</wp:posOffset>
            </wp:positionH>
            <wp:positionV relativeFrom="paragraph">
              <wp:posOffset>-649605</wp:posOffset>
            </wp:positionV>
            <wp:extent cx="59690" cy="6629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294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-1709420</wp:posOffset>
            </wp:positionH>
            <wp:positionV relativeFrom="paragraph">
              <wp:posOffset>20320</wp:posOffset>
            </wp:positionV>
            <wp:extent cx="7323455" cy="51828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182870"/>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340" w:space="340"/>
            <w:col w:w="884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Vecchi Piero</w:t>
        </w:r>
      </w:hyperlink>
    </w:p>
    <w:p>
      <w:pPr>
        <w:spacing w:after="0" w:line="323"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5 MERCHANT SQUARE</w:t>
      </w:r>
    </w:p>
    <w:p>
      <w:pPr>
        <w:spacing w:after="0" w:line="72"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NORTH WHARF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LivaNova PLC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LIVN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03/11/2016</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4" w:right="660" w:hanging="4"/>
        <w:spacing w:after="0" w:line="254"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4"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6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064"/>
        <w:spacing w:after="0"/>
        <w:rPr>
          <w:sz w:val="20"/>
          <w:szCs w:val="20"/>
          <w:color w:val="auto"/>
        </w:rPr>
      </w:pPr>
      <w:r>
        <w:rPr>
          <w:rFonts w:ascii="Arial" w:cs="Arial" w:eastAsia="Arial" w:hAnsi="Arial"/>
          <w:sz w:val="17"/>
          <w:szCs w:val="17"/>
          <w:color w:val="0000FF"/>
        </w:rPr>
        <w:t>VP &amp; Controller</w:t>
      </w:r>
    </w:p>
    <w:p>
      <w:pPr>
        <w:spacing w:after="0" w:line="406" w:lineRule="exact"/>
        <w:rPr>
          <w:sz w:val="24"/>
          <w:szCs w:val="24"/>
          <w:color w:val="auto"/>
        </w:rPr>
      </w:pPr>
    </w:p>
    <w:p>
      <w:pPr>
        <w:sectPr>
          <w:pgSz w:w="11900" w:h="16838" w:orient="portrait"/>
          <w:cols w:equalWidth="0" w:num="3">
            <w:col w:w="3340" w:space="720"/>
            <w:col w:w="3256" w:space="720"/>
            <w:col w:w="3484"/>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92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840" w:type="dxa"/>
            <w:vAlign w:val="bottom"/>
            <w:gridSpan w:val="8"/>
          </w:tcPr>
          <w:p>
            <w:pPr>
              <w:jc w:val="center"/>
              <w:ind w:right="98"/>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0"/>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gridSpan w:val="2"/>
          </w:tcPr>
          <w:p>
            <w:pPr>
              <w:ind w:left="28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7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3760" w:type="dxa"/>
            <w:vAlign w:val="bottom"/>
            <w:gridSpan w:val="10"/>
            <w:vMerge w:val="restart"/>
          </w:tcPr>
          <w:p>
            <w:pPr>
              <w:ind w:left="4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rPr>
              <w:t>LONDON</w:t>
            </w:r>
          </w:p>
        </w:tc>
        <w:tc>
          <w:tcPr>
            <w:tcW w:w="780" w:type="dxa"/>
            <w:vAlign w:val="bottom"/>
            <w:vMerge w:val="restart"/>
          </w:tcPr>
          <w:p>
            <w:pPr>
              <w:ind w:left="500"/>
              <w:spacing w:after="0"/>
              <w:rPr>
                <w:sz w:val="20"/>
                <w:szCs w:val="20"/>
                <w:color w:val="auto"/>
              </w:rPr>
            </w:pPr>
            <w:r>
              <w:rPr>
                <w:rFonts w:ascii="Arial" w:cs="Arial" w:eastAsia="Arial" w:hAnsi="Arial"/>
                <w:sz w:val="17"/>
                <w:szCs w:val="17"/>
                <w:color w:val="0000FF"/>
              </w:rPr>
              <w:t>X0</w:t>
            </w:r>
          </w:p>
        </w:tc>
        <w:tc>
          <w:tcPr>
            <w:tcW w:w="920" w:type="dxa"/>
            <w:vAlign w:val="bottom"/>
          </w:tcPr>
          <w:p>
            <w:pPr>
              <w:spacing w:after="0"/>
              <w:rPr>
                <w:sz w:val="11"/>
                <w:szCs w:val="11"/>
                <w:color w:val="auto"/>
              </w:rPr>
            </w:pPr>
          </w:p>
        </w:tc>
        <w:tc>
          <w:tcPr>
            <w:tcW w:w="1300" w:type="dxa"/>
            <w:vAlign w:val="bottom"/>
            <w:vMerge w:val="restart"/>
          </w:tcPr>
          <w:p>
            <w:pPr>
              <w:ind w:left="60"/>
              <w:spacing w:after="0"/>
              <w:rPr>
                <w:sz w:val="20"/>
                <w:szCs w:val="20"/>
                <w:color w:val="auto"/>
              </w:rPr>
            </w:pPr>
            <w:r>
              <w:rPr>
                <w:rFonts w:ascii="Arial" w:cs="Arial" w:eastAsia="Arial" w:hAnsi="Arial"/>
                <w:sz w:val="17"/>
                <w:szCs w:val="17"/>
                <w:color w:val="0000FF"/>
              </w:rPr>
              <w:t>W2 1AY</w:t>
            </w: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76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920" w:type="dxa"/>
            <w:vAlign w:val="bottom"/>
          </w:tcPr>
          <w:p>
            <w:pPr>
              <w:spacing w:after="0"/>
              <w:rPr>
                <w:sz w:val="9"/>
                <w:szCs w:val="9"/>
                <w:color w:val="auto"/>
              </w:rPr>
            </w:pPr>
          </w:p>
        </w:tc>
        <w:tc>
          <w:tcPr>
            <w:tcW w:w="130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7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tcBorders>
              <w:bottom w:val="single" w:sz="8" w:color="9A9A9A"/>
            </w:tcBorders>
          </w:tcPr>
          <w:p>
            <w:pPr>
              <w:spacing w:after="0"/>
              <w:rPr>
                <w:sz w:val="5"/>
                <w:szCs w:val="5"/>
                <w:color w:val="auto"/>
              </w:rPr>
            </w:pPr>
          </w:p>
        </w:tc>
        <w:tc>
          <w:tcPr>
            <w:tcW w:w="780" w:type="dxa"/>
            <w:vAlign w:val="bottom"/>
            <w:tcBorders>
              <w:bottom w:val="single" w:sz="8" w:color="9A9A9A"/>
            </w:tcBorders>
          </w:tcPr>
          <w:p>
            <w:pPr>
              <w:spacing w:after="0"/>
              <w:rPr>
                <w:sz w:val="5"/>
                <w:szCs w:val="5"/>
                <w:color w:val="auto"/>
              </w:rPr>
            </w:pPr>
          </w:p>
        </w:tc>
        <w:tc>
          <w:tcPr>
            <w:tcW w:w="920" w:type="dxa"/>
            <w:vAlign w:val="bottom"/>
            <w:tcBorders>
              <w:bottom w:val="single" w:sz="8" w:color="9A9A9A"/>
            </w:tcBorders>
          </w:tcPr>
          <w:p>
            <w:pPr>
              <w:spacing w:after="0"/>
              <w:rPr>
                <w:sz w:val="5"/>
                <w:szCs w:val="5"/>
                <w:color w:val="auto"/>
              </w:rPr>
            </w:pPr>
          </w:p>
        </w:tc>
        <w:tc>
          <w:tcPr>
            <w:tcW w:w="130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64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700" w:type="dxa"/>
            <w:vAlign w:val="bottom"/>
            <w:gridSpan w:val="2"/>
            <w:vMerge w:val="restart"/>
          </w:tcPr>
          <w:p>
            <w:pPr>
              <w:ind w:left="500"/>
              <w:spacing w:after="0"/>
              <w:rPr>
                <w:sz w:val="20"/>
                <w:szCs w:val="20"/>
                <w:color w:val="auto"/>
              </w:rPr>
            </w:pPr>
            <w:r>
              <w:rPr>
                <w:rFonts w:ascii="Arial" w:cs="Arial" w:eastAsia="Arial" w:hAnsi="Arial"/>
                <w:sz w:val="13"/>
                <w:szCs w:val="13"/>
                <w:color w:val="auto"/>
              </w:rPr>
              <w:t>(State)</w:t>
            </w:r>
          </w:p>
        </w:tc>
        <w:tc>
          <w:tcPr>
            <w:tcW w:w="130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480" w:type="dxa"/>
            <w:vAlign w:val="bottom"/>
          </w:tcPr>
          <w:p>
            <w:pPr>
              <w:spacing w:after="0"/>
              <w:rPr>
                <w:sz w:val="6"/>
                <w:szCs w:val="6"/>
                <w:color w:val="auto"/>
              </w:rPr>
            </w:pPr>
          </w:p>
        </w:tc>
        <w:tc>
          <w:tcPr>
            <w:tcW w:w="36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1700" w:type="dxa"/>
            <w:vAlign w:val="bottom"/>
            <w:gridSpan w:val="2"/>
            <w:vMerge w:val="continue"/>
          </w:tcPr>
          <w:p>
            <w:pPr>
              <w:spacing w:after="0"/>
              <w:rPr>
                <w:sz w:val="19"/>
                <w:szCs w:val="19"/>
                <w:color w:val="auto"/>
              </w:rPr>
            </w:pPr>
          </w:p>
        </w:tc>
        <w:tc>
          <w:tcPr>
            <w:tcW w:w="130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3"/>
          </w:tcPr>
          <w:p>
            <w:pPr>
              <w:spacing w:after="0"/>
              <w:rPr>
                <w:sz w:val="11"/>
                <w:szCs w:val="11"/>
                <w:color w:val="auto"/>
              </w:rPr>
            </w:pPr>
          </w:p>
        </w:tc>
        <w:tc>
          <w:tcPr>
            <w:tcW w:w="1720" w:type="dxa"/>
            <w:vAlign w:val="bottom"/>
            <w:tcBorders>
              <w:bottom w:val="single" w:sz="8" w:color="2C2C2C"/>
            </w:tcBorders>
            <w:gridSpan w:val="5"/>
          </w:tcPr>
          <w:p>
            <w:pPr>
              <w:spacing w:after="0"/>
              <w:rPr>
                <w:sz w:val="11"/>
                <w:szCs w:val="11"/>
                <w:color w:val="auto"/>
              </w:rPr>
            </w:pPr>
          </w:p>
        </w:tc>
        <w:tc>
          <w:tcPr>
            <w:tcW w:w="2660" w:type="dxa"/>
            <w:vAlign w:val="bottom"/>
            <w:tcBorders>
              <w:bottom w:val="single" w:sz="8" w:color="2C2C2C"/>
            </w:tcBorders>
            <w:gridSpan w:val="4"/>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7400" w:type="dxa"/>
            <w:vAlign w:val="bottom"/>
            <w:tcBorders>
              <w:top w:val="single" w:sz="8" w:color="2C2C2C"/>
            </w:tcBorders>
            <w:gridSpan w:val="15"/>
          </w:tcPr>
          <w:p>
            <w:pPr>
              <w:ind w:left="7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580" w:type="dxa"/>
            <w:vAlign w:val="bottom"/>
            <w:tcBorders>
              <w:bottom w:val="single" w:sz="8" w:color="2C2C2C"/>
            </w:tcBorders>
            <w:gridSpan w:val="4"/>
          </w:tcPr>
          <w:p>
            <w:pPr>
              <w:spacing w:after="0"/>
              <w:rPr>
                <w:sz w:val="4"/>
                <w:szCs w:val="4"/>
                <w:color w:val="auto"/>
              </w:rPr>
            </w:pPr>
          </w:p>
        </w:tc>
        <w:tc>
          <w:tcPr>
            <w:tcW w:w="132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58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3"/>
          </w:tcPr>
          <w:p>
            <w:pPr>
              <w:ind w:left="86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00" w:type="dxa"/>
            <w:vAlign w:val="bottom"/>
          </w:tcPr>
          <w:p>
            <w:pPr>
              <w:ind w:left="860"/>
              <w:spacing w:after="0" w:line="132"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40" w:type="dxa"/>
            <w:vAlign w:val="bottom"/>
            <w:gridSpan w:val="3"/>
          </w:tcPr>
          <w:p>
            <w:pPr>
              <w:ind w:left="40"/>
              <w:spacing w:after="0" w:line="132"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4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6"/>
              </w:rPr>
              <w:t>Transaction</w:t>
            </w:r>
          </w:p>
        </w:tc>
        <w:tc>
          <w:tcPr>
            <w:tcW w:w="1980" w:type="dxa"/>
            <w:vAlign w:val="bottom"/>
            <w:gridSpan w:val="4"/>
          </w:tcPr>
          <w:p>
            <w:pPr>
              <w:ind w:left="14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4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10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940" w:type="dxa"/>
            <w:vAlign w:val="bottom"/>
            <w:gridSpan w:val="3"/>
          </w:tcPr>
          <w:p>
            <w:pPr>
              <w:ind w:left="860"/>
              <w:spacing w:after="0" w:line="134"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80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80" w:type="dxa"/>
            <w:vAlign w:val="bottom"/>
          </w:tcPr>
          <w:p>
            <w:pPr>
              <w:spacing w:after="0"/>
              <w:rPr>
                <w:sz w:val="6"/>
                <w:szCs w:val="6"/>
                <w:color w:val="auto"/>
              </w:rPr>
            </w:pPr>
          </w:p>
        </w:tc>
        <w:tc>
          <w:tcPr>
            <w:tcW w:w="920" w:type="dxa"/>
            <w:vAlign w:val="bottom"/>
          </w:tcPr>
          <w:p>
            <w:pPr>
              <w:spacing w:after="0"/>
              <w:rPr>
                <w:sz w:val="6"/>
                <w:szCs w:val="6"/>
                <w:color w:val="auto"/>
              </w:rPr>
            </w:pPr>
          </w:p>
        </w:tc>
        <w:tc>
          <w:tcPr>
            <w:tcW w:w="130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480" w:type="dxa"/>
            <w:vAlign w:val="bottom"/>
          </w:tcPr>
          <w:p>
            <w:pPr>
              <w:spacing w:after="0"/>
              <w:rPr>
                <w:sz w:val="6"/>
                <w:szCs w:val="6"/>
                <w:color w:val="auto"/>
              </w:rPr>
            </w:pPr>
          </w:p>
        </w:tc>
        <w:tc>
          <w:tcPr>
            <w:tcW w:w="36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30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00"/>
              <w:spacing w:after="0" w:line="134"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7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0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920" w:type="dxa"/>
            <w:vAlign w:val="bottom"/>
          </w:tcPr>
          <w:p>
            <w:pPr>
              <w:spacing w:after="0"/>
              <w:rPr>
                <w:sz w:val="5"/>
                <w:szCs w:val="5"/>
                <w:color w:val="auto"/>
              </w:rPr>
            </w:pPr>
          </w:p>
        </w:tc>
        <w:tc>
          <w:tcPr>
            <w:tcW w:w="130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1320" w:type="dxa"/>
            <w:vAlign w:val="bottom"/>
            <w:tcBorders>
              <w:bottom w:val="single" w:sz="8" w:color="2C2C2C"/>
            </w:tcBorders>
            <w:gridSpan w:val="2"/>
          </w:tcPr>
          <w:p>
            <w:pPr>
              <w:spacing w:after="0"/>
              <w:rPr>
                <w:sz w:val="7"/>
                <w:szCs w:val="7"/>
                <w:color w:val="auto"/>
              </w:rPr>
            </w:pPr>
          </w:p>
        </w:tc>
        <w:tc>
          <w:tcPr>
            <w:tcW w:w="1720" w:type="dxa"/>
            <w:vAlign w:val="bottom"/>
            <w:tcBorders>
              <w:bottom w:val="single" w:sz="8" w:color="2C2C2C"/>
            </w:tcBorders>
            <w:gridSpan w:val="5"/>
          </w:tcPr>
          <w:p>
            <w:pPr>
              <w:spacing w:after="0"/>
              <w:rPr>
                <w:sz w:val="7"/>
                <w:szCs w:val="7"/>
                <w:color w:val="auto"/>
              </w:rPr>
            </w:pPr>
          </w:p>
        </w:tc>
        <w:tc>
          <w:tcPr>
            <w:tcW w:w="2660" w:type="dxa"/>
            <w:vAlign w:val="bottom"/>
            <w:tcBorders>
              <w:bottom w:val="single" w:sz="8" w:color="2C2C2C"/>
            </w:tcBorders>
            <w:gridSpan w:val="4"/>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4"/>
          </w:tcPr>
          <w:p>
            <w:pPr>
              <w:jc w:val="center"/>
              <w:ind w:right="7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760" w:type="dxa"/>
            <w:vAlign w:val="bottom"/>
            <w:gridSpan w:val="12"/>
          </w:tcPr>
          <w:p>
            <w:pPr>
              <w:jc w:val="center"/>
              <w:ind w:left="511"/>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300" w:type="dxa"/>
            <w:vAlign w:val="bottom"/>
          </w:tcPr>
          <w:p>
            <w:pPr>
              <w:ind w:left="260"/>
              <w:spacing w:after="0"/>
              <w:rPr>
                <w:sz w:val="20"/>
                <w:szCs w:val="20"/>
                <w:color w:val="auto"/>
              </w:rPr>
            </w:pPr>
            <w:r>
              <w:rPr>
                <w:rFonts w:ascii="Arial" w:cs="Arial" w:eastAsia="Arial" w:hAnsi="Arial"/>
                <w:sz w:val="12"/>
                <w:szCs w:val="12"/>
                <w:b w:val="1"/>
                <w:bCs w:val="1"/>
                <w:color w:val="auto"/>
              </w:rPr>
              <w:t>3A. Deemed</w:t>
            </w: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Conversion</w:t>
            </w:r>
          </w:p>
        </w:tc>
        <w:tc>
          <w:tcPr>
            <w:tcW w:w="9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Date</w:t>
            </w:r>
          </w:p>
        </w:tc>
        <w:tc>
          <w:tcPr>
            <w:tcW w:w="1300" w:type="dxa"/>
            <w:vAlign w:val="bottom"/>
          </w:tcPr>
          <w:p>
            <w:pPr>
              <w:ind w:left="260"/>
              <w:spacing w:after="0" w:line="134"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148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4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Price of</w:t>
            </w:r>
          </w:p>
        </w:tc>
        <w:tc>
          <w:tcPr>
            <w:tcW w:w="920" w:type="dxa"/>
            <w:vAlign w:val="bottom"/>
          </w:tcPr>
          <w:p>
            <w:pPr>
              <w:spacing w:after="0"/>
              <w:rPr>
                <w:sz w:val="11"/>
                <w:szCs w:val="11"/>
                <w:color w:val="auto"/>
              </w:rPr>
            </w:pPr>
          </w:p>
        </w:tc>
        <w:tc>
          <w:tcPr>
            <w:tcW w:w="1300" w:type="dxa"/>
            <w:vAlign w:val="bottom"/>
          </w:tcPr>
          <w:p>
            <w:pPr>
              <w:ind w:left="260"/>
              <w:spacing w:after="0" w:line="134"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0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0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(D)</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80" w:type="dxa"/>
            <w:vAlign w:val="bottom"/>
            <w:gridSpan w:val="2"/>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tcPr>
          <w:p>
            <w:pPr>
              <w:jc w:val="right"/>
              <w:ind w:right="297"/>
              <w:spacing w:after="0"/>
              <w:rPr>
                <w:sz w:val="20"/>
                <w:szCs w:val="20"/>
                <w:color w:val="auto"/>
              </w:rPr>
            </w:pPr>
            <w:r>
              <w:rPr>
                <w:rFonts w:ascii="Arial" w:cs="Arial" w:eastAsia="Arial" w:hAnsi="Arial"/>
                <w:sz w:val="11"/>
                <w:szCs w:val="11"/>
                <w:color w:val="008000"/>
              </w:rPr>
              <w:t>(1)</w:t>
            </w:r>
          </w:p>
        </w:tc>
        <w:tc>
          <w:tcPr>
            <w:tcW w:w="920" w:type="dxa"/>
            <w:vAlign w:val="bottom"/>
          </w:tcPr>
          <w:p>
            <w:pPr>
              <w:jc w:val="right"/>
              <w:spacing w:after="0"/>
              <w:rPr>
                <w:sz w:val="20"/>
                <w:szCs w:val="20"/>
                <w:color w:val="auto"/>
              </w:rPr>
            </w:pPr>
            <w:r>
              <w:rPr>
                <w:rFonts w:ascii="Arial" w:cs="Arial" w:eastAsia="Arial" w:hAnsi="Arial"/>
                <w:sz w:val="13"/>
                <w:szCs w:val="13"/>
                <w:color w:val="0000FF"/>
              </w:rPr>
              <w:t>03/11/2016</w:t>
            </w: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ind w:left="160"/>
              <w:spacing w:after="0"/>
              <w:rPr>
                <w:sz w:val="20"/>
                <w:szCs w:val="20"/>
                <w:color w:val="auto"/>
              </w:rPr>
            </w:pPr>
            <w:r>
              <w:rPr>
                <w:rFonts w:ascii="Arial" w:cs="Arial" w:eastAsia="Arial" w:hAnsi="Arial"/>
                <w:sz w:val="13"/>
                <w:szCs w:val="13"/>
                <w:color w:val="0000FF"/>
              </w:rPr>
              <w:t>A</w:t>
            </w:r>
          </w:p>
        </w:tc>
        <w:tc>
          <w:tcPr>
            <w:tcW w:w="200" w:type="dxa"/>
            <w:vAlign w:val="bottom"/>
          </w:tcPr>
          <w:p>
            <w:pPr>
              <w:spacing w:after="0"/>
              <w:rPr>
                <w:sz w:val="20"/>
                <w:szCs w:val="20"/>
                <w:color w:val="auto"/>
              </w:rPr>
            </w:pPr>
          </w:p>
        </w:tc>
        <w:tc>
          <w:tcPr>
            <w:tcW w:w="480" w:type="dxa"/>
            <w:vAlign w:val="bottom"/>
          </w:tcPr>
          <w:p>
            <w:pPr>
              <w:ind w:left="80"/>
              <w:spacing w:after="0"/>
              <w:rPr>
                <w:sz w:val="20"/>
                <w:szCs w:val="20"/>
                <w:color w:val="auto"/>
              </w:rPr>
            </w:pPr>
            <w:r>
              <w:rPr>
                <w:rFonts w:ascii="Arial" w:cs="Arial" w:eastAsia="Arial" w:hAnsi="Arial"/>
                <w:sz w:val="13"/>
                <w:szCs w:val="13"/>
                <w:color w:val="0000FF"/>
              </w:rPr>
              <w:t>1,732</w:t>
            </w:r>
          </w:p>
        </w:tc>
        <w:tc>
          <w:tcPr>
            <w:tcW w:w="360" w:type="dxa"/>
            <w:vAlign w:val="bottom"/>
          </w:tcPr>
          <w:p>
            <w:pPr>
              <w:spacing w:after="0"/>
              <w:rPr>
                <w:sz w:val="20"/>
                <w:szCs w:val="20"/>
                <w:color w:val="auto"/>
              </w:rPr>
            </w:pPr>
          </w:p>
        </w:tc>
        <w:tc>
          <w:tcPr>
            <w:tcW w:w="800" w:type="dxa"/>
            <w:vAlign w:val="bottom"/>
            <w:gridSpan w:val="2"/>
          </w:tcPr>
          <w:p>
            <w:pPr>
              <w:ind w:left="260"/>
              <w:spacing w:after="0"/>
              <w:rPr>
                <w:sz w:val="20"/>
                <w:szCs w:val="20"/>
                <w:color w:val="auto"/>
              </w:rPr>
            </w:pPr>
            <w:r>
              <w:rPr>
                <w:rFonts w:ascii="Arial" w:cs="Arial" w:eastAsia="Arial" w:hAnsi="Arial"/>
                <w:sz w:val="11"/>
                <w:szCs w:val="11"/>
                <w:color w:val="008000"/>
              </w:rPr>
              <w:t>(2)</w:t>
            </w:r>
          </w:p>
        </w:tc>
        <w:tc>
          <w:tcPr>
            <w:tcW w:w="680" w:type="dxa"/>
            <w:vAlign w:val="bottom"/>
          </w:tcPr>
          <w:p>
            <w:pPr>
              <w:ind w:left="240"/>
              <w:spacing w:after="0"/>
              <w:rPr>
                <w:sz w:val="20"/>
                <w:szCs w:val="20"/>
                <w:color w:val="auto"/>
              </w:rPr>
            </w:pPr>
            <w:r>
              <w:rPr>
                <w:rFonts w:ascii="Arial" w:cs="Arial" w:eastAsia="Arial" w:hAnsi="Arial"/>
                <w:sz w:val="11"/>
                <w:szCs w:val="11"/>
                <w:color w:val="008000"/>
              </w:rPr>
              <w:t>(2)</w:t>
            </w:r>
          </w:p>
        </w:tc>
        <w:tc>
          <w:tcPr>
            <w:tcW w:w="700" w:type="dxa"/>
            <w:vAlign w:val="bottom"/>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tcPr>
          <w:p>
            <w:pPr>
              <w:ind w:left="40"/>
              <w:spacing w:after="0"/>
              <w:rPr>
                <w:sz w:val="20"/>
                <w:szCs w:val="20"/>
                <w:color w:val="auto"/>
              </w:rPr>
            </w:pPr>
            <w:r>
              <w:rPr>
                <w:rFonts w:ascii="Arial" w:cs="Arial" w:eastAsia="Arial" w:hAnsi="Arial"/>
                <w:sz w:val="17"/>
                <w:szCs w:val="17"/>
                <w:color w:val="0000FF"/>
              </w:rPr>
              <w:t>1,732</w:t>
            </w:r>
          </w:p>
        </w:tc>
        <w:tc>
          <w:tcPr>
            <w:tcW w:w="60" w:type="dxa"/>
            <w:vAlign w:val="bottom"/>
          </w:tcPr>
          <w:p>
            <w:pPr>
              <w:spacing w:after="0"/>
              <w:rPr>
                <w:sz w:val="20"/>
                <w:szCs w:val="20"/>
                <w:color w:val="auto"/>
              </w:rPr>
            </w:pPr>
          </w:p>
        </w:tc>
        <w:tc>
          <w:tcPr>
            <w:tcW w:w="72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tcPr>
          <w:p>
            <w:pPr>
              <w:ind w:left="280"/>
              <w:spacing w:after="0"/>
              <w:rPr>
                <w:sz w:val="20"/>
                <w:szCs w:val="20"/>
                <w:color w:val="auto"/>
              </w:rPr>
            </w:pPr>
            <w:r>
              <w:rPr>
                <w:rFonts w:ascii="Arial" w:cs="Arial" w:eastAsia="Arial" w:hAnsi="Arial"/>
                <w:sz w:val="13"/>
                <w:szCs w:val="13"/>
                <w:color w:val="0000FF"/>
                <w:w w:val="92"/>
              </w:rPr>
              <w:t>1,732</w:t>
            </w:r>
          </w:p>
        </w:tc>
        <w:tc>
          <w:tcPr>
            <w:tcW w:w="300" w:type="dxa"/>
            <w:vAlign w:val="bottom"/>
          </w:tcPr>
          <w:p>
            <w:pPr>
              <w:spacing w:after="0"/>
              <w:rPr>
                <w:sz w:val="20"/>
                <w:szCs w:val="20"/>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80" w:type="dxa"/>
            <w:vAlign w:val="bottom"/>
            <w:tcBorders>
              <w:bottom w:val="single" w:sz="8" w:color="2C2C2C"/>
            </w:tcBorders>
            <w:gridSpan w:val="2"/>
          </w:tcPr>
          <w:p>
            <w:pPr>
              <w:ind w:left="60"/>
              <w:spacing w:after="0"/>
              <w:rPr>
                <w:sz w:val="20"/>
                <w:szCs w:val="20"/>
                <w:color w:val="auto"/>
              </w:rPr>
            </w:pPr>
            <w:r>
              <w:rPr>
                <w:rFonts w:ascii="Arial" w:cs="Arial" w:eastAsia="Arial" w:hAnsi="Arial"/>
                <w:sz w:val="13"/>
                <w:szCs w:val="13"/>
                <w:color w:val="0000FF"/>
              </w:rPr>
              <w:t>Stock Units</w:t>
            </w:r>
          </w:p>
        </w:tc>
        <w:tc>
          <w:tcPr>
            <w:tcW w:w="78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13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Stock</w:t>
            </w:r>
          </w:p>
        </w:tc>
        <w:tc>
          <w:tcPr>
            <w:tcW w:w="54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0" w:type="dxa"/>
            <w:vAlign w:val="bottom"/>
            <w:gridSpan w:val="2"/>
            <w:vMerge w:val="restart"/>
          </w:tcPr>
          <w:p>
            <w:pPr>
              <w:ind w:left="260"/>
              <w:spacing w:after="0"/>
              <w:rPr>
                <w:sz w:val="20"/>
                <w:szCs w:val="20"/>
                <w:color w:val="auto"/>
              </w:rPr>
            </w:pPr>
            <w:r>
              <w:rPr>
                <w:rFonts w:ascii="Arial" w:cs="Arial" w:eastAsia="Arial" w:hAnsi="Arial"/>
                <w:sz w:val="11"/>
                <w:szCs w:val="11"/>
                <w:color w:val="008000"/>
              </w:rPr>
              <w:t>(3)</w:t>
            </w:r>
          </w:p>
        </w:tc>
        <w:tc>
          <w:tcPr>
            <w:tcW w:w="680" w:type="dxa"/>
            <w:vAlign w:val="bottom"/>
            <w:vMerge w:val="restart"/>
          </w:tcPr>
          <w:p>
            <w:pPr>
              <w:ind w:left="240"/>
              <w:spacing w:after="0"/>
              <w:rPr>
                <w:sz w:val="20"/>
                <w:szCs w:val="20"/>
                <w:color w:val="auto"/>
              </w:rPr>
            </w:pPr>
            <w:r>
              <w:rPr>
                <w:rFonts w:ascii="Arial" w:cs="Arial" w:eastAsia="Arial" w:hAnsi="Arial"/>
                <w:sz w:val="11"/>
                <w:szCs w:val="11"/>
                <w:color w:val="008000"/>
              </w:rPr>
              <w:t>(3)</w:t>
            </w:r>
          </w:p>
        </w:tc>
        <w:tc>
          <w:tcPr>
            <w:tcW w:w="70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ind w:left="40"/>
              <w:spacing w:after="0"/>
              <w:rPr>
                <w:sz w:val="20"/>
                <w:szCs w:val="20"/>
                <w:color w:val="auto"/>
              </w:rPr>
            </w:pPr>
            <w:r>
              <w:rPr>
                <w:rFonts w:ascii="Arial" w:cs="Arial" w:eastAsia="Arial" w:hAnsi="Arial"/>
                <w:sz w:val="17"/>
                <w:szCs w:val="17"/>
                <w:color w:val="0000FF"/>
              </w:rPr>
              <w:t>5,656</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80" w:type="dxa"/>
            <w:vAlign w:val="bottom"/>
            <w:gridSpan w:val="2"/>
          </w:tcPr>
          <w:p>
            <w:pPr>
              <w:ind w:left="60"/>
              <w:spacing w:after="0" w:line="131" w:lineRule="exact"/>
              <w:rPr>
                <w:sz w:val="20"/>
                <w:szCs w:val="20"/>
                <w:color w:val="auto"/>
              </w:rPr>
            </w:pPr>
            <w:r>
              <w:rPr>
                <w:rFonts w:ascii="Arial" w:cs="Arial" w:eastAsia="Arial" w:hAnsi="Arial"/>
                <w:sz w:val="13"/>
                <w:szCs w:val="13"/>
                <w:color w:val="0000FF"/>
              </w:rPr>
              <w:t>Appreciation</w:t>
            </w:r>
          </w:p>
        </w:tc>
        <w:tc>
          <w:tcPr>
            <w:tcW w:w="780" w:type="dxa"/>
            <w:vAlign w:val="bottom"/>
          </w:tcPr>
          <w:p>
            <w:pPr>
              <w:jc w:val="center"/>
              <w:ind w:right="177"/>
              <w:spacing w:after="0" w:line="131"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57.6</w:t>
            </w:r>
          </w:p>
        </w:tc>
        <w:tc>
          <w:tcPr>
            <w:tcW w:w="920" w:type="dxa"/>
            <w:vAlign w:val="bottom"/>
          </w:tcPr>
          <w:p>
            <w:pPr>
              <w:jc w:val="right"/>
              <w:spacing w:after="0" w:line="131" w:lineRule="exact"/>
              <w:rPr>
                <w:sz w:val="20"/>
                <w:szCs w:val="20"/>
                <w:color w:val="auto"/>
              </w:rPr>
            </w:pPr>
            <w:r>
              <w:rPr>
                <w:rFonts w:ascii="Arial" w:cs="Arial" w:eastAsia="Arial" w:hAnsi="Arial"/>
                <w:sz w:val="13"/>
                <w:szCs w:val="13"/>
                <w:color w:val="0000FF"/>
              </w:rPr>
              <w:t>03/11/2016</w:t>
            </w:r>
          </w:p>
        </w:tc>
        <w:tc>
          <w:tcPr>
            <w:tcW w:w="1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ind w:left="160"/>
              <w:spacing w:after="0" w:line="131" w:lineRule="exact"/>
              <w:rPr>
                <w:sz w:val="20"/>
                <w:szCs w:val="20"/>
                <w:color w:val="auto"/>
              </w:rPr>
            </w:pPr>
            <w:r>
              <w:rPr>
                <w:rFonts w:ascii="Arial" w:cs="Arial" w:eastAsia="Arial" w:hAnsi="Arial"/>
                <w:sz w:val="13"/>
                <w:szCs w:val="13"/>
                <w:color w:val="0000FF"/>
              </w:rPr>
              <w:t>A</w:t>
            </w:r>
          </w:p>
        </w:tc>
        <w:tc>
          <w:tcPr>
            <w:tcW w:w="200" w:type="dxa"/>
            <w:vAlign w:val="bottom"/>
          </w:tcPr>
          <w:p>
            <w:pPr>
              <w:spacing w:after="0"/>
              <w:rPr>
                <w:sz w:val="11"/>
                <w:szCs w:val="11"/>
                <w:color w:val="auto"/>
              </w:rPr>
            </w:pPr>
          </w:p>
        </w:tc>
        <w:tc>
          <w:tcPr>
            <w:tcW w:w="480" w:type="dxa"/>
            <w:vAlign w:val="bottom"/>
          </w:tcPr>
          <w:p>
            <w:pPr>
              <w:ind w:left="80"/>
              <w:spacing w:after="0" w:line="131" w:lineRule="exact"/>
              <w:rPr>
                <w:sz w:val="20"/>
                <w:szCs w:val="20"/>
                <w:color w:val="auto"/>
              </w:rPr>
            </w:pPr>
            <w:r>
              <w:rPr>
                <w:rFonts w:ascii="Arial" w:cs="Arial" w:eastAsia="Arial" w:hAnsi="Arial"/>
                <w:sz w:val="13"/>
                <w:szCs w:val="13"/>
                <w:color w:val="0000FF"/>
              </w:rPr>
              <w:t>5,656</w:t>
            </w:r>
          </w:p>
        </w:tc>
        <w:tc>
          <w:tcPr>
            <w:tcW w:w="36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40"/>
              <w:spacing w:after="0" w:line="131"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tcPr>
          <w:p>
            <w:pPr>
              <w:ind w:left="280"/>
              <w:spacing w:after="0" w:line="131" w:lineRule="exact"/>
              <w:rPr>
                <w:sz w:val="20"/>
                <w:szCs w:val="20"/>
                <w:color w:val="auto"/>
              </w:rPr>
            </w:pPr>
            <w:r>
              <w:rPr>
                <w:rFonts w:ascii="Arial" w:cs="Arial" w:eastAsia="Arial" w:hAnsi="Arial"/>
                <w:sz w:val="13"/>
                <w:szCs w:val="13"/>
                <w:color w:val="0000FF"/>
                <w:w w:val="92"/>
              </w:rPr>
              <w:t>5,656</w:t>
            </w:r>
          </w:p>
        </w:tc>
        <w:tc>
          <w:tcPr>
            <w:tcW w:w="300" w:type="dxa"/>
            <w:vAlign w:val="bottom"/>
          </w:tcPr>
          <w:p>
            <w:pPr>
              <w:spacing w:after="0"/>
              <w:rPr>
                <w:sz w:val="11"/>
                <w:szCs w:val="11"/>
                <w:color w:val="auto"/>
              </w:rPr>
            </w:pPr>
          </w:p>
        </w:tc>
        <w:tc>
          <w:tcPr>
            <w:tcW w:w="700" w:type="dxa"/>
            <w:vAlign w:val="bottom"/>
          </w:tcPr>
          <w:p>
            <w:pPr>
              <w:ind w:left="340"/>
              <w:spacing w:after="0" w:line="131"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80" w:type="dxa"/>
            <w:vAlign w:val="bottom"/>
            <w:gridSpan w:val="2"/>
            <w:vMerge w:val="restart"/>
          </w:tcPr>
          <w:p>
            <w:pPr>
              <w:ind w:left="60"/>
              <w:spacing w:after="0"/>
              <w:rPr>
                <w:sz w:val="20"/>
                <w:szCs w:val="20"/>
                <w:color w:val="auto"/>
              </w:rPr>
            </w:pPr>
            <w:r>
              <w:rPr>
                <w:rFonts w:ascii="Arial" w:cs="Arial" w:eastAsia="Arial" w:hAnsi="Arial"/>
                <w:sz w:val="13"/>
                <w:szCs w:val="13"/>
                <w:color w:val="0000FF"/>
              </w:rPr>
              <w:t>Rights</w:t>
            </w:r>
          </w:p>
        </w:tc>
        <w:tc>
          <w:tcPr>
            <w:tcW w:w="7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ind w:left="160"/>
              <w:spacing w:after="0" w:line="148" w:lineRule="exact"/>
              <w:rPr>
                <w:sz w:val="20"/>
                <w:szCs w:val="20"/>
                <w:color w:val="auto"/>
              </w:rPr>
            </w:pPr>
            <w:r>
              <w:rPr>
                <w:rFonts w:ascii="Arial" w:cs="Arial" w:eastAsia="Arial" w:hAnsi="Arial"/>
                <w:sz w:val="13"/>
                <w:szCs w:val="13"/>
                <w:color w:val="0000FF"/>
              </w:rPr>
              <w:t>Stock</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7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30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40" w:right="220" w:firstLine="7"/>
        <w:spacing w:after="0" w:line="271"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the Company's Ordinary Shares, or at the option of the Company, a cash settlement in accordance with the terms of the LivaNova PLC 2015 Incentive Award Plan.</w:t>
      </w:r>
    </w:p>
    <w:p>
      <w:pPr>
        <w:spacing w:after="0" w:line="10" w:lineRule="exact"/>
        <w:rPr>
          <w:rFonts w:ascii="Arial" w:cs="Arial" w:eastAsia="Arial" w:hAnsi="Arial"/>
          <w:sz w:val="13"/>
          <w:szCs w:val="13"/>
          <w:color w:val="008000"/>
        </w:rPr>
      </w:pPr>
    </w:p>
    <w:p>
      <w:pPr>
        <w:ind w:left="40" w:right="360" w:firstLine="7"/>
        <w:spacing w:after="0" w:line="271"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was granted restricted stock units subject to a four-year vesting schedule, vesting 25% on each of the four anniversaries of the grant date, March 11, 2016. The restricted stock units are subject to forfeiture prior to vesting in accordance with the terms of the LivaNova PLC 2015 Incentive Award Plan.</w:t>
      </w:r>
    </w:p>
    <w:p>
      <w:pPr>
        <w:spacing w:after="0" w:line="10" w:lineRule="exact"/>
        <w:rPr>
          <w:rFonts w:ascii="Arial" w:cs="Arial" w:eastAsia="Arial" w:hAnsi="Arial"/>
          <w:sz w:val="13"/>
          <w:szCs w:val="13"/>
          <w:color w:val="008000"/>
        </w:rPr>
      </w:pPr>
    </w:p>
    <w:p>
      <w:pPr>
        <w:ind w:left="40" w:right="160" w:firstLine="7"/>
        <w:spacing w:after="0" w:line="253"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Reporting person was granted an award of stock appreciation rights ("SARs"). Subject to the terms and conditions of the LivaNova PLC 2015 Incentive Award Plan, the SARs shall vest in equal installments of 25% on each of the four anniversaries of the grant date, March 11, 2016. Payment of such amount shall be in cash, Ordinary Shares (based on their fair market value as of the date the SAR is exercised) or a combination of both, as determined by the LivaNova PLC 2015 Incentive Aware Plan Administrator.</w:t>
      </w:r>
    </w:p>
    <w:p>
      <w:pPr>
        <w:spacing w:after="0" w:line="3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86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3"/>
              </w:rPr>
              <w:t>/s/ Taylor Pollock, as POA</w:t>
            </w:r>
          </w:p>
        </w:tc>
        <w:tc>
          <w:tcPr>
            <w:tcW w:w="4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03/17/2016</w:t>
            </w:r>
          </w:p>
        </w:tc>
      </w:tr>
      <w:tr>
        <w:trPr>
          <w:trHeight w:val="234"/>
        </w:trPr>
        <w:tc>
          <w:tcPr>
            <w:tcW w:w="22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80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4"/>
          <w:szCs w:val="24"/>
          <w:color w:val="auto"/>
        </w:rPr>
      </w:pPr>
    </w:p>
    <w:p>
      <w:pPr>
        <w:jc w:val="both"/>
        <w:ind w:left="40" w:right="376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56031"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2019-12-09T02:52:21Z</dcterms:created>
  <dcterms:modified xsi:type="dcterms:W3CDTF">2019-12-09T02:52:21Z</dcterms:modified>
</cp:coreProperties>
</file>