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Andrle Edward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General Manager, NM</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2,063</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29,429</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533</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28,896</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2,063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03/01/2019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2,063</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29,308</w:t>
            </w:r>
          </w:p>
        </w:tc>
        <w:tc>
          <w:tcPr>
            <w:tcW w:w="26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5, 2017, reporting person was granted RSUs that vest 25% on the second day after release of LivaNova's full-year 2018 financial results, February 27, 2019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9"/>
              </w:rPr>
              <w:t>/s/ Catherine Moroz,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03/05/2019</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2019-12-24T09:15:59Z</dcterms:created>
  <dcterms:modified xsi:type="dcterms:W3CDTF">2019-12-24T09:15:59Z</dcterms:modified>
</cp:coreProperties>
</file>