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06"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4, 2016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England and Wales</w:t>
            </w:r>
          </w:p>
        </w:tc>
        <w:tc>
          <w:tcPr>
            <w:tcW w:w="5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001-37599</w:t>
            </w:r>
          </w:p>
        </w:tc>
        <w:tc>
          <w:tcPr>
            <w:tcW w:w="174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90"/>
              <w:spacing w:after="0"/>
              <w:rPr>
                <w:sz w:val="20"/>
                <w:szCs w:val="20"/>
                <w:color w:val="auto"/>
              </w:rPr>
            </w:pPr>
            <w:r>
              <w:rPr>
                <w:rFonts w:ascii="Arial" w:cs="Arial" w:eastAsia="Arial" w:hAnsi="Arial"/>
                <w:sz w:val="18"/>
                <w:szCs w:val="18"/>
                <w:color w:val="auto"/>
                <w:w w:val="90"/>
              </w:rPr>
              <w:t>(State or Other Jurisdiction</w:t>
            </w:r>
          </w:p>
        </w:tc>
        <w:tc>
          <w:tcPr>
            <w:tcW w:w="5420" w:type="dxa"/>
            <w:vAlign w:val="bottom"/>
          </w:tcPr>
          <w:p>
            <w:pPr>
              <w:jc w:val="center"/>
              <w:ind w:right="110"/>
              <w:spacing w:after="0"/>
              <w:rPr>
                <w:sz w:val="20"/>
                <w:szCs w:val="20"/>
                <w:color w:val="auto"/>
              </w:rPr>
            </w:pPr>
            <w:r>
              <w:rPr>
                <w:rFonts w:ascii="Arial" w:cs="Arial" w:eastAsia="Arial" w:hAnsi="Arial"/>
                <w:sz w:val="18"/>
                <w:szCs w:val="18"/>
                <w:color w:val="auto"/>
                <w:w w:val="93"/>
              </w:rPr>
              <w:t>(Commission</w:t>
            </w: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110"/>
              <w:spacing w:after="0"/>
              <w:rPr>
                <w:sz w:val="20"/>
                <w:szCs w:val="20"/>
                <w:color w:val="auto"/>
              </w:rPr>
            </w:pPr>
            <w:r>
              <w:rPr>
                <w:rFonts w:ascii="Arial" w:cs="Arial" w:eastAsia="Arial" w:hAnsi="Arial"/>
                <w:sz w:val="18"/>
                <w:szCs w:val="18"/>
                <w:color w:val="auto"/>
                <w:w w:val="94"/>
              </w:rPr>
              <w:t>File Number)</w:t>
            </w: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95"/>
              </w:rPr>
              <w:t>Identification No.)</w:t>
            </w:r>
          </w:p>
        </w:tc>
      </w:tr>
      <w:tr>
        <w:trPr>
          <w:trHeight w:val="927"/>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5 Merchant Square</w:t>
            </w:r>
          </w:p>
        </w:tc>
        <w:tc>
          <w:tcPr>
            <w:tcW w:w="174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North Wharf Road</w:t>
            </w:r>
          </w:p>
        </w:tc>
        <w:tc>
          <w:tcPr>
            <w:tcW w:w="174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London, W2 1AY</w:t>
            </w:r>
          </w:p>
        </w:tc>
        <w:tc>
          <w:tcPr>
            <w:tcW w:w="174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4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40" w:type="dxa"/>
            <w:vAlign w:val="bottom"/>
          </w:tcPr>
          <w:p>
            <w:pPr>
              <w:spacing w:after="0"/>
              <w:rPr>
                <w:sz w:val="20"/>
                <w:szCs w:val="20"/>
                <w:color w:val="auto"/>
              </w:rPr>
            </w:pPr>
          </w:p>
        </w:tc>
      </w:tr>
      <w:tr>
        <w:trPr>
          <w:trHeight w:val="445"/>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+44 20 37865275</w:t>
            </w: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(Registrant's Telephone Number, Including Area Code)</w:t>
            </w:r>
          </w:p>
        </w:tc>
        <w:tc>
          <w:tcPr>
            <w:tcW w:w="1740" w:type="dxa"/>
            <w:vAlign w:val="bottom"/>
          </w:tcPr>
          <w:p>
            <w:pPr>
              <w:spacing w:after="0"/>
              <w:rPr>
                <w:sz w:val="20"/>
                <w:szCs w:val="20"/>
                <w:color w:val="auto"/>
              </w:rPr>
            </w:pPr>
          </w:p>
        </w:tc>
      </w:tr>
      <w:tr>
        <w:trPr>
          <w:trHeight w:val="445"/>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40" w:type="dxa"/>
            <w:vAlign w:val="bottom"/>
          </w:tcPr>
          <w:p>
            <w:pPr>
              <w:spacing w:after="0"/>
              <w:rPr>
                <w:sz w:val="20"/>
                <w:szCs w:val="20"/>
                <w:color w:val="auto"/>
              </w:rPr>
            </w:pPr>
          </w:p>
        </w:tc>
      </w:tr>
    </w:tbl>
    <w:p>
      <w:pPr>
        <w:spacing w:after="0" w:line="200" w:lineRule="exact"/>
        <w:rPr>
          <w:sz w:val="24"/>
          <w:szCs w:val="24"/>
          <w:color w:val="auto"/>
        </w:rPr>
      </w:pPr>
    </w:p>
    <w:p>
      <w:pPr>
        <w:spacing w:after="0" w:line="27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1111"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May 4, 2016, LivaNova PLC (the "Company") issued a press release announcing financial results for the first quarter ending March 31, 2016. The Company will host a business update conference call and webcast today, May 4, 2016, at 8:00 a.m. Central Time (9:00 a.m. Eastern Time, 2:00 p.m. UK Time), during which the Company will discuss the financial results. The conference call will be available to interested parties through a live audio webcast commencing at 8:00 a.m. Central Time (9:00 a.m. Eastern Time, 2:00 p.m. UK Time) and accessible through the Investor Relations section of the LivaNova corporate website at www.livanova.com. A copy of the Company's press release is furnished as Exhibit 99.1 on this Current Report on Form 8-K.</w:t>
      </w:r>
    </w:p>
    <w:p>
      <w:pPr>
        <w:spacing w:after="0" w:line="18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520" w:hanging="864"/>
        <w:spacing w:after="0"/>
        <w:tabs>
          <w:tab w:leader="none" w:pos="1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8"/>
          <w:szCs w:val="18"/>
          <w:color w:val="auto"/>
        </w:rPr>
        <w:t>Exhibit</w:t>
        <w:tab/>
        <w:t>Press Release issued by LivaNova PLC dated May 4, 2016</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3"/>
          </w:tcPr>
          <w:p>
            <w:pPr>
              <w:ind w:left="2520"/>
              <w:spacing w:after="0"/>
              <w:rPr>
                <w:sz w:val="20"/>
                <w:szCs w:val="20"/>
                <w:color w:val="auto"/>
              </w:rPr>
            </w:pPr>
            <w:r>
              <w:rPr>
                <w:rFonts w:ascii="Arial" w:cs="Arial" w:eastAsia="Arial" w:hAnsi="Arial"/>
                <w:sz w:val="18"/>
                <w:szCs w:val="18"/>
                <w:color w:val="auto"/>
              </w:rPr>
              <w:t>LivaNova PLC</w:t>
            </w:r>
          </w:p>
        </w:tc>
      </w:tr>
      <w:tr>
        <w:trPr>
          <w:trHeight w:val="554"/>
        </w:trPr>
        <w:tc>
          <w:tcPr>
            <w:tcW w:w="3720" w:type="dxa"/>
            <w:vAlign w:val="bottom"/>
          </w:tcPr>
          <w:p>
            <w:pPr>
              <w:ind w:left="40"/>
              <w:spacing w:after="0"/>
              <w:rPr>
                <w:sz w:val="20"/>
                <w:szCs w:val="20"/>
                <w:color w:val="auto"/>
              </w:rPr>
            </w:pPr>
            <w:r>
              <w:rPr>
                <w:rFonts w:ascii="Arial" w:cs="Arial" w:eastAsia="Arial" w:hAnsi="Arial"/>
                <w:sz w:val="18"/>
                <w:szCs w:val="18"/>
                <w:color w:val="auto"/>
              </w:rPr>
              <w:t>Date: May 4, 2016</w:t>
            </w:r>
          </w:p>
        </w:tc>
        <w:tc>
          <w:tcPr>
            <w:tcW w:w="2820" w:type="dxa"/>
            <w:vAlign w:val="bottom"/>
          </w:tcPr>
          <w:p>
            <w:pPr>
              <w:ind w:left="2280"/>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Catherine Moroz</w:t>
            </w:r>
          </w:p>
        </w:tc>
        <w:tc>
          <w:tcPr>
            <w:tcW w:w="1860" w:type="dxa"/>
            <w:vAlign w:val="bottom"/>
          </w:tcPr>
          <w:p>
            <w:pPr>
              <w:spacing w:after="0"/>
              <w:rPr>
                <w:sz w:val="24"/>
                <w:szCs w:val="24"/>
                <w:color w:val="auto"/>
              </w:rPr>
            </w:pPr>
          </w:p>
        </w:tc>
      </w:tr>
      <w:tr>
        <w:trPr>
          <w:trHeight w:val="291"/>
        </w:trPr>
        <w:tc>
          <w:tcPr>
            <w:tcW w:w="3720" w:type="dxa"/>
            <w:vAlign w:val="bottom"/>
          </w:tcPr>
          <w:p>
            <w:pPr>
              <w:spacing w:after="0"/>
              <w:rPr>
                <w:sz w:val="24"/>
                <w:szCs w:val="24"/>
                <w:color w:val="auto"/>
              </w:rPr>
            </w:pPr>
          </w:p>
        </w:tc>
        <w:tc>
          <w:tcPr>
            <w:tcW w:w="7700" w:type="dxa"/>
            <w:vAlign w:val="bottom"/>
            <w:gridSpan w:val="3"/>
          </w:tcPr>
          <w:p>
            <w:pPr>
              <w:ind w:left="2280"/>
              <w:spacing w:after="0"/>
              <w:rPr>
                <w:sz w:val="20"/>
                <w:szCs w:val="20"/>
                <w:color w:val="auto"/>
              </w:rPr>
            </w:pPr>
            <w:r>
              <w:rPr>
                <w:rFonts w:ascii="Arial" w:cs="Arial" w:eastAsia="Arial" w:hAnsi="Arial"/>
                <w:sz w:val="18"/>
                <w:szCs w:val="18"/>
                <w:color w:val="auto"/>
              </w:rPr>
              <w:t>Name: Catherine Moroz</w:t>
            </w:r>
          </w:p>
        </w:tc>
      </w:tr>
      <w:tr>
        <w:trPr>
          <w:trHeight w:val="270"/>
        </w:trPr>
        <w:tc>
          <w:tcPr>
            <w:tcW w:w="3720" w:type="dxa"/>
            <w:vAlign w:val="bottom"/>
          </w:tcPr>
          <w:p>
            <w:pPr>
              <w:spacing w:after="0"/>
              <w:rPr>
                <w:sz w:val="23"/>
                <w:szCs w:val="23"/>
                <w:color w:val="auto"/>
              </w:rPr>
            </w:pPr>
          </w:p>
        </w:tc>
        <w:tc>
          <w:tcPr>
            <w:tcW w:w="2820" w:type="dxa"/>
            <w:vAlign w:val="bottom"/>
          </w:tcPr>
          <w:p>
            <w:pPr>
              <w:ind w:left="2280"/>
              <w:spacing w:after="0"/>
              <w:rPr>
                <w:sz w:val="20"/>
                <w:szCs w:val="20"/>
                <w:color w:val="auto"/>
              </w:rPr>
            </w:pPr>
            <w:r>
              <w:rPr>
                <w:rFonts w:ascii="Arial" w:cs="Arial" w:eastAsia="Arial" w:hAnsi="Arial"/>
                <w:sz w:val="18"/>
                <w:szCs w:val="18"/>
                <w:color w:val="auto"/>
              </w:rPr>
              <w:t>Title</w:t>
            </w:r>
          </w:p>
        </w:tc>
        <w:tc>
          <w:tcPr>
            <w:tcW w:w="488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53"/>
        </w:trPr>
        <w:tc>
          <w:tcPr>
            <w:tcW w:w="37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960" w:type="dxa"/>
            <w:vAlign w:val="bottom"/>
            <w:gridSpan w:val="2"/>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10100" w:type="dxa"/>
            <w:vAlign w:val="bottom"/>
            <w:gridSpan w:val="4"/>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8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960" w:type="dxa"/>
            <w:vAlign w:val="bottom"/>
            <w:gridSpan w:val="2"/>
          </w:tcPr>
          <w:p>
            <w:pPr>
              <w:spacing w:after="0" w:line="20" w:lineRule="exact"/>
              <w:rPr>
                <w:sz w:val="1"/>
                <w:szCs w:val="1"/>
                <w:color w:val="auto"/>
              </w:rPr>
            </w:pPr>
          </w:p>
        </w:tc>
      </w:tr>
      <w:tr>
        <w:trPr>
          <w:trHeight w:val="453"/>
        </w:trPr>
        <w:tc>
          <w:tcPr>
            <w:tcW w:w="180" w:type="dxa"/>
            <w:vAlign w:val="bottom"/>
            <w:gridSpan w:val="2"/>
          </w:tcPr>
          <w:p>
            <w:pPr>
              <w:spacing w:after="0"/>
              <w:rPr>
                <w:sz w:val="24"/>
                <w:szCs w:val="24"/>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100" w:type="dxa"/>
            <w:vAlign w:val="bottom"/>
            <w:gridSpan w:val="4"/>
          </w:tcPr>
          <w:p>
            <w:pPr>
              <w:ind w:left="260"/>
              <w:spacing w:after="0"/>
              <w:rPr>
                <w:sz w:val="20"/>
                <w:szCs w:val="20"/>
                <w:color w:val="auto"/>
              </w:rPr>
            </w:pPr>
            <w:r>
              <w:rPr>
                <w:rFonts w:ascii="Arial" w:cs="Arial" w:eastAsia="Arial" w:hAnsi="Arial"/>
                <w:sz w:val="18"/>
                <w:szCs w:val="18"/>
                <w:color w:val="auto"/>
              </w:rPr>
              <w:t>Press Release issued by LivaNova PLC dated May 4, 2016</w:t>
            </w:r>
          </w:p>
        </w:tc>
      </w:tr>
      <w:tr>
        <w:trPr>
          <w:trHeight w:val="373"/>
        </w:trPr>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9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160" w:type="dxa"/>
            <w:vAlign w:val="bottom"/>
            <w:tcBorders>
              <w:top w:val="single" w:sz="8" w:color="auto"/>
            </w:tcBorders>
            <w:shd w:val="clear" w:color="auto" w:fill="808080"/>
          </w:tcPr>
          <w:p>
            <w:pPr>
              <w:spacing w:after="0" w:line="20" w:lineRule="exact"/>
              <w:rPr>
                <w:sz w:val="1"/>
                <w:szCs w:val="1"/>
                <w:color w:val="auto"/>
              </w:rPr>
            </w:pPr>
          </w:p>
        </w:tc>
        <w:tc>
          <w:tcPr>
            <w:tcW w:w="880" w:type="dxa"/>
            <w:vAlign w:val="bottom"/>
            <w:tcBorders>
              <w:top w:val="single" w:sz="8" w:color="auto"/>
            </w:tcBorders>
            <w:shd w:val="clear" w:color="auto" w:fill="808080"/>
          </w:tcPr>
          <w:p>
            <w:pPr>
              <w:spacing w:after="0" w:line="20" w:lineRule="exact"/>
              <w:rPr>
                <w:sz w:val="1"/>
                <w:szCs w:val="1"/>
                <w:color w:val="auto"/>
              </w:rPr>
            </w:pPr>
          </w:p>
        </w:tc>
        <w:tc>
          <w:tcPr>
            <w:tcW w:w="260" w:type="dxa"/>
            <w:vAlign w:val="bottom"/>
            <w:tcBorders>
              <w:top w:val="single" w:sz="8" w:color="auto"/>
            </w:tcBorders>
            <w:shd w:val="clear" w:color="auto" w:fill="808080"/>
          </w:tcPr>
          <w:p>
            <w:pPr>
              <w:spacing w:after="0" w:line="20" w:lineRule="exact"/>
              <w:rPr>
                <w:sz w:val="1"/>
                <w:szCs w:val="1"/>
                <w:color w:val="auto"/>
              </w:rPr>
            </w:pPr>
          </w:p>
        </w:tc>
        <w:tc>
          <w:tcPr>
            <w:tcW w:w="260" w:type="dxa"/>
            <w:vAlign w:val="bottom"/>
            <w:tcBorders>
              <w:top w:val="single" w:sz="8" w:color="auto"/>
            </w:tcBorders>
            <w:shd w:val="clear" w:color="auto" w:fill="808080"/>
          </w:tcPr>
          <w:p>
            <w:pPr>
              <w:spacing w:after="0" w:line="20" w:lineRule="exact"/>
              <w:rPr>
                <w:sz w:val="1"/>
                <w:szCs w:val="1"/>
                <w:color w:val="auto"/>
              </w:rPr>
            </w:pPr>
          </w:p>
        </w:tc>
        <w:tc>
          <w:tcPr>
            <w:tcW w:w="880" w:type="dxa"/>
            <w:vAlign w:val="bottom"/>
            <w:tcBorders>
              <w:top w:val="single" w:sz="8" w:color="auto"/>
            </w:tcBorders>
            <w:shd w:val="clear" w:color="auto" w:fill="808080"/>
          </w:tcPr>
          <w:p>
            <w:pPr>
              <w:spacing w:after="0" w:line="20" w:lineRule="exact"/>
              <w:rPr>
                <w:sz w:val="1"/>
                <w:szCs w:val="1"/>
                <w:color w:val="auto"/>
              </w:rPr>
            </w:pPr>
          </w:p>
        </w:tc>
        <w:tc>
          <w:tcPr>
            <w:tcW w:w="894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44040"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44040" cy="53149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5"/>
          <w:szCs w:val="25"/>
          <w:color w:val="FF5C39"/>
        </w:rPr>
        <w:t>LivaNova Reports First Quarter 2016 Results</w:t>
      </w:r>
    </w:p>
    <w:p>
      <w:pPr>
        <w:spacing w:after="0" w:line="255"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London, May 4, 2016 – LivaNova PLC (NASDAQ:LIVN; LSE: LIVN) ("LivaNova" or the "Company"), a market-leading medical technology and innovation company, today reported results for the first quarter ended March 31, 2016.</w:t>
      </w:r>
    </w:p>
    <w:p>
      <w:pPr>
        <w:spacing w:after="0" w:line="24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For the first quarter of 2016, worldwide sales were $287 million, an increase of 3.0 percent on a constant currency</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basis as compared to the previous year. On a reported basis, sales increased by 1.2 percent for this period. First quarter 2016 adjusted</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diluted earnings per share were $0.54. On a U.S. Generally Accepted Accounting Principles (GAAP) basis, first quarter 2016 diluted loss per share were ($0.83).</w:t>
      </w:r>
    </w:p>
    <w:p>
      <w:pPr>
        <w:spacing w:after="0" w:line="365"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"LivaNova has started the year with solid results in line with our expectations, driven primarily by continued momentum in our Neuromodulation business with AspireSR</w:t>
      </w:r>
      <w:r>
        <w:rPr>
          <w:rFonts w:ascii="Arial" w:cs="Arial" w:eastAsia="Arial" w:hAnsi="Arial"/>
          <w:sz w:val="28"/>
          <w:szCs w:val="28"/>
          <w:color w:val="auto"/>
          <w:vertAlign w:val="superscript"/>
        </w:rPr>
        <w:t>®</w:t>
      </w:r>
      <w:r>
        <w:rPr>
          <w:rFonts w:ascii="Arial" w:cs="Arial" w:eastAsia="Arial" w:hAnsi="Arial"/>
          <w:sz w:val="17"/>
          <w:szCs w:val="17"/>
          <w:color w:val="auto"/>
        </w:rPr>
        <w:t>," said André-Michel Ballester, Chief Executive Officer. "We made significant progress on the regulatory front with approvals during the quarter of both our Perceval sutureless valve in the U.S. and our KORA 250 fully MRI compatible pacemaker in Japan. Looking forward, we believe our regulatory progress as well as our keen focus on execution positions us well to deliver on our synergy targets and financial commitments for 2016. We look forward to continuing to deliver high-quality devices that meet the needs of our customers and patients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1646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40" w:right="700" w:hanging="129"/>
        <w:spacing w:after="0" w:line="193"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Constant currency growth measures the change in sales between the current and prior year periods using average exchange rates in effect during the applicable prior year period.</w:t>
      </w:r>
    </w:p>
    <w:p>
      <w:pPr>
        <w:ind w:left="140" w:right="600" w:hanging="129"/>
        <w:spacing w:after="0" w:line="220" w:lineRule="auto"/>
        <w:rPr>
          <w:sz w:val="20"/>
          <w:szCs w:val="20"/>
          <w:color w:val="auto"/>
        </w:rPr>
      </w:pPr>
      <w:r>
        <w:rPr>
          <w:rFonts w:ascii="Arial" w:cs="Arial" w:eastAsia="Arial" w:hAnsi="Arial"/>
          <w:sz w:val="26"/>
          <w:szCs w:val="26"/>
          <w:color w:val="auto"/>
          <w:vertAlign w:val="superscript"/>
        </w:rPr>
        <w:t>2</w:t>
      </w:r>
      <w:r>
        <w:rPr>
          <w:rFonts w:ascii="Arial" w:cs="Arial" w:eastAsia="Arial" w:hAnsi="Arial"/>
          <w:sz w:val="16"/>
          <w:szCs w:val="16"/>
          <w:color w:val="auto"/>
        </w:rPr>
        <w:t>Adjusted measures exclude certain specified items as described later in this press release and the attached schedules. Adjusted measures are based on selected non-GAAP operating results highlights in our 2015 Annual and Fourth Quarter Financial Results published on February 24, 2016.</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First-Quarter 2016</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highlights selected financial results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for the first quarter of 2016 compared to the same period in 2015:</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820" w:type="dxa"/>
            <w:vAlign w:val="bottom"/>
            <w:tcBorders>
              <w:top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7"/>
              </w:rPr>
              <w:t>Three Months Ended</w:t>
            </w:r>
          </w:p>
        </w:tc>
        <w:tc>
          <w:tcPr>
            <w:tcW w:w="1080" w:type="dxa"/>
            <w:vAlign w:val="bottom"/>
            <w:tcBorders>
              <w:top w:val="single" w:sz="8" w:color="auto"/>
              <w:righ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Constant</w:t>
            </w:r>
          </w:p>
        </w:tc>
      </w:tr>
      <w:tr>
        <w:trPr>
          <w:trHeight w:val="230"/>
        </w:trPr>
        <w:tc>
          <w:tcPr>
            <w:tcW w:w="2440" w:type="dxa"/>
            <w:vAlign w:val="bottom"/>
            <w:tcBorders>
              <w:left w:val="single" w:sz="8" w:color="auto"/>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March 31,</w:t>
            </w:r>
          </w:p>
        </w:tc>
        <w:tc>
          <w:tcPr>
            <w:tcW w:w="10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Currency %</w:t>
            </w: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 millions</w:t>
            </w:r>
          </w:p>
        </w:tc>
        <w:tc>
          <w:tcPr>
            <w:tcW w:w="9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90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2015</w:t>
            </w:r>
          </w:p>
        </w:tc>
        <w:tc>
          <w:tcPr>
            <w:tcW w:w="108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 Change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Cardiac Surgery</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244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Cardiopulmonary</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244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Heart Valves</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244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Arial" w:cs="Arial" w:eastAsia="Arial" w:hAnsi="Arial"/>
                <w:sz w:val="15"/>
                <w:szCs w:val="15"/>
                <w:color w:val="auto"/>
              </w:rPr>
              <w:t>CRM</w:t>
            </w:r>
            <w:r>
              <w:rPr>
                <w:rFonts w:ascii="Arial" w:cs="Arial" w:eastAsia="Arial" w:hAnsi="Arial"/>
                <w:sz w:val="24"/>
                <w:szCs w:val="24"/>
                <w:color w:val="auto"/>
                <w:vertAlign w:val="superscript"/>
              </w:rPr>
              <w:t>2</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10"/>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Neuromodulation</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26"/>
        </w:trPr>
        <w:tc>
          <w:tcPr>
            <w:tcW w:w="2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190"/>
        </w:trPr>
        <w:tc>
          <w:tcPr>
            <w:tcW w:w="244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Total Net Sales</w:t>
            </w:r>
          </w:p>
        </w:tc>
        <w:tc>
          <w:tcPr>
            <w:tcW w:w="92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$287.0</w:t>
            </w:r>
          </w:p>
        </w:tc>
        <w:tc>
          <w:tcPr>
            <w:tcW w:w="90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$283.4</w:t>
            </w:r>
          </w:p>
        </w:tc>
        <w:tc>
          <w:tcPr>
            <w:tcW w:w="108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1.2%</w:t>
            </w:r>
          </w:p>
        </w:tc>
        <w:tc>
          <w:tcPr>
            <w:tcW w:w="108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3.0%</w:t>
            </w:r>
          </w:p>
        </w:tc>
      </w:tr>
    </w:tbl>
    <w:p>
      <w:pPr>
        <w:spacing w:after="0" w:line="22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Numbers may not add due to rounding.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discussion purposes, all sales growth rates below reflect comparable, constant currency growth.</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primary Business Units, sales were as follows: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Cardiac Surgery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Cardiac Surgery sales, which include cardiopulmonary products and heart valves, were $143 million, representing a 3.2 percent increase versus the comparable period in 2015.</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Sales in cardiopulmonary products were $111 million, an increase of 5.5 percent compared to the first three months of 2015. This was due to high demand for our heart lung machines, particularly in the U.S., and strong demand for oxygenators in emerging markets as well as in Japan and Australia.</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Heart valve sales, including tissue and mechanical heart valves, were $33 million, a decrease of 3.7 percent compared to the same period the previous year. Results were driven by strength in Perceval in Europe, which was more than offset by weakness in mechanical valves in China and traditional tissue valves globally. Perceval in Europe has continued to gain momentum across the region, and physician response of Perceval in the U.S. has been positive since the launch early in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hanging="132"/>
        <w:spacing w:after="0" w:line="188" w:lineRule="auto"/>
        <w:tabs>
          <w:tab w:leader="none" w:pos="13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See the discussion of "Financial Alignment, Combined Sales &amp; Operating Results, Business Unit Structure and Constant Currency" below. The sales results presented are unaudited.</w:t>
      </w:r>
    </w:p>
    <w:p>
      <w:pPr>
        <w:ind w:left="120" w:hanging="112"/>
        <w:spacing w:after="0" w:line="184" w:lineRule="auto"/>
        <w:tabs>
          <w:tab w:leader="none" w:pos="1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Cardiac Rhythm Management.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Cardiac Rhythm Management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CRM sales for the period totaled $62 million, a decrease of 10.7 percent, primarily a result of timing as we transitioned customers from KORA 100 to our recent MRI compatible device KORA 250 in Japan. This was partially offset by strong performance of our newest high-voltage device Platinium, which was launched last November in Europe and Japan.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Neuromodulation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Neuromodulation sales were $81 million in the first quarter, an increase of 16.4 percent, driven primarily by continued adoption of our newest VNS therapy device AspireSR in the U.S. and new patient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Performance</w:t>
      </w:r>
    </w:p>
    <w:p>
      <w:pPr>
        <w:spacing w:after="0" w:line="1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Adjusted income from operations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for the first quarter of 2016 was $44 million, an increase of 17.9 percent as compared to first quarter of 2015. On a U.S. GAAP basis, first quarter 2016 loss from operations was $36.1 million. "Adjusted income from operations for the quarter reflects sound cost controls and early results from the synergy targets outlined on prior calls. Further cost reduction will result from the CRM restructuring announced on March 10, 2016. Gross margin also continues to be in line with our projections", said Vivid Sehgal, Chief Financial Officer. "With the expectation of higher sales in the second half of 2016, continued reduction of debt and ongoing tax planning activities, our focus on leveraging the income statement should be reflected in the full year's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 Projections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today reiterated its guidance for full year 2016.</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full year 2016, the Company expects revenue growth on a constant-currency basis in the range of 3 to 5 percent. This includes growth in Cardiac Surgery of 3 to 5 percent, growth in Neuromodulation of 9 to 11 percent and growth in CRM of 1 to 2 percent.</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continues to expect adjusted gross profit in the range of 64 to 65 percent of net sales, R&amp;D expenses between 11 and 12 percent of net sales, and adjusted income from operations in the range of $205 to $230 million. Adjusted EBITDA is expected to be in the range of $235 to $260 million.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Finance costs and the Company's share of losses from minority investments are expected to be approximately $20 to $25 million, and the adjusted effective tax rate is expected to be between 24 and 26 percent. The Company continues to project adjusted diluted earnings per share (EPS) in the range of $2.95 to $3.15. This is based on a share count of approximately 50 million shares on a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40" w:right="520" w:hanging="132"/>
        <w:spacing w:after="0" w:line="221" w:lineRule="auto"/>
        <w:tabs>
          <w:tab w:leader="none" w:pos="13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Adjusted measures exclude certain specified items as described later in this press release and the attached schedules. Adjusted measures are based on selected non-GAAP operating results highlights in our 2015 Annual and Fourth Quarter Financial Results published on February 24, 2016.</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Webcast and Conference Call Instructions</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conference call will be available to interested parties through a live audio webcast commencing at 8:00 AM Central time (9:00 AM Eastern Time, 2:00 pm UK Time) and accessible through the Investor Relations section of the LivaNova corporate website at www.livanova.com. To listen to the conference call live by telephone, dial 877-809-8594 (if dialing from within the U.S.) or 440-996-5677 (if dialing from outside the U.S.). The conference ID is 73271166. Please click here for a list of available local international numbers for the call.</w:t>
      </w: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24 hours of the webcast, a replay will be available under the "Events &amp; Presentations" section of the Investor Relations portion of the LivaNova website, where it will be archived and accessible for approximately 12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FF5C39"/>
        </w:rPr>
        <w:t>About LivaNova</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LivaNova PLC is a global medical technology company formed by the merger of Sorin S.p.A, a leader in the treatment of cardiovascular diseases, and Cyberonics Inc., a medical device company with core expertise in neuromodulation. LivaNova transforms medical innovation into meaningful solutions for the benefit of patients, healthcare professionals, and healthcare systems. The Company employs approximately 4,600 employees worldwide and is headquartered in London, U.K. With a presence in more than 100 countries, LivaNova operates as three business units: Cardiac Surgery, Cardiac Rhythm Management, and Neuromodulation, with operating headquarters in Clamart (France), Mirandola (Italy) and Houston (U.S.), respectively.</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LivaNova is listed on NASDAQ and is admitted to the standard listing segment of the Official List of the UK's Financial Conduct Authority and to trading on the London Stock Exchange (LSE) under the ticker symbol "LIVN".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FF5C39"/>
        </w:rPr>
        <w:t>Financial Alignment, Combined Sales &amp; Operating Results, Business Unit Structure and Constant Currency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Cyberonics, the predecessor company to LivaNova, previously reported on a 52/53 week fiscal year calendar ending in April. With the formal change in the fiscal calendar to a fiscal year ended December 31, the historical Neuromodulation business unit sales have been aligned to correspond as closely as possible to calendar quarters.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LivaNova was a shell company with no business operations until the closing date of the merger on October 19, 2015, the sales results disclosed for periods up to and beyond that date are being provided on a combined basis, a non-GAAP formulation that combines the results of legacy Sorin and Cyberonics for the periods completed prior to the merger and periods that include results both before and after the closing of the merger. The Company believes that presenting the results of Sorin and Cyberonics in such a manner offers a meaningful representation to investors of the combined company's sales for these periods.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8"/>
          <w:szCs w:val="18"/>
          <w:color w:val="auto"/>
        </w:rPr>
        <w:t>Non-GAAP operating results, unaudited, have been included for each of the quarters ended March 31, 2015, June 30, 2015, September 30, 2015 and December 31, 2015 and for the year ended December 31, 2015. These results have been prepared by management and adjusted for non-GAAP items as if the merger had occurred on January 1, 2015 but should not be considered as an alternative to Proforma Income Statements to be provided in accordance with SEC filings. Certain adjustments to legacy Sorin operating results have occurred in order to present the results in US dollars and to align these results as closely as possible to the presentation of LivaNova financial results. Company management uses these measurements as aids in monitoring the Company's ongoing financial performance from quarter to quarter and year to year on a regular basis and for benchmarking against other medical technology companies. Management believes that the presentation of these results provides a meaningful representation of the combined company's operating results for the periods presented.</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sales and operating results for legacy Cyberonics for the quarters ended March 31, June 30 and September 30 were aligned to provide comparative information. The actual periods ended on March 27, June 26 and September 25 respectively.</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LivaNova (as the successor to Sorin and Cyberonics on a combined basis) operates under a Business Unit structure with Cardiac Surgery, CRM and Neuromodulation accounting for substantially all of the sales during the periods referred to herein. The combined company also operates a New Ventures group, dedicated to developing new technologies, particularly in the areas of heart failure, sleep apnea and percutaneous mitral valve.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Unless otherwise noted, all sales growth rates in this release reflect comparable, constant currency growth. Constant currency growth measures the change in sales between current and prior year periods using average exchange rates in effect during the applicable prior year period. Management believes that referring to comparable, constant currency growth is a more useful way to evaluate the sales performance of the newly formed LivaNova and its business units, and to compare the sales performance of current periods to prior periods on a consistent basis. A reconciliation of this information is attached to this business update.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FF5C39"/>
        </w:rPr>
        <w:t>Use of Non-GAAP Financial Measures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this press release, management has disclosed financial measurements that present financial information not necessarily in accordance with Generally Accepted Accounting Principles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similarly-titled measures used by other companies. These non-GAAP financial measures should be considered along with, but not as alternatives to, the operating performance measure as prescribed by GAAP.</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Unless otherwise noted, all sales growth rates in this release reflect comparable, constant currency growth. Management believes that referring to comparable, constant currency growth is the most useful way to evaluate the sales performance of LivaNova and to compare the sales performance of current periods to prior periods on a consistent basis. Constant currency growth, a non-GAAP financial measure, measures the change in sales between current and prior year periods using average exchange rates in effect during the applicable prior year period.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FF5C39"/>
        </w:rPr>
        <w:t>Safe harbor statement</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the Company believes to be reasonable, but are inherently uncertain. As a result, our actual results, performance or achievements may differ materially from those expressed or implied by these forward-looking statements, which are not guarantees of future performance and involve known and unknown risks, uncertainties and other factors that are, in some cases, beyond the Company's control. Investors are cautioned that all such statements involve risks and uncertainties, including without limitation, statements concerning developing novel opportunities in neuromodulation, heart failure, sleep apnea and percutaneous mitral valve, creating new innovative solutions that benefit patients, healthcare professionals, and healthcare systems, and building significant shareholder value. Important factors that may cause actual results to differ include, but are not limited to: (i) risks that the legacy businesses of Cyberonics, Inc. and Sorin S.p.A. (together, the "combined companies") will not be integrated successfully or that the combined companies will not realize estimated cost savings, value of certain tax assets, synergies and growth, or that such benefits may take longer to realize than expected; (ii) the inability of LivaNova to meet expectations regarding the timing, completion and accounting of tax treatments; (iii) risks relating to unanticipated costs of integration, including operating costs, customer loss or business disruption being greater than expected; (iv) our organizational and governance structure; (v) reductions in customer spending, a slowdown in customer payments and changes in customer demand for products and services; (vi) unanticipated changes relating to competitive factors in the industries in which LivaNova operates; (vii) the ability to hire and retain key personnel; (viii) the ability to attract new customers and retain existing customers in the manner anticipated; (ix) the reliance on and integration of information technology systems; (x) changes in legislation or governmental regulations affecting LivaNova; (xi) international, national or local economic, social or political conditions that could adversely affect LivaNova, its partners or its customers; (xii) conditions in the credit markets; (xiii) business and other financial risks inherent to the industries in which LivaNova operates; (xiv) risks associated with assumptions made in connection with critical accounting estimates and legal proceedings; (xv) LivaNova's international operations, which are subject to the risks of currency fluctuations and foreign exchange controls; (xvi) and the potential of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the Registration Statement on Form S-4 and other documents filed from time to time with the United States Securities and Exchange Commission by LivaNova.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visit www.livanova.com, or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and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Karen King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&amp;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(281) 228-7262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 (281) 218-9332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corporate.communications@livanova.com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LIVANOVA PLC</w:t>
      </w:r>
      <w:r>
        <w:rPr>
          <w:rFonts w:ascii="Arial" w:cs="Arial" w:eastAsia="Arial" w:hAnsi="Arial"/>
          <w:sz w:val="30"/>
          <w:szCs w:val="30"/>
          <w:b w:val="1"/>
          <w:bCs w:val="1"/>
          <w:color w:val="auto"/>
          <w:vertAlign w:val="superscript"/>
        </w:rPr>
        <w:t>6</w:t>
      </w:r>
    </w:p>
    <w:p>
      <w:pPr>
        <w:spacing w:after="0"/>
        <w:rPr>
          <w:sz w:val="20"/>
          <w:szCs w:val="20"/>
          <w:color w:val="auto"/>
        </w:rPr>
      </w:pPr>
      <w:r>
        <w:rPr>
          <w:rFonts w:ascii="Arial" w:cs="Arial" w:eastAsia="Arial" w:hAnsi="Arial"/>
          <w:sz w:val="18"/>
          <w:szCs w:val="18"/>
          <w:b w:val="1"/>
          <w:bCs w:val="1"/>
          <w:color w:val="auto"/>
        </w:rPr>
        <w:t>QUARTERLY SALES TREND BY BUSINESS UNIT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 in millions, CONSTANT CURRENCY</w:t>
      </w: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b w:val="1"/>
                <w:bCs w:val="1"/>
                <w:color w:val="auto"/>
              </w:rPr>
              <w:t>1Q16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1Q16 vs.</w:t>
            </w:r>
          </w:p>
        </w:tc>
      </w:tr>
      <w:tr>
        <w:trPr>
          <w:trHeight w:val="241"/>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1Q15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b w:val="1"/>
                <w:bCs w:val="1"/>
                <w:color w:val="auto"/>
              </w:rPr>
              <w:t>2Q15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3Q15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b w:val="1"/>
                <w:bCs w:val="1"/>
                <w:color w:val="auto"/>
              </w:rPr>
              <w:t>4Q15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FY15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1Q15</w:t>
            </w:r>
          </w:p>
        </w:tc>
      </w:tr>
      <w:tr>
        <w:trPr>
          <w:trHeight w:val="243"/>
        </w:trPr>
        <w:tc>
          <w:tcPr>
            <w:tcW w:w="29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486"/>
        </w:trPr>
        <w:tc>
          <w:tcPr>
            <w:tcW w:w="2980" w:type="dxa"/>
            <w:vAlign w:val="bottom"/>
          </w:tcPr>
          <w:p>
            <w:pPr>
              <w:ind w:left="260"/>
              <w:spacing w:after="0"/>
              <w:rPr>
                <w:sz w:val="20"/>
                <w:szCs w:val="20"/>
                <w:color w:val="auto"/>
              </w:rPr>
            </w:pPr>
            <w:r>
              <w:rPr>
                <w:rFonts w:ascii="Arial" w:cs="Arial" w:eastAsia="Arial" w:hAnsi="Arial"/>
                <w:sz w:val="18"/>
                <w:szCs w:val="18"/>
                <w:color w:val="auto"/>
              </w:rPr>
              <w:t>Cardio Pulmonary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107.5</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125.9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113.0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130.0</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476.4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113.4</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r>
      <w:tr>
        <w:trPr>
          <w:trHeight w:val="243"/>
        </w:trPr>
        <w:tc>
          <w:tcPr>
            <w:tcW w:w="2980" w:type="dxa"/>
            <w:vAlign w:val="bottom"/>
          </w:tcPr>
          <w:p>
            <w:pPr>
              <w:ind w:left="260"/>
              <w:spacing w:after="0"/>
              <w:rPr>
                <w:sz w:val="20"/>
                <w:szCs w:val="20"/>
                <w:color w:val="auto"/>
              </w:rPr>
            </w:pPr>
            <w:r>
              <w:rPr>
                <w:rFonts w:ascii="Arial" w:cs="Arial" w:eastAsia="Arial" w:hAnsi="Arial"/>
                <w:sz w:val="18"/>
                <w:szCs w:val="18"/>
                <w:color w:val="auto"/>
              </w:rPr>
              <w:t>Heart Valves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34.2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140.2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33.4</w:t>
            </w:r>
          </w:p>
        </w:tc>
        <w:tc>
          <w:tcPr>
            <w:tcW w:w="1340" w:type="dxa"/>
            <w:vAlign w:val="bottom"/>
            <w:gridSpan w:val="6"/>
          </w:tcPr>
          <w:p>
            <w:pPr>
              <w:jc w:val="right"/>
              <w:ind w:right="4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t>
            </w:r>
          </w:p>
        </w:tc>
      </w:tr>
      <w:tr>
        <w:trPr>
          <w:trHeight w:val="27"/>
        </w:trPr>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486"/>
        </w:trPr>
        <w:tc>
          <w:tcPr>
            <w:tcW w:w="2980" w:type="dxa"/>
            <w:vAlign w:val="bottom"/>
          </w:tcPr>
          <w:p>
            <w:pPr>
              <w:spacing w:after="0"/>
              <w:rPr>
                <w:sz w:val="20"/>
                <w:szCs w:val="20"/>
                <w:color w:val="auto"/>
              </w:rPr>
            </w:pPr>
            <w:r>
              <w:rPr>
                <w:rFonts w:ascii="Arial" w:cs="Arial" w:eastAsia="Arial" w:hAnsi="Arial"/>
                <w:sz w:val="18"/>
                <w:szCs w:val="18"/>
                <w:color w:val="auto"/>
              </w:rPr>
              <w:t>Cardiac Surgery Total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162.3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147.2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164.9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616.6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146.8</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CRM</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75.6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53.9</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60.7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260.5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62.9</w:t>
            </w:r>
          </w:p>
        </w:tc>
        <w:tc>
          <w:tcPr>
            <w:tcW w:w="1340" w:type="dxa"/>
            <w:vAlign w:val="bottom"/>
            <w:gridSpan w:val="6"/>
          </w:tcPr>
          <w:p>
            <w:pPr>
              <w:jc w:val="right"/>
              <w:ind w:right="40"/>
              <w:spacing w:after="0"/>
              <w:rPr>
                <w:sz w:val="20"/>
                <w:szCs w:val="20"/>
                <w:color w:val="auto"/>
              </w:rPr>
            </w:pPr>
            <w:r>
              <w:rPr>
                <w:rFonts w:ascii="Arial" w:cs="Arial" w:eastAsia="Arial" w:hAnsi="Arial"/>
                <w:sz w:val="18"/>
                <w:szCs w:val="18"/>
                <w:color w:val="auto"/>
              </w:rPr>
              <w:t>(10.7% )</w:t>
            </w: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Neuromodulation</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78.4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84.3</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324.3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81.6</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r>
      <w:tr>
        <w:trPr>
          <w:trHeight w:val="486"/>
        </w:trPr>
        <w:tc>
          <w:tcPr>
            <w:tcW w:w="29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0.5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NM</w:t>
            </w:r>
          </w:p>
        </w:tc>
      </w:tr>
      <w:tr>
        <w:trPr>
          <w:trHeight w:val="27"/>
        </w:trPr>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r>
      <w:tr>
        <w:trPr>
          <w:trHeight w:val="486"/>
        </w:trPr>
        <w:tc>
          <w:tcPr>
            <w:tcW w:w="2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283.4</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317.1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286.1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318.0</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1,204.6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291.8</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r>
      <w:tr>
        <w:trPr>
          <w:trHeight w:val="21"/>
        </w:trPr>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-1937385</wp:posOffset>
            </wp:positionV>
            <wp:extent cx="342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-1303020</wp:posOffset>
            </wp:positionV>
            <wp:extent cx="342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-16510</wp:posOffset>
            </wp:positionV>
            <wp:extent cx="342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SALES TREND BY BUSINESS UNIT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 in millions, REPORTED</w:t>
      </w: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b w:val="1"/>
                <w:bCs w:val="1"/>
                <w:color w:val="auto"/>
              </w:rPr>
              <w:t>1Q16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1Q16 vs.</w:t>
            </w:r>
          </w:p>
        </w:tc>
      </w:tr>
      <w:tr>
        <w:trPr>
          <w:trHeight w:val="241"/>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1Q15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b w:val="1"/>
                <w:bCs w:val="1"/>
                <w:color w:val="auto"/>
              </w:rPr>
              <w:t>2Q15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3Q15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b w:val="1"/>
                <w:bCs w:val="1"/>
                <w:color w:val="auto"/>
              </w:rPr>
              <w:t>4Q15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FY15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1Q15</w:t>
            </w:r>
          </w:p>
        </w:tc>
      </w:tr>
      <w:tr>
        <w:trPr>
          <w:trHeight w:val="243"/>
        </w:trPr>
        <w:tc>
          <w:tcPr>
            <w:tcW w:w="29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500"/>
        </w:trPr>
        <w:tc>
          <w:tcPr>
            <w:tcW w:w="2980" w:type="dxa"/>
            <w:vAlign w:val="bottom"/>
          </w:tcPr>
          <w:p>
            <w:pPr>
              <w:ind w:left="260"/>
              <w:spacing w:after="0"/>
              <w:rPr>
                <w:sz w:val="20"/>
                <w:szCs w:val="20"/>
                <w:color w:val="auto"/>
              </w:rPr>
            </w:pPr>
            <w:r>
              <w:rPr>
                <w:rFonts w:ascii="Arial" w:cs="Arial" w:eastAsia="Arial" w:hAnsi="Arial"/>
                <w:sz w:val="18"/>
                <w:szCs w:val="18"/>
                <w:color w:val="auto"/>
              </w:rPr>
              <w:t>Cardio Pulmonary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107.5</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125.9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113.0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130.0</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476.4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110.9</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r>
      <w:tr>
        <w:trPr>
          <w:trHeight w:val="243"/>
        </w:trPr>
        <w:tc>
          <w:tcPr>
            <w:tcW w:w="2980" w:type="dxa"/>
            <w:vAlign w:val="bottom"/>
          </w:tcPr>
          <w:p>
            <w:pPr>
              <w:ind w:left="260"/>
              <w:spacing w:after="0"/>
              <w:rPr>
                <w:sz w:val="20"/>
                <w:szCs w:val="20"/>
                <w:color w:val="auto"/>
              </w:rPr>
            </w:pPr>
            <w:r>
              <w:rPr>
                <w:rFonts w:ascii="Arial" w:cs="Arial" w:eastAsia="Arial" w:hAnsi="Arial"/>
                <w:sz w:val="18"/>
                <w:szCs w:val="18"/>
                <w:color w:val="auto"/>
              </w:rPr>
              <w:t>Heart Valves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34.2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140.2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32.5</w:t>
            </w:r>
          </w:p>
        </w:tc>
        <w:tc>
          <w:tcPr>
            <w:tcW w:w="1340" w:type="dxa"/>
            <w:vAlign w:val="bottom"/>
            <w:gridSpan w:val="6"/>
          </w:tcPr>
          <w:p>
            <w:pPr>
              <w:jc w:val="right"/>
              <w:ind w:right="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w:t>
            </w:r>
          </w:p>
        </w:tc>
      </w:tr>
      <w:tr>
        <w:trPr>
          <w:trHeight w:val="27"/>
        </w:trPr>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486"/>
        </w:trPr>
        <w:tc>
          <w:tcPr>
            <w:tcW w:w="2980" w:type="dxa"/>
            <w:vAlign w:val="bottom"/>
          </w:tcPr>
          <w:p>
            <w:pPr>
              <w:spacing w:after="0"/>
              <w:rPr>
                <w:sz w:val="20"/>
                <w:szCs w:val="20"/>
                <w:color w:val="auto"/>
              </w:rPr>
            </w:pPr>
            <w:r>
              <w:rPr>
                <w:rFonts w:ascii="Arial" w:cs="Arial" w:eastAsia="Arial" w:hAnsi="Arial"/>
                <w:sz w:val="18"/>
                <w:szCs w:val="18"/>
                <w:color w:val="auto"/>
              </w:rPr>
              <w:t>Cardiac Surgery Total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162.3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147.2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164.9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616.6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143.4</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4"/>
                <w:szCs w:val="24"/>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CRM</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75.6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53.9</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60.7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260.5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61.7</w:t>
            </w:r>
          </w:p>
        </w:tc>
        <w:tc>
          <w:tcPr>
            <w:tcW w:w="1340" w:type="dxa"/>
            <w:vAlign w:val="bottom"/>
            <w:gridSpan w:val="6"/>
          </w:tcPr>
          <w:p>
            <w:pPr>
              <w:jc w:val="right"/>
              <w:ind w:right="40"/>
              <w:spacing w:after="0"/>
              <w:rPr>
                <w:sz w:val="20"/>
                <w:szCs w:val="20"/>
                <w:color w:val="auto"/>
              </w:rPr>
            </w:pPr>
            <w:r>
              <w:rPr>
                <w:rFonts w:ascii="Arial" w:cs="Arial" w:eastAsia="Arial" w:hAnsi="Arial"/>
                <w:sz w:val="18"/>
                <w:szCs w:val="18"/>
                <w:color w:val="auto"/>
              </w:rPr>
              <w:t>(12.3% )</w:t>
            </w: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Neuromodulation</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78.4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84.3</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324.3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81.4</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r>
      <w:tr>
        <w:trPr>
          <w:trHeight w:val="486"/>
        </w:trPr>
        <w:tc>
          <w:tcPr>
            <w:tcW w:w="29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0.4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NM</w:t>
            </w:r>
          </w:p>
        </w:tc>
      </w:tr>
      <w:tr>
        <w:trPr>
          <w:trHeight w:val="27"/>
        </w:trPr>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r>
      <w:tr>
        <w:trPr>
          <w:trHeight w:val="486"/>
        </w:trPr>
        <w:tc>
          <w:tcPr>
            <w:tcW w:w="2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283.4</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317.1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286.1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318.0</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1,204.6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287.0</w:t>
            </w:r>
          </w:p>
        </w:tc>
        <w:tc>
          <w:tcPr>
            <w:tcW w:w="1240" w:type="dxa"/>
            <w:vAlign w:val="bottom"/>
            <w:gridSpan w:val="5"/>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r>
      <w:tr>
        <w:trPr>
          <w:trHeight w:val="21"/>
        </w:trPr>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-1946275</wp:posOffset>
            </wp:positionV>
            <wp:extent cx="342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-1303020</wp:posOffset>
            </wp:positionV>
            <wp:extent cx="342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5673725</wp:posOffset>
            </wp:positionH>
            <wp:positionV relativeFrom="paragraph">
              <wp:posOffset>-16510</wp:posOffset>
            </wp:positionV>
            <wp:extent cx="342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857885</wp:posOffset>
            </wp:positionV>
            <wp:extent cx="16465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0" w:hanging="132"/>
        <w:spacing w:after="0"/>
        <w:tabs>
          <w:tab w:leader="none" w:pos="1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The sales results presented are unaudited. Numbers may not add due to rounding.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LIVANOVA PLC</w:t>
      </w:r>
      <w:r>
        <w:rPr>
          <w:rFonts w:ascii="Arial" w:cs="Arial" w:eastAsia="Arial" w:hAnsi="Arial"/>
          <w:sz w:val="30"/>
          <w:szCs w:val="30"/>
          <w:b w:val="1"/>
          <w:bCs w:val="1"/>
          <w:color w:val="auto"/>
          <w:vertAlign w:val="superscript"/>
        </w:rPr>
        <w:t>7</w:t>
      </w:r>
    </w:p>
    <w:p>
      <w:pPr>
        <w:spacing w:after="0"/>
        <w:rPr>
          <w:sz w:val="20"/>
          <w:szCs w:val="20"/>
          <w:color w:val="auto"/>
        </w:rPr>
      </w:pPr>
      <w:r>
        <w:rPr>
          <w:rFonts w:ascii="Arial" w:cs="Arial" w:eastAsia="Arial" w:hAnsi="Arial"/>
          <w:sz w:val="18"/>
          <w:szCs w:val="18"/>
          <w:b w:val="1"/>
          <w:bCs w:val="1"/>
          <w:color w:val="auto"/>
        </w:rPr>
        <w:t>QUARTERLY SALES TREND BY REGION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 in millions, CONSTANT CURRENCY</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1Q16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1Q16 vs.</w:t>
            </w:r>
          </w:p>
        </w:tc>
        <w:tc>
          <w:tcPr>
            <w:tcW w:w="0" w:type="dxa"/>
            <w:vAlign w:val="bottom"/>
          </w:tcPr>
          <w:p>
            <w:pPr>
              <w:spacing w:after="0"/>
              <w:rPr>
                <w:sz w:val="1"/>
                <w:szCs w:val="1"/>
                <w:color w:val="auto"/>
              </w:rPr>
            </w:pPr>
          </w:p>
        </w:tc>
      </w:tr>
      <w:tr>
        <w:trPr>
          <w:trHeight w:val="241"/>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1Q15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b w:val="1"/>
                <w:bCs w:val="1"/>
                <w:color w:val="auto"/>
              </w:rPr>
              <w:t>2Q15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b w:val="1"/>
                <w:bCs w:val="1"/>
                <w:color w:val="auto"/>
              </w:rPr>
              <w:t>3Q15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4Q15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FY15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1Q15</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b w:val="1"/>
                <w:bCs w:val="1"/>
                <w:color w:val="auto"/>
              </w:rPr>
              <w:t>Cardio Pulmonary</w:t>
            </w:r>
          </w:p>
        </w:tc>
        <w:tc>
          <w:tcPr>
            <w:tcW w:w="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US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32.9</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43.0</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39.8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45.9</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161.7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34.5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33.6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31.7</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137.9</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32.4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Rest of World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41.5</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48.5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176.9</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46.6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107.5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125.9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113.0</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130.0</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476.4</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113.4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Heart Valve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Rest of World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17.8</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68.1</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15.2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34.2</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34.9</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140.2</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33.4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1"/>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Cardiac Surgery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39.6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45.9</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51.7</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186.9</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40.9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46.3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41.9</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46.5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184.8</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44.0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Rest of World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59.3</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66.7</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245.0</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61.8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142.2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162.3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147.2</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164.9</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616.6</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146.8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CRM</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(34.4% )</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23"/>
                <w:szCs w:val="23"/>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51.0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44.8</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50.5</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198.6</w:t>
            </w:r>
          </w:p>
        </w:tc>
        <w:tc>
          <w:tcPr>
            <w:tcW w:w="200" w:type="dxa"/>
            <w:vAlign w:val="bottom"/>
          </w:tcPr>
          <w:p>
            <w:pPr>
              <w:spacing w:after="0"/>
              <w:rPr>
                <w:sz w:val="23"/>
                <w:szCs w:val="23"/>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51.2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Rest of World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53.9</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60.7</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260.5</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62.9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1"/>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Neuromodulation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57.5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70.9</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76.8</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268.8</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70.2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Rest of World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84.3</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91.5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324.3</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81.6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Other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Rest of World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101.6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117.1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120.8</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131.6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471.2</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114.1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106.1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95.2</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106.4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418.8</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101.9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Rest of World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70.2</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79.9</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314.6</w:t>
            </w:r>
          </w:p>
        </w:tc>
        <w:tc>
          <w:tcPr>
            <w:tcW w:w="20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283.4</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317.1</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286.1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318.0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1,204.6</w:t>
            </w:r>
          </w:p>
        </w:tc>
        <w:tc>
          <w:tcPr>
            <w:tcW w:w="3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291.8</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-6722745</wp:posOffset>
            </wp:positionV>
            <wp:extent cx="342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-6088380</wp:posOffset>
            </wp:positionV>
            <wp:extent cx="342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-4939030</wp:posOffset>
            </wp:positionV>
            <wp:extent cx="342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-4912995</wp:posOffset>
            </wp:positionV>
            <wp:extent cx="342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-33655</wp:posOffset>
            </wp:positionV>
            <wp:extent cx="342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-8255</wp:posOffset>
            </wp:positionV>
            <wp:extent cx="342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702945</wp:posOffset>
            </wp:positionV>
            <wp:extent cx="16465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0" w:hanging="132"/>
        <w:spacing w:after="0"/>
        <w:tabs>
          <w:tab w:leader="none" w:pos="1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The sales results presented are unaudited. Numbers may not add due to rounding.</w:t>
      </w:r>
    </w:p>
    <w:p>
      <w:pPr>
        <w:sectPr>
          <w:pgSz w:w="11900" w:h="16838" w:orient="portrait"/>
          <w:cols w:equalWidth="0" w:num="1">
            <w:col w:w="11400"/>
          </w:cols>
          <w:pgMar w:left="240" w:top="12" w:right="25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 w:right="2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LIVANOVA PLC</w:t>
      </w:r>
      <w:r>
        <w:rPr>
          <w:rFonts w:ascii="Arial" w:cs="Arial" w:eastAsia="Arial" w:hAnsi="Arial"/>
          <w:sz w:val="30"/>
          <w:szCs w:val="30"/>
          <w:b w:val="1"/>
          <w:bCs w:val="1"/>
          <w:color w:val="auto"/>
          <w:vertAlign w:val="superscript"/>
        </w:rPr>
        <w:t>8</w:t>
      </w:r>
    </w:p>
    <w:p>
      <w:pPr>
        <w:spacing w:after="0"/>
        <w:rPr>
          <w:sz w:val="20"/>
          <w:szCs w:val="20"/>
          <w:color w:val="auto"/>
        </w:rPr>
      </w:pPr>
      <w:r>
        <w:rPr>
          <w:rFonts w:ascii="Arial" w:cs="Arial" w:eastAsia="Arial" w:hAnsi="Arial"/>
          <w:sz w:val="18"/>
          <w:szCs w:val="18"/>
          <w:b w:val="1"/>
          <w:bCs w:val="1"/>
          <w:color w:val="auto"/>
        </w:rPr>
        <w:t>QUARTERLY SALES TREND BY REGION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 in millions, REPORTED</w:t>
      </w:r>
    </w:p>
    <w:p>
      <w:pPr>
        <w:spacing w:after="0" w:line="261" w:lineRule="exact"/>
        <w:rPr>
          <w:sz w:val="20"/>
          <w:szCs w:val="20"/>
          <w:color w:val="auto"/>
        </w:rPr>
      </w:pPr>
    </w:p>
    <w:tbl>
      <w:tblPr>
        <w:tblLayout w:type="fixed"/>
        <w:tblInd w:w="320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b w:val="1"/>
                <w:bCs w:val="1"/>
                <w:color w:val="auto"/>
              </w:rPr>
              <w:t>1Q16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1Q16 vs.</w:t>
            </w:r>
          </w:p>
        </w:tc>
      </w:tr>
      <w:tr>
        <w:trPr>
          <w:trHeight w:val="241"/>
        </w:trPr>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1Q15</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2Q15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3Q15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4Q15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FY15</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1Q15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-16510</wp:posOffset>
            </wp:positionV>
            <wp:extent cx="685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-16510</wp:posOffset>
            </wp:positionV>
            <wp:extent cx="342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-16510</wp:posOffset>
            </wp:positionV>
            <wp:extent cx="342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-16510</wp:posOffset>
            </wp:positionV>
            <wp:extent cx="342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-16510</wp:posOffset>
            </wp:positionV>
            <wp:extent cx="342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-16510</wp:posOffset>
            </wp:positionV>
            <wp:extent cx="342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-16510</wp:posOffset>
            </wp:positionV>
            <wp:extent cx="685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Cardio Pulmonary</w:t>
      </w:r>
    </w:p>
    <w:p>
      <w:pPr>
        <w:sectPr>
          <w:pgSz w:w="11900" w:h="16838" w:orient="portrait"/>
          <w:cols w:equalWidth="0" w:num="1">
            <w:col w:w="10700"/>
          </w:cols>
          <w:pgMar w:left="240" w:top="12" w:right="959" w:bottom="1440" w:gutter="0" w:footer="0" w:header="0"/>
        </w:sectPr>
      </w:pP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Europe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 of World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Heart Valve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Europe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 of World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Cardiac Surgery</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Europe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 of World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CRM</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Europe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 of World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Neuromodulation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Europe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 of World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Europe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 of World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Europe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 of World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16465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43.0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39.8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45.9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161.7</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33.6</w:t>
            </w:r>
          </w:p>
        </w:tc>
        <w:tc>
          <w:tcPr>
            <w:tcW w:w="8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(6.3% )</w:t>
            </w:r>
          </w:p>
        </w:tc>
      </w:tr>
      <w:tr>
        <w:trPr>
          <w:trHeight w:val="24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41.0</w:t>
            </w:r>
          </w:p>
        </w:tc>
        <w:tc>
          <w:tcPr>
            <w:tcW w:w="8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r>
      <w:tr>
        <w:trPr>
          <w:trHeight w:val="27"/>
        </w:trPr>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r>
      <w:tr>
        <w:trPr>
          <w:trHeight w:val="24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107.5</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476.4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110.9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723"/>
        </w:trPr>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6.7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(3.6% )</w:t>
            </w:r>
          </w:p>
        </w:tc>
      </w:tr>
      <w:tr>
        <w:trPr>
          <w:trHeight w:val="243"/>
        </w:trPr>
        <w:tc>
          <w:tcPr>
            <w:tcW w:w="10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12.8</w:t>
            </w:r>
          </w:p>
        </w:tc>
        <w:tc>
          <w:tcPr>
            <w:tcW w:w="8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(10.7% )</w:t>
            </w:r>
          </w:p>
        </w:tc>
      </w:tr>
      <w:tr>
        <w:trPr>
          <w:trHeight w:val="24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15.2</w:t>
            </w:r>
          </w:p>
        </w:tc>
        <w:tc>
          <w:tcPr>
            <w:tcW w:w="8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w:t>
            </w:r>
          </w:p>
        </w:tc>
      </w:tr>
      <w:tr>
        <w:trPr>
          <w:trHeight w:val="27"/>
        </w:trPr>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r>
      <w:tr>
        <w:trPr>
          <w:trHeight w:val="24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34.7</w:t>
            </w:r>
          </w:p>
        </w:tc>
        <w:tc>
          <w:tcPr>
            <w:tcW w:w="8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(6.2% )</w:t>
            </w: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723"/>
        </w:trPr>
        <w:tc>
          <w:tcPr>
            <w:tcW w:w="1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39.6</w:t>
            </w:r>
          </w:p>
        </w:tc>
        <w:tc>
          <w:tcPr>
            <w:tcW w:w="80" w:type="dxa"/>
            <w:vAlign w:val="bottom"/>
          </w:tcPr>
          <w:p>
            <w:pPr>
              <w:spacing w:after="0"/>
              <w:rPr>
                <w:sz w:val="24"/>
                <w:szCs w:val="2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24"/>
                <w:szCs w:val="2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4"/>
                <w:szCs w:val="2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40.9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r>
      <w:tr>
        <w:trPr>
          <w:trHeight w:val="243"/>
        </w:trPr>
        <w:tc>
          <w:tcPr>
            <w:tcW w:w="10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46.3</w:t>
            </w:r>
          </w:p>
        </w:tc>
        <w:tc>
          <w:tcPr>
            <w:tcW w:w="8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(7.5% )</w:t>
            </w:r>
          </w:p>
        </w:tc>
      </w:tr>
      <w:tr>
        <w:trPr>
          <w:trHeight w:val="24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56.2</w:t>
            </w:r>
          </w:p>
        </w:tc>
        <w:tc>
          <w:tcPr>
            <w:tcW w:w="8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r>
      <w:tr>
        <w:trPr>
          <w:trHeight w:val="27"/>
        </w:trPr>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r>
      <w:tr>
        <w:trPr>
          <w:trHeight w:val="24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142.2</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616.6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143.4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723"/>
        </w:trPr>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4.5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(34.4% )</w:t>
            </w:r>
          </w:p>
        </w:tc>
      </w:tr>
      <w:tr>
        <w:trPr>
          <w:trHeight w:val="243"/>
        </w:trPr>
        <w:tc>
          <w:tcPr>
            <w:tcW w:w="10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51.0</w:t>
            </w:r>
          </w:p>
        </w:tc>
        <w:tc>
          <w:tcPr>
            <w:tcW w:w="8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(1.9% )</w:t>
            </w:r>
          </w:p>
        </w:tc>
      </w:tr>
      <w:tr>
        <w:trPr>
          <w:trHeight w:val="24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14.9</w:t>
            </w:r>
          </w:p>
        </w:tc>
        <w:tc>
          <w:tcPr>
            <w:tcW w:w="8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w:t>
            </w:r>
          </w:p>
        </w:tc>
      </w:tr>
      <w:tr>
        <w:trPr>
          <w:trHeight w:val="27"/>
        </w:trPr>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r>
      <w:tr>
        <w:trPr>
          <w:trHeight w:val="24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70.4</w:t>
            </w:r>
          </w:p>
        </w:tc>
        <w:tc>
          <w:tcPr>
            <w:tcW w:w="8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(12.3% )</w:t>
            </w: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723"/>
        </w:trPr>
        <w:tc>
          <w:tcPr>
            <w:tcW w:w="10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57.5</w:t>
            </w:r>
          </w:p>
        </w:tc>
        <w:tc>
          <w:tcPr>
            <w:tcW w:w="80" w:type="dxa"/>
            <w:vAlign w:val="bottom"/>
          </w:tcPr>
          <w:p>
            <w:pPr>
              <w:spacing w:after="0"/>
              <w:rPr>
                <w:sz w:val="24"/>
                <w:szCs w:val="2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24"/>
                <w:szCs w:val="2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4"/>
                <w:szCs w:val="2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4"/>
                <w:szCs w:val="24"/>
                <w:color w:val="auto"/>
              </w:rPr>
            </w:pPr>
          </w:p>
        </w:tc>
      </w:tr>
      <w:tr>
        <w:trPr>
          <w:trHeight w:val="243"/>
        </w:trPr>
        <w:tc>
          <w:tcPr>
            <w:tcW w:w="10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8.7</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(27.3% )</w:t>
            </w:r>
          </w:p>
        </w:tc>
      </w:tr>
      <w:tr>
        <w:trPr>
          <w:trHeight w:val="24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r>
      <w:tr>
        <w:trPr>
          <w:trHeight w:val="27"/>
        </w:trPr>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r>
      <w:tr>
        <w:trPr>
          <w:trHeight w:val="24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70.1</w:t>
            </w:r>
          </w:p>
        </w:tc>
        <w:tc>
          <w:tcPr>
            <w:tcW w:w="8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81.4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723"/>
        </w:trPr>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0.0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4"/>
                <w:szCs w:val="2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0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0.0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NM</w:t>
            </w:r>
          </w:p>
        </w:tc>
      </w:tr>
      <w:tr>
        <w:trPr>
          <w:trHeight w:val="27"/>
        </w:trPr>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r>
      <w:tr>
        <w:trPr>
          <w:trHeight w:val="24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NM</w:t>
            </w: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723"/>
        </w:trPr>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117.1</w:t>
            </w:r>
          </w:p>
        </w:tc>
        <w:tc>
          <w:tcPr>
            <w:tcW w:w="140" w:type="dxa"/>
            <w:vAlign w:val="bottom"/>
          </w:tcPr>
          <w:p>
            <w:pPr>
              <w:spacing w:after="0"/>
              <w:rPr>
                <w:sz w:val="24"/>
                <w:szCs w:val="2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4"/>
                <w:szCs w:val="2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114.1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4"/>
                <w:szCs w:val="24"/>
                <w:color w:val="auto"/>
              </w:rPr>
            </w:pPr>
          </w:p>
        </w:tc>
      </w:tr>
      <w:tr>
        <w:trPr>
          <w:trHeight w:val="243"/>
        </w:trPr>
        <w:tc>
          <w:tcPr>
            <w:tcW w:w="10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106.1</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111.2</w:t>
            </w: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418.8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(6.4% )</w:t>
            </w:r>
          </w:p>
        </w:tc>
      </w:tr>
      <w:tr>
        <w:trPr>
          <w:trHeight w:val="24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75.7</w:t>
            </w:r>
          </w:p>
        </w:tc>
        <w:tc>
          <w:tcPr>
            <w:tcW w:w="8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w:t>
            </w:r>
          </w:p>
        </w:tc>
      </w:tr>
      <w:tr>
        <w:trPr>
          <w:trHeight w:val="27"/>
        </w:trPr>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283.4</w:t>
            </w:r>
          </w:p>
        </w:tc>
        <w:tc>
          <w:tcPr>
            <w:tcW w:w="2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317.1</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286.1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318.0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1,204.6</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287.0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-6071235</wp:posOffset>
            </wp:positionV>
            <wp:extent cx="342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-6071235</wp:posOffset>
            </wp:positionV>
            <wp:extent cx="342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-6071235</wp:posOffset>
            </wp:positionV>
            <wp:extent cx="342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-6071235</wp:posOffset>
            </wp:positionV>
            <wp:extent cx="342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-6071235</wp:posOffset>
            </wp:positionV>
            <wp:extent cx="342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-5899785</wp:posOffset>
            </wp:positionV>
            <wp:extent cx="342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-5873750</wp:posOffset>
            </wp:positionV>
            <wp:extent cx="342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-5899785</wp:posOffset>
            </wp:positionV>
            <wp:extent cx="342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-5873750</wp:posOffset>
            </wp:positionV>
            <wp:extent cx="342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-5899785</wp:posOffset>
            </wp:positionV>
            <wp:extent cx="342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-5873750</wp:posOffset>
            </wp:positionV>
            <wp:extent cx="342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-5899785</wp:posOffset>
            </wp:positionV>
            <wp:extent cx="342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-5873750</wp:posOffset>
            </wp:positionV>
            <wp:extent cx="342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-5899785</wp:posOffset>
            </wp:positionV>
            <wp:extent cx="342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-5873750</wp:posOffset>
            </wp:positionV>
            <wp:extent cx="342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-5093335</wp:posOffset>
            </wp:positionV>
            <wp:extent cx="342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-5093335</wp:posOffset>
            </wp:positionV>
            <wp:extent cx="342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-5093335</wp:posOffset>
            </wp:positionV>
            <wp:extent cx="342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-5093335</wp:posOffset>
            </wp:positionV>
            <wp:extent cx="342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-5093335</wp:posOffset>
            </wp:positionV>
            <wp:extent cx="342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-4921885</wp:posOffset>
            </wp:positionV>
            <wp:extent cx="342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-4895850</wp:posOffset>
            </wp:positionV>
            <wp:extent cx="342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-4921885</wp:posOffset>
            </wp:positionV>
            <wp:extent cx="342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-4895850</wp:posOffset>
            </wp:positionV>
            <wp:extent cx="342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-4921885</wp:posOffset>
            </wp:positionV>
            <wp:extent cx="342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-4895850</wp:posOffset>
            </wp:positionV>
            <wp:extent cx="342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-4921885</wp:posOffset>
            </wp:positionV>
            <wp:extent cx="342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-4895850</wp:posOffset>
            </wp:positionV>
            <wp:extent cx="342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-4921885</wp:posOffset>
            </wp:positionV>
            <wp:extent cx="342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-4895850</wp:posOffset>
            </wp:positionV>
            <wp:extent cx="342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-4116070</wp:posOffset>
            </wp:positionV>
            <wp:extent cx="342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-4116070</wp:posOffset>
            </wp:positionV>
            <wp:extent cx="342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-4116070</wp:posOffset>
            </wp:positionV>
            <wp:extent cx="342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-4116070</wp:posOffset>
            </wp:positionV>
            <wp:extent cx="342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-4116070</wp:posOffset>
            </wp:positionV>
            <wp:extent cx="342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-3943985</wp:posOffset>
            </wp:positionV>
            <wp:extent cx="342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-3918585</wp:posOffset>
            </wp:positionV>
            <wp:extent cx="342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-3943985</wp:posOffset>
            </wp:positionV>
            <wp:extent cx="342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-3918585</wp:posOffset>
            </wp:positionV>
            <wp:extent cx="342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-3943985</wp:posOffset>
            </wp:positionV>
            <wp:extent cx="342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-3918585</wp:posOffset>
            </wp:positionV>
            <wp:extent cx="342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-3943985</wp:posOffset>
            </wp:positionV>
            <wp:extent cx="342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-3918585</wp:posOffset>
            </wp:positionV>
            <wp:extent cx="342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-3943985</wp:posOffset>
            </wp:positionV>
            <wp:extent cx="342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-3918585</wp:posOffset>
            </wp:positionV>
            <wp:extent cx="342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-3138170</wp:posOffset>
            </wp:positionV>
            <wp:extent cx="342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-3138170</wp:posOffset>
            </wp:positionV>
            <wp:extent cx="342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-3138170</wp:posOffset>
            </wp:positionV>
            <wp:extent cx="342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-3138170</wp:posOffset>
            </wp:positionV>
            <wp:extent cx="342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-3138170</wp:posOffset>
            </wp:positionV>
            <wp:extent cx="342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-2966720</wp:posOffset>
            </wp:positionV>
            <wp:extent cx="342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-2940685</wp:posOffset>
            </wp:positionV>
            <wp:extent cx="342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-2966720</wp:posOffset>
            </wp:positionV>
            <wp:extent cx="342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-2940685</wp:posOffset>
            </wp:positionV>
            <wp:extent cx="342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-2966720</wp:posOffset>
            </wp:positionV>
            <wp:extent cx="342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-2940685</wp:posOffset>
            </wp:positionV>
            <wp:extent cx="342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-2966720</wp:posOffset>
            </wp:positionV>
            <wp:extent cx="34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-2940685</wp:posOffset>
            </wp:positionV>
            <wp:extent cx="342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-2966720</wp:posOffset>
            </wp:positionV>
            <wp:extent cx="342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-2940685</wp:posOffset>
            </wp:positionV>
            <wp:extent cx="34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-2160270</wp:posOffset>
            </wp:positionV>
            <wp:extent cx="342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-2160270</wp:posOffset>
            </wp:positionV>
            <wp:extent cx="342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-2160270</wp:posOffset>
            </wp:positionV>
            <wp:extent cx="342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-2160270</wp:posOffset>
            </wp:positionV>
            <wp:extent cx="342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-2160270</wp:posOffset>
            </wp:positionV>
            <wp:extent cx="342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-1988820</wp:posOffset>
            </wp:positionV>
            <wp:extent cx="342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-1963420</wp:posOffset>
            </wp:positionV>
            <wp:extent cx="342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-1988820</wp:posOffset>
            </wp:positionV>
            <wp:extent cx="342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-1963420</wp:posOffset>
            </wp:positionV>
            <wp:extent cx="342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-1988820</wp:posOffset>
            </wp:positionV>
            <wp:extent cx="342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-1963420</wp:posOffset>
            </wp:positionV>
            <wp:extent cx="342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-1988820</wp:posOffset>
            </wp:positionV>
            <wp:extent cx="342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-1963420</wp:posOffset>
            </wp:positionV>
            <wp:extent cx="342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-1988820</wp:posOffset>
            </wp:positionV>
            <wp:extent cx="342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-1963420</wp:posOffset>
            </wp:positionV>
            <wp:extent cx="342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-1183005</wp:posOffset>
            </wp:positionV>
            <wp:extent cx="342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-1183005</wp:posOffset>
            </wp:positionV>
            <wp:extent cx="342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-1183005</wp:posOffset>
            </wp:positionV>
            <wp:extent cx="342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-1183005</wp:posOffset>
            </wp:positionV>
            <wp:extent cx="342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-1183005</wp:posOffset>
            </wp:positionV>
            <wp:extent cx="342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-1011555</wp:posOffset>
            </wp:positionV>
            <wp:extent cx="342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-985520</wp:posOffset>
            </wp:positionV>
            <wp:extent cx="342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-1011555</wp:posOffset>
            </wp:positionV>
            <wp:extent cx="342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-985520</wp:posOffset>
            </wp:positionV>
            <wp:extent cx="342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-1011555</wp:posOffset>
            </wp:positionV>
            <wp:extent cx="342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-985520</wp:posOffset>
            </wp:positionV>
            <wp:extent cx="342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-1011555</wp:posOffset>
            </wp:positionV>
            <wp:extent cx="342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-985520</wp:posOffset>
            </wp:positionV>
            <wp:extent cx="342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-1011555</wp:posOffset>
            </wp:positionV>
            <wp:extent cx="342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-985520</wp:posOffset>
            </wp:positionV>
            <wp:extent cx="342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-205105</wp:posOffset>
            </wp:positionV>
            <wp:extent cx="342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-205105</wp:posOffset>
            </wp:positionV>
            <wp:extent cx="342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-205105</wp:posOffset>
            </wp:positionV>
            <wp:extent cx="342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-205105</wp:posOffset>
            </wp:positionV>
            <wp:extent cx="342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-205105</wp:posOffset>
            </wp:positionV>
            <wp:extent cx="342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-33655</wp:posOffset>
            </wp:positionV>
            <wp:extent cx="342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-8255</wp:posOffset>
            </wp:positionV>
            <wp:extent cx="342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-33655</wp:posOffset>
            </wp:positionV>
            <wp:extent cx="342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-8255</wp:posOffset>
            </wp:positionV>
            <wp:extent cx="342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-33655</wp:posOffset>
            </wp:positionV>
            <wp:extent cx="342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-8255</wp:posOffset>
            </wp:positionV>
            <wp:extent cx="342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-33655</wp:posOffset>
            </wp:positionV>
            <wp:extent cx="342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-8255</wp:posOffset>
            </wp:positionV>
            <wp:extent cx="342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-33655</wp:posOffset>
            </wp:positionV>
            <wp:extent cx="342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-8255</wp:posOffset>
            </wp:positionV>
            <wp:extent cx="342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7620"/>
          </w:cols>
          <w:pgMar w:left="240" w:top="12"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0" w:hanging="132"/>
        <w:spacing w:after="0"/>
        <w:tabs>
          <w:tab w:leader="none" w:pos="14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The sales results presented are unaudited. Numbers may not add due to rounding.</w:t>
      </w:r>
    </w:p>
    <w:p>
      <w:pPr>
        <w:sectPr>
          <w:pgSz w:w="11900" w:h="16838" w:orient="portrait"/>
          <w:cols w:equalWidth="0" w:num="1">
            <w:col w:w="10700"/>
          </w:cols>
          <w:pgMar w:left="240" w:top="12" w:right="959" w:bottom="1440" w:gutter="0" w:footer="0" w:header="0"/>
          <w:type w:val="continuous"/>
        </w:sectPr>
      </w:pPr>
    </w:p>
    <w:p>
      <w:pPr>
        <w:spacing w:after="0" w:line="157"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00"/>
          </w:cols>
          <w:pgMar w:left="240" w:top="12" w:right="959" w:bottom="1440" w:gutter="0" w:footer="0" w:header="0"/>
          <w:type w:val="continuous"/>
        </w:sectPr>
      </w:pPr>
    </w:p>
    <w:bookmarkStart w:id="14" w:name="page15"/>
    <w:bookmarkEnd w:id="14"/>
    <w:p>
      <w:pPr>
        <w:ind w:left="72"/>
        <w:spacing w:after="0"/>
        <w:rPr>
          <w:sz w:val="20"/>
          <w:szCs w:val="20"/>
          <w:color w:val="auto"/>
        </w:rPr>
      </w:pPr>
      <w:r>
        <w:rPr>
          <w:rFonts w:ascii="Arial" w:cs="Arial" w:eastAsia="Arial" w:hAnsi="Arial"/>
          <w:sz w:val="18"/>
          <w:szCs w:val="18"/>
          <w:b w:val="1"/>
          <w:bCs w:val="1"/>
          <w:color w:val="auto"/>
        </w:rPr>
        <w:t>LIVANOVA PLC</w:t>
      </w:r>
      <w:r>
        <w:rPr>
          <w:rFonts w:ascii="Arial" w:cs="Arial" w:eastAsia="Arial" w:hAnsi="Arial"/>
          <w:sz w:val="30"/>
          <w:szCs w:val="30"/>
          <w:b w:val="1"/>
          <w:bCs w:val="1"/>
          <w:color w:val="auto"/>
          <w:vertAlign w:val="superscript"/>
        </w:rPr>
        <w:t>9</w:t>
      </w:r>
    </w:p>
    <w:p>
      <w:pPr>
        <w:ind w:left="72"/>
        <w:spacing w:after="0"/>
        <w:rPr>
          <w:sz w:val="20"/>
          <w:szCs w:val="20"/>
          <w:color w:val="auto"/>
        </w:rPr>
      </w:pPr>
      <w:r>
        <w:rPr>
          <w:rFonts w:ascii="Arial" w:cs="Arial" w:eastAsia="Arial" w:hAnsi="Arial"/>
          <w:sz w:val="18"/>
          <w:szCs w:val="18"/>
          <w:b w:val="1"/>
          <w:bCs w:val="1"/>
          <w:color w:val="auto"/>
        </w:rPr>
        <w:t>QUARTERLY SALES</w:t>
      </w:r>
    </w:p>
    <w:p>
      <w:pPr>
        <w:spacing w:after="0" w:line="7" w:lineRule="exact"/>
        <w:rPr>
          <w:sz w:val="20"/>
          <w:szCs w:val="20"/>
          <w:color w:val="auto"/>
        </w:rPr>
      </w:pPr>
    </w:p>
    <w:p>
      <w:pPr>
        <w:ind w:left="72"/>
        <w:spacing w:after="0"/>
        <w:rPr>
          <w:sz w:val="20"/>
          <w:szCs w:val="20"/>
          <w:color w:val="auto"/>
        </w:rPr>
      </w:pPr>
      <w:r>
        <w:rPr>
          <w:rFonts w:ascii="Arial" w:cs="Arial" w:eastAsia="Arial" w:hAnsi="Arial"/>
          <w:sz w:val="18"/>
          <w:szCs w:val="18"/>
          <w:b w:val="1"/>
          <w:bCs w:val="1"/>
          <w:color w:val="auto"/>
        </w:rPr>
        <w:t>U.S. dollar in millions</w:t>
      </w:r>
    </w:p>
    <w:p>
      <w:pPr>
        <w:spacing w:after="0" w:line="265" w:lineRule="exact"/>
        <w:rPr>
          <w:sz w:val="20"/>
          <w:szCs w:val="20"/>
          <w:color w:val="auto"/>
        </w:rPr>
      </w:pPr>
    </w:p>
    <w:tbl>
      <w:tblPr>
        <w:tblLayout w:type="fixed"/>
        <w:tblInd w:w="32" w:type="dxa"/>
        <w:tblCellMar>
          <w:top w:w="0" w:type="dxa"/>
          <w:left w:w="0" w:type="dxa"/>
          <w:bottom w:w="0" w:type="dxa"/>
          <w:right w:w="0" w:type="dxa"/>
        </w:tblCellMar>
      </w:tblPr>
      <w:tr>
        <w:trPr>
          <w:trHeight w:val="237"/>
        </w:trPr>
        <w:tc>
          <w:tcPr>
            <w:tcW w:w="2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10"/>
          </w:tcPr>
          <w:p>
            <w:pPr>
              <w:ind w:left="26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898"/>
        </w:trPr>
        <w:tc>
          <w:tcPr>
            <w:tcW w:w="254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b w:val="1"/>
                <w:bCs w:val="1"/>
                <w:color w:val="auto"/>
              </w:rPr>
              <w:t>Cardio Pulmonary</w:t>
            </w: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US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Rest of World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Heart Valve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Rest of World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Cardiac Surgery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Rest of World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143.4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142.2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CRM</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Rest of World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Neuromodulation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Rest of World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Rest of World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Rest of World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73.5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8"/>
              </w:rPr>
              <w:t>287.0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283.4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1012190</wp:posOffset>
            </wp:positionV>
            <wp:extent cx="16465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 Change at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Actual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 Change at</w:t>
            </w:r>
          </w:p>
        </w:tc>
      </w:tr>
      <w:tr>
        <w:trPr>
          <w:trHeight w:val="216"/>
        </w:trPr>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Currency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Constant</w:t>
            </w:r>
          </w:p>
        </w:tc>
      </w:tr>
      <w:tr>
        <w:trPr>
          <w:trHeight w:val="241"/>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Rates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Currency Rates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486"/>
        </w:trPr>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580" w:type="dxa"/>
            <w:vAlign w:val="bottom"/>
            <w:gridSpan w:val="5"/>
          </w:tcPr>
          <w:p>
            <w:pPr>
              <w:jc w:val="right"/>
              <w:ind w:right="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r>
      <w:tr>
        <w:trPr>
          <w:trHeight w:val="243"/>
        </w:trPr>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(6.3% )</w:t>
            </w:r>
          </w:p>
        </w:tc>
        <w:tc>
          <w:tcPr>
            <w:tcW w:w="1700" w:type="dxa"/>
            <w:vAlign w:val="bottom"/>
            <w:gridSpan w:val="6"/>
          </w:tcPr>
          <w:p>
            <w:pPr>
              <w:jc w:val="right"/>
              <w:ind w:right="60"/>
              <w:spacing w:after="0"/>
              <w:rPr>
                <w:sz w:val="20"/>
                <w:szCs w:val="20"/>
                <w:color w:val="auto"/>
              </w:rPr>
            </w:pPr>
            <w:r>
              <w:rPr>
                <w:rFonts w:ascii="Arial" w:cs="Arial" w:eastAsia="Arial" w:hAnsi="Arial"/>
                <w:sz w:val="18"/>
                <w:szCs w:val="18"/>
                <w:color w:val="auto"/>
              </w:rPr>
              <w:t>(3.7% )</w:t>
            </w:r>
          </w:p>
        </w:tc>
      </w:tr>
      <w:tr>
        <w:trPr>
          <w:trHeight w:val="270"/>
        </w:trPr>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1580" w:type="dxa"/>
            <w:vAlign w:val="bottom"/>
            <w:gridSpan w:val="5"/>
          </w:tcPr>
          <w:p>
            <w:pPr>
              <w:jc w:val="right"/>
              <w:ind w:right="2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3"/>
                <w:szCs w:val="23"/>
                <w:color w:val="auto"/>
              </w:rPr>
            </w:pPr>
          </w:p>
        </w:tc>
      </w:tr>
      <w:tr>
        <w:trPr>
          <w:trHeight w:val="297"/>
        </w:trPr>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580" w:type="dxa"/>
            <w:vAlign w:val="bottom"/>
            <w:gridSpan w:val="5"/>
          </w:tcPr>
          <w:p>
            <w:pPr>
              <w:jc w:val="right"/>
              <w:ind w:right="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r>
      <w:tr>
        <w:trPr>
          <w:trHeight w:val="729"/>
        </w:trPr>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(3.6% )</w:t>
            </w:r>
          </w:p>
        </w:tc>
        <w:tc>
          <w:tcPr>
            <w:tcW w:w="1700" w:type="dxa"/>
            <w:vAlign w:val="bottom"/>
            <w:gridSpan w:val="6"/>
          </w:tcPr>
          <w:p>
            <w:pPr>
              <w:jc w:val="right"/>
              <w:ind w:right="60"/>
              <w:spacing w:after="0"/>
              <w:rPr>
                <w:sz w:val="20"/>
                <w:szCs w:val="20"/>
                <w:color w:val="auto"/>
              </w:rPr>
            </w:pPr>
            <w:r>
              <w:rPr>
                <w:rFonts w:ascii="Arial" w:cs="Arial" w:eastAsia="Arial" w:hAnsi="Arial"/>
                <w:sz w:val="18"/>
                <w:szCs w:val="18"/>
                <w:color w:val="auto"/>
              </w:rPr>
              <w:t>(3.6% )</w:t>
            </w:r>
          </w:p>
        </w:tc>
      </w:tr>
      <w:tr>
        <w:trPr>
          <w:trHeight w:val="243"/>
        </w:trPr>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(10.7% )</w:t>
            </w:r>
          </w:p>
        </w:tc>
        <w:tc>
          <w:tcPr>
            <w:tcW w:w="1700" w:type="dxa"/>
            <w:vAlign w:val="bottom"/>
            <w:gridSpan w:val="6"/>
          </w:tcPr>
          <w:p>
            <w:pPr>
              <w:jc w:val="right"/>
              <w:ind w:right="60"/>
              <w:spacing w:after="0"/>
              <w:rPr>
                <w:sz w:val="20"/>
                <w:szCs w:val="20"/>
                <w:color w:val="auto"/>
              </w:rPr>
            </w:pPr>
            <w:r>
              <w:rPr>
                <w:rFonts w:ascii="Arial" w:cs="Arial" w:eastAsia="Arial" w:hAnsi="Arial"/>
                <w:sz w:val="18"/>
                <w:szCs w:val="18"/>
                <w:color w:val="auto"/>
              </w:rPr>
              <w:t>(8.4% )</w:t>
            </w:r>
          </w:p>
        </w:tc>
      </w:tr>
      <w:tr>
        <w:trPr>
          <w:trHeight w:val="270"/>
        </w:trPr>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(3.5% )</w:t>
            </w:r>
          </w:p>
        </w:tc>
        <w:tc>
          <w:tcPr>
            <w:tcW w:w="1580" w:type="dxa"/>
            <w:vAlign w:val="bottom"/>
            <w:gridSpan w:val="5"/>
          </w:tcPr>
          <w:p>
            <w:pPr>
              <w:jc w:val="right"/>
              <w:ind w:right="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r>
      <w:tr>
        <w:trPr>
          <w:trHeight w:val="324"/>
        </w:trPr>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(6.2% )</w:t>
            </w:r>
          </w:p>
        </w:tc>
        <w:tc>
          <w:tcPr>
            <w:tcW w:w="1700" w:type="dxa"/>
            <w:vAlign w:val="bottom"/>
            <w:gridSpan w:val="6"/>
          </w:tcPr>
          <w:p>
            <w:pPr>
              <w:jc w:val="right"/>
              <w:ind w:right="60"/>
              <w:spacing w:after="0"/>
              <w:rPr>
                <w:sz w:val="20"/>
                <w:szCs w:val="20"/>
                <w:color w:val="auto"/>
              </w:rPr>
            </w:pPr>
            <w:r>
              <w:rPr>
                <w:rFonts w:ascii="Arial" w:cs="Arial" w:eastAsia="Arial" w:hAnsi="Arial"/>
                <w:sz w:val="18"/>
                <w:szCs w:val="18"/>
                <w:color w:val="auto"/>
              </w:rPr>
              <w:t>(3.7% )</w:t>
            </w:r>
          </w:p>
        </w:tc>
      </w:tr>
      <w:tr>
        <w:trPr>
          <w:trHeight w:val="729"/>
        </w:trPr>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580" w:type="dxa"/>
            <w:vAlign w:val="bottom"/>
            <w:gridSpan w:val="5"/>
          </w:tcPr>
          <w:p>
            <w:pPr>
              <w:jc w:val="right"/>
              <w:ind w:right="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r>
      <w:tr>
        <w:trPr>
          <w:trHeight w:val="243"/>
        </w:trPr>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(7.5% )</w:t>
            </w:r>
          </w:p>
        </w:tc>
        <w:tc>
          <w:tcPr>
            <w:tcW w:w="1700" w:type="dxa"/>
            <w:vAlign w:val="bottom"/>
            <w:gridSpan w:val="6"/>
          </w:tcPr>
          <w:p>
            <w:pPr>
              <w:jc w:val="right"/>
              <w:ind w:right="60"/>
              <w:spacing w:after="0"/>
              <w:rPr>
                <w:sz w:val="20"/>
                <w:szCs w:val="20"/>
                <w:color w:val="auto"/>
              </w:rPr>
            </w:pPr>
            <w:r>
              <w:rPr>
                <w:rFonts w:ascii="Arial" w:cs="Arial" w:eastAsia="Arial" w:hAnsi="Arial"/>
                <w:sz w:val="18"/>
                <w:szCs w:val="18"/>
                <w:color w:val="auto"/>
              </w:rPr>
              <w:t>(5.0% )</w:t>
            </w:r>
          </w:p>
        </w:tc>
      </w:tr>
      <w:tr>
        <w:trPr>
          <w:trHeight w:val="270"/>
        </w:trPr>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1580" w:type="dxa"/>
            <w:vAlign w:val="bottom"/>
            <w:gridSpan w:val="5"/>
          </w:tcPr>
          <w:p>
            <w:pPr>
              <w:jc w:val="right"/>
              <w:ind w:right="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r>
      <w:tr>
        <w:trPr>
          <w:trHeight w:val="297"/>
        </w:trPr>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4"/>
                <w:szCs w:val="24"/>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29"/>
        </w:trPr>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(34.4% )</w:t>
            </w:r>
          </w:p>
        </w:tc>
        <w:tc>
          <w:tcPr>
            <w:tcW w:w="1700" w:type="dxa"/>
            <w:vAlign w:val="bottom"/>
            <w:gridSpan w:val="6"/>
          </w:tcPr>
          <w:p>
            <w:pPr>
              <w:jc w:val="right"/>
              <w:ind w:right="60"/>
              <w:spacing w:after="0"/>
              <w:rPr>
                <w:sz w:val="20"/>
                <w:szCs w:val="20"/>
                <w:color w:val="auto"/>
              </w:rPr>
            </w:pPr>
            <w:r>
              <w:rPr>
                <w:rFonts w:ascii="Arial" w:cs="Arial" w:eastAsia="Arial" w:hAnsi="Arial"/>
                <w:sz w:val="18"/>
                <w:szCs w:val="18"/>
                <w:color w:val="auto"/>
              </w:rPr>
              <w:t>(34.4% )</w:t>
            </w:r>
          </w:p>
        </w:tc>
      </w:tr>
      <w:tr>
        <w:trPr>
          <w:trHeight w:val="243"/>
        </w:trPr>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(1.9% )</w:t>
            </w:r>
          </w:p>
        </w:tc>
        <w:tc>
          <w:tcPr>
            <w:tcW w:w="1580" w:type="dxa"/>
            <w:vAlign w:val="bottom"/>
            <w:gridSpan w:val="5"/>
          </w:tcPr>
          <w:p>
            <w:pPr>
              <w:jc w:val="right"/>
              <w:ind w:right="2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r>
      <w:tr>
        <w:trPr>
          <w:trHeight w:val="270"/>
        </w:trPr>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(41.2% )</w:t>
            </w:r>
          </w:p>
        </w:tc>
        <w:tc>
          <w:tcPr>
            <w:tcW w:w="1700" w:type="dxa"/>
            <w:vAlign w:val="bottom"/>
            <w:gridSpan w:val="6"/>
          </w:tcPr>
          <w:p>
            <w:pPr>
              <w:jc w:val="right"/>
              <w:ind w:right="60"/>
              <w:spacing w:after="0"/>
              <w:rPr>
                <w:sz w:val="20"/>
                <w:szCs w:val="20"/>
                <w:color w:val="auto"/>
              </w:rPr>
            </w:pPr>
            <w:r>
              <w:rPr>
                <w:rFonts w:ascii="Arial" w:cs="Arial" w:eastAsia="Arial" w:hAnsi="Arial"/>
                <w:sz w:val="18"/>
                <w:szCs w:val="18"/>
                <w:color w:val="auto"/>
              </w:rPr>
              <w:t>(41.5% )</w:t>
            </w:r>
          </w:p>
        </w:tc>
      </w:tr>
      <w:tr>
        <w:trPr>
          <w:trHeight w:val="297"/>
        </w:trPr>
        <w:tc>
          <w:tcPr>
            <w:tcW w:w="13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(12.3% )</w:t>
            </w:r>
          </w:p>
        </w:tc>
        <w:tc>
          <w:tcPr>
            <w:tcW w:w="1700" w:type="dxa"/>
            <w:vAlign w:val="bottom"/>
            <w:gridSpan w:val="6"/>
          </w:tcPr>
          <w:p>
            <w:pPr>
              <w:jc w:val="right"/>
              <w:ind w:right="60"/>
              <w:spacing w:after="0"/>
              <w:rPr>
                <w:sz w:val="20"/>
                <w:szCs w:val="20"/>
                <w:color w:val="auto"/>
              </w:rPr>
            </w:pPr>
            <w:r>
              <w:rPr>
                <w:rFonts w:ascii="Arial" w:cs="Arial" w:eastAsia="Arial" w:hAnsi="Arial"/>
                <w:sz w:val="18"/>
                <w:szCs w:val="18"/>
                <w:b w:val="1"/>
                <w:bCs w:val="1"/>
                <w:color w:val="auto"/>
              </w:rPr>
              <w:t>(10.7% )</w:t>
            </w:r>
          </w:p>
        </w:tc>
      </w:tr>
      <w:tr>
        <w:trPr>
          <w:trHeight w:val="729"/>
        </w:trPr>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4"/>
                <w:szCs w:val="24"/>
                <w:color w:val="auto"/>
              </w:rPr>
            </w:pPr>
          </w:p>
        </w:tc>
        <w:tc>
          <w:tcPr>
            <w:tcW w:w="1580" w:type="dxa"/>
            <w:vAlign w:val="bottom"/>
            <w:gridSpan w:val="5"/>
          </w:tcPr>
          <w:p>
            <w:pPr>
              <w:jc w:val="right"/>
              <w:ind w:right="2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4"/>
                <w:szCs w:val="24"/>
                <w:color w:val="auto"/>
              </w:rPr>
            </w:pPr>
          </w:p>
        </w:tc>
      </w:tr>
      <w:tr>
        <w:trPr>
          <w:trHeight w:val="243"/>
        </w:trPr>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(27.3% )</w:t>
            </w:r>
          </w:p>
        </w:tc>
        <w:tc>
          <w:tcPr>
            <w:tcW w:w="1700" w:type="dxa"/>
            <w:vAlign w:val="bottom"/>
            <w:gridSpan w:val="6"/>
          </w:tcPr>
          <w:p>
            <w:pPr>
              <w:jc w:val="right"/>
              <w:ind w:right="60"/>
              <w:spacing w:after="0"/>
              <w:rPr>
                <w:sz w:val="20"/>
                <w:szCs w:val="20"/>
                <w:color w:val="auto"/>
              </w:rPr>
            </w:pPr>
            <w:r>
              <w:rPr>
                <w:rFonts w:ascii="Arial" w:cs="Arial" w:eastAsia="Arial" w:hAnsi="Arial"/>
                <w:sz w:val="18"/>
                <w:szCs w:val="18"/>
                <w:color w:val="auto"/>
              </w:rPr>
              <w:t>(24.5% )</w:t>
            </w:r>
          </w:p>
        </w:tc>
      </w:tr>
      <w:tr>
        <w:trPr>
          <w:trHeight w:val="270"/>
        </w:trPr>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3"/>
                <w:szCs w:val="23"/>
                <w:color w:val="auto"/>
              </w:rPr>
            </w:pPr>
          </w:p>
        </w:tc>
        <w:tc>
          <w:tcPr>
            <w:tcW w:w="1580" w:type="dxa"/>
            <w:vAlign w:val="bottom"/>
            <w:gridSpan w:val="5"/>
          </w:tcPr>
          <w:p>
            <w:pPr>
              <w:jc w:val="right"/>
              <w:ind w:right="2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3"/>
                <w:szCs w:val="23"/>
                <w:color w:val="auto"/>
              </w:rPr>
            </w:pPr>
          </w:p>
        </w:tc>
      </w:tr>
      <w:tr>
        <w:trPr>
          <w:trHeight w:val="297"/>
        </w:trPr>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24"/>
                <w:szCs w:val="24"/>
                <w:color w:val="auto"/>
              </w:rPr>
            </w:pPr>
          </w:p>
        </w:tc>
        <w:tc>
          <w:tcPr>
            <w:tcW w:w="158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16.4%</w:t>
            </w:r>
          </w:p>
        </w:tc>
        <w:tc>
          <w:tcPr>
            <w:tcW w:w="120" w:type="dxa"/>
            <w:vAlign w:val="bottom"/>
          </w:tcPr>
          <w:p>
            <w:pPr>
              <w:spacing w:after="0"/>
              <w:rPr>
                <w:sz w:val="24"/>
                <w:szCs w:val="24"/>
                <w:color w:val="auto"/>
              </w:rPr>
            </w:pPr>
          </w:p>
        </w:tc>
      </w:tr>
      <w:tr>
        <w:trPr>
          <w:trHeight w:val="729"/>
        </w:trPr>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70"/>
        </w:trPr>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NM</w:t>
            </w:r>
          </w:p>
        </w:tc>
      </w:tr>
      <w:tr>
        <w:trPr>
          <w:trHeight w:val="297"/>
        </w:trPr>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NM</w:t>
            </w:r>
          </w:p>
        </w:tc>
      </w:tr>
      <w:tr>
        <w:trPr>
          <w:trHeight w:val="729"/>
        </w:trPr>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4"/>
                <w:szCs w:val="24"/>
                <w:color w:val="auto"/>
              </w:rPr>
            </w:pPr>
          </w:p>
        </w:tc>
        <w:tc>
          <w:tcPr>
            <w:tcW w:w="1580" w:type="dxa"/>
            <w:vAlign w:val="bottom"/>
            <w:gridSpan w:val="5"/>
          </w:tcPr>
          <w:p>
            <w:pPr>
              <w:jc w:val="right"/>
              <w:ind w:right="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r>
      <w:tr>
        <w:trPr>
          <w:trHeight w:val="243"/>
        </w:trPr>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(6.4% )</w:t>
            </w:r>
          </w:p>
        </w:tc>
        <w:tc>
          <w:tcPr>
            <w:tcW w:w="1700" w:type="dxa"/>
            <w:vAlign w:val="bottom"/>
            <w:gridSpan w:val="6"/>
          </w:tcPr>
          <w:p>
            <w:pPr>
              <w:jc w:val="right"/>
              <w:ind w:right="60"/>
              <w:spacing w:after="0"/>
              <w:rPr>
                <w:sz w:val="20"/>
                <w:szCs w:val="20"/>
                <w:color w:val="auto"/>
              </w:rPr>
            </w:pPr>
            <w:r>
              <w:rPr>
                <w:rFonts w:ascii="Arial" w:cs="Arial" w:eastAsia="Arial" w:hAnsi="Arial"/>
                <w:sz w:val="18"/>
                <w:szCs w:val="18"/>
                <w:color w:val="auto"/>
              </w:rPr>
              <w:t>(3.9% )</w:t>
            </w:r>
          </w:p>
        </w:tc>
      </w:tr>
      <w:tr>
        <w:trPr>
          <w:trHeight w:val="270"/>
        </w:trPr>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(2.9% )</w:t>
            </w:r>
          </w:p>
        </w:tc>
        <w:tc>
          <w:tcPr>
            <w:tcW w:w="1580" w:type="dxa"/>
            <w:vAlign w:val="bottom"/>
            <w:gridSpan w:val="5"/>
          </w:tcPr>
          <w:p>
            <w:pPr>
              <w:jc w:val="right"/>
              <w:ind w:right="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3"/>
                <w:szCs w:val="23"/>
                <w:color w:val="auto"/>
              </w:rPr>
            </w:pPr>
          </w:p>
        </w:tc>
      </w:tr>
      <w:tr>
        <w:trPr>
          <w:trHeight w:val="297"/>
        </w:trPr>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4"/>
                <w:szCs w:val="24"/>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-6722745</wp:posOffset>
            </wp:positionV>
            <wp:extent cx="5143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92" w:space="260"/>
            <w:col w:w="4359"/>
          </w:cols>
          <w:pgMar w:left="248" w:top="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2" w:hanging="112"/>
        <w:spacing w:after="0"/>
        <w:tabs>
          <w:tab w:leader="none" w:pos="112"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The sales results presented are unaudited. Numbers may not add due to rounding.</w:t>
      </w:r>
    </w:p>
    <w:p>
      <w:pPr>
        <w:sectPr>
          <w:pgSz w:w="11900" w:h="16838" w:orient="portrait"/>
          <w:cols w:equalWidth="0" w:num="1">
            <w:col w:w="10211"/>
          </w:cols>
          <w:pgMar w:left="248" w:top="12" w:right="1440" w:bottom="1440" w:gutter="0" w:footer="0" w:header="0"/>
          <w:type w:val="continuous"/>
        </w:sectPr>
      </w:pPr>
    </w:p>
    <w:p>
      <w:pPr>
        <w:spacing w:after="0" w:line="157" w:lineRule="exact"/>
        <w:rPr>
          <w:sz w:val="20"/>
          <w:szCs w:val="20"/>
          <w:color w:val="auto"/>
        </w:rPr>
      </w:pPr>
    </w:p>
    <w:p>
      <w:pPr>
        <w:ind w:left="5632"/>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1"/>
          </w:cols>
          <w:pgMar w:left="248" w:top="12"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INCOME /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millions,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right="1459"/>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right="1459"/>
        <w:spacing w:after="0"/>
        <w:rPr>
          <w:sz w:val="20"/>
          <w:szCs w:val="20"/>
          <w:color w:val="auto"/>
        </w:rPr>
      </w:pPr>
      <w:r>
        <w:rPr>
          <w:rFonts w:ascii="Arial" w:cs="Arial" w:eastAsia="Arial" w:hAnsi="Arial"/>
          <w:sz w:val="18"/>
          <w:szCs w:val="18"/>
          <w:b w:val="1"/>
          <w:bCs w:val="1"/>
          <w:color w:val="auto"/>
        </w:rPr>
        <w:t>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5715</wp:posOffset>
            </wp:positionV>
            <wp:extent cx="18008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0086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p>
      <w:pPr>
        <w:spacing w:after="0" w:line="292" w:lineRule="exact"/>
        <w:rPr>
          <w:sz w:val="20"/>
          <w:szCs w:val="20"/>
          <w:color w:val="auto"/>
        </w:rPr>
      </w:pPr>
    </w:p>
    <w:p>
      <w:pPr>
        <w:ind w:left="440" w:right="1460" w:hanging="404"/>
        <w:spacing w:after="0" w:line="290" w:lineRule="auto"/>
        <w:rPr>
          <w:sz w:val="20"/>
          <w:szCs w:val="20"/>
          <w:color w:val="auto"/>
        </w:rPr>
      </w:pPr>
      <w:r>
        <w:rPr>
          <w:rFonts w:ascii="Arial" w:cs="Arial" w:eastAsia="Arial" w:hAnsi="Arial"/>
          <w:sz w:val="18"/>
          <w:szCs w:val="18"/>
          <w:color w:val="auto"/>
        </w:rPr>
        <w:t>Net sales</w:t>
      </w:r>
      <w:r>
        <w:rPr>
          <w:sz w:val="20"/>
          <w:szCs w:val="20"/>
          <w:color w:val="auto"/>
        </w:rPr>
        <w:t xml:space="preserve"> </w:t>
      </w:r>
      <w:r>
        <w:rPr>
          <w:rFonts w:ascii="Arial" w:cs="Arial" w:eastAsia="Arial" w:hAnsi="Arial"/>
          <w:sz w:val="18"/>
          <w:szCs w:val="18"/>
          <w:color w:val="auto"/>
        </w:rPr>
        <w:t>$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141605</wp:posOffset>
            </wp:positionV>
            <wp:extent cx="946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615" cy="17145"/>
                    </a:xfrm>
                    <a:prstGeom prst="rect">
                      <a:avLst/>
                    </a:prstGeom>
                    <a:noFill/>
                  </pic:spPr>
                </pic:pic>
              </a:graphicData>
            </a:graphic>
          </wp:anchor>
        </w:drawing>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-1905</wp:posOffset>
            </wp:positionV>
            <wp:extent cx="946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615" cy="17145"/>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Selling, general and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administrative</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Merger and integration expense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Restructuring expense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of intangible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Litigation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-1905</wp:posOffset>
            </wp:positionV>
            <wp:extent cx="946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4615" cy="1714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-1905</wp:posOffset>
            </wp:positionV>
            <wp:extent cx="946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4615" cy="1714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-1905</wp:posOffset>
            </wp:positionV>
            <wp:extent cx="946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4615" cy="17145"/>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 (expense)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income (expense)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Foreign exchange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-1905</wp:posOffset>
            </wp:positionV>
            <wp:extent cx="946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615" cy="1714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(loss) before income taxes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 from equity method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-1905</wp:posOffset>
            </wp:positionV>
            <wp:extent cx="946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4615" cy="17145"/>
                    </a:xfrm>
                    <a:prstGeom prst="rect">
                      <a:avLst/>
                    </a:prstGeom>
                    <a:noFill/>
                  </pic:spPr>
                </pic:pic>
              </a:graphicData>
            </a:graphic>
          </wp:anchor>
        </w:drawing>
      </w:r>
    </w:p>
    <w:p>
      <w:pPr>
        <w:spacing w:after="0" w:line="16" w:lineRule="exact"/>
        <w:rPr>
          <w:sz w:val="20"/>
          <w:szCs w:val="20"/>
          <w:color w:val="auto"/>
        </w:rPr>
      </w:pPr>
    </w:p>
    <w:p>
      <w:pPr>
        <w:ind w:left="40"/>
        <w:spacing w:after="0"/>
        <w:tabs>
          <w:tab w:leader="none" w:pos="2940" w:val="left"/>
        </w:tabs>
        <w:rPr>
          <w:sz w:val="20"/>
          <w:szCs w:val="20"/>
          <w:color w:val="auto"/>
        </w:rPr>
      </w:pPr>
      <w:r>
        <w:rPr>
          <w:rFonts w:ascii="Arial" w:cs="Arial" w:eastAsia="Arial" w:hAnsi="Arial"/>
          <w:sz w:val="18"/>
          <w:szCs w:val="18"/>
          <w:color w:val="auto"/>
        </w:rPr>
        <w:t>Net (loss) income</w:t>
      </w:r>
      <w:r>
        <w:rPr>
          <w:sz w:val="20"/>
          <w:szCs w:val="20"/>
          <w:color w:val="auto"/>
        </w:rPr>
        <w:tab/>
      </w:r>
      <w:r>
        <w:rPr>
          <w:rFonts w:ascii="Arial" w:cs="Arial" w:eastAsia="Arial" w:hAnsi="Arial"/>
          <w:sz w:val="21"/>
          <w:szCs w:val="21"/>
          <w:u w:val="single" w:color="auto"/>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18415</wp:posOffset>
            </wp:positionV>
            <wp:extent cx="946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(loss) per common share:</w:t>
      </w:r>
    </w:p>
    <w:p>
      <w:pPr>
        <w:spacing w:after="0" w:line="36" w:lineRule="exact"/>
        <w:rPr>
          <w:sz w:val="20"/>
          <w:szCs w:val="20"/>
          <w:color w:val="auto"/>
        </w:rPr>
      </w:pPr>
    </w:p>
    <w:p>
      <w:pPr>
        <w:jc w:val="both"/>
        <w:ind w:left="440"/>
        <w:spacing w:after="0"/>
        <w:tabs>
          <w:tab w:leader="none" w:pos="2940" w:val="left"/>
        </w:tabs>
        <w:rPr>
          <w:sz w:val="20"/>
          <w:szCs w:val="20"/>
          <w:color w:val="auto"/>
        </w:rPr>
      </w:pPr>
      <w:r>
        <w:rPr>
          <w:rFonts w:ascii="Arial" w:cs="Arial" w:eastAsia="Arial" w:hAnsi="Arial"/>
          <w:sz w:val="18"/>
          <w:szCs w:val="18"/>
          <w:color w:val="auto"/>
        </w:rPr>
        <w:t>Basic</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jc w:val="both"/>
        <w:ind w:left="440"/>
        <w:spacing w:after="0"/>
        <w:tabs>
          <w:tab w:leader="none" w:pos="2940" w:val="left"/>
        </w:tabs>
        <w:rPr>
          <w:sz w:val="20"/>
          <w:szCs w:val="20"/>
          <w:color w:val="auto"/>
        </w:rPr>
      </w:pPr>
      <w:r>
        <w:rPr>
          <w:rFonts w:ascii="Arial" w:cs="Arial" w:eastAsia="Arial" w:hAnsi="Arial"/>
          <w:sz w:val="18"/>
          <w:szCs w:val="18"/>
          <w:color w:val="auto"/>
        </w:rPr>
        <w:t>Diluted</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common shares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(in thousands)</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287.0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14605</wp:posOffset>
            </wp:positionV>
            <wp:extent cx="168973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14605</wp:posOffset>
            </wp:positionV>
            <wp:extent cx="168973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4599"/>
        <w:spacing w:after="0"/>
        <w:rPr>
          <w:sz w:val="20"/>
          <w:szCs w:val="20"/>
          <w:color w:val="auto"/>
        </w:rPr>
      </w:pPr>
      <w:r>
        <w:rPr>
          <w:rFonts w:ascii="Arial" w:cs="Arial" w:eastAsia="Arial" w:hAnsi="Arial"/>
          <w:sz w:val="15"/>
          <w:szCs w:val="15"/>
          <w:color w:val="auto"/>
        </w:rPr>
        <w:t>115.6</w:t>
      </w:r>
    </w:p>
    <w:p>
      <w:pPr>
        <w:spacing w:after="0" w:line="71" w:lineRule="exact"/>
        <w:rPr>
          <w:sz w:val="20"/>
          <w:szCs w:val="20"/>
          <w:color w:val="auto"/>
        </w:rPr>
      </w:pPr>
    </w:p>
    <w:p>
      <w:pPr>
        <w:jc w:val="right"/>
        <w:ind w:right="4599"/>
        <w:spacing w:after="0"/>
        <w:rPr>
          <w:sz w:val="20"/>
          <w:szCs w:val="20"/>
          <w:color w:val="auto"/>
        </w:rPr>
      </w:pPr>
      <w:r>
        <w:rPr>
          <w:rFonts w:ascii="Arial" w:cs="Arial" w:eastAsia="Arial" w:hAnsi="Arial"/>
          <w:sz w:val="18"/>
          <w:szCs w:val="18"/>
          <w:color w:val="auto"/>
        </w:rPr>
        <w:t>31.7</w:t>
      </w:r>
    </w:p>
    <w:p>
      <w:pPr>
        <w:spacing w:after="0" w:line="36" w:lineRule="exact"/>
        <w:rPr>
          <w:sz w:val="20"/>
          <w:szCs w:val="20"/>
          <w:color w:val="auto"/>
        </w:rPr>
      </w:pPr>
    </w:p>
    <w:p>
      <w:pPr>
        <w:jc w:val="right"/>
        <w:ind w:right="4599"/>
        <w:spacing w:after="0"/>
        <w:rPr>
          <w:sz w:val="20"/>
          <w:szCs w:val="20"/>
          <w:color w:val="auto"/>
        </w:rPr>
      </w:pPr>
      <w:r>
        <w:rPr>
          <w:rFonts w:ascii="Arial" w:cs="Arial" w:eastAsia="Arial" w:hAnsi="Arial"/>
          <w:sz w:val="18"/>
          <w:szCs w:val="18"/>
          <w:color w:val="auto"/>
        </w:rPr>
        <w:t>6.8</w:t>
      </w:r>
    </w:p>
    <w:p>
      <w:pPr>
        <w:spacing w:after="0" w:line="36" w:lineRule="exact"/>
        <w:rPr>
          <w:sz w:val="20"/>
          <w:szCs w:val="20"/>
          <w:color w:val="auto"/>
        </w:rPr>
      </w:pPr>
    </w:p>
    <w:p>
      <w:pPr>
        <w:jc w:val="right"/>
        <w:ind w:right="4599"/>
        <w:spacing w:after="0"/>
        <w:rPr>
          <w:sz w:val="20"/>
          <w:szCs w:val="20"/>
          <w:color w:val="auto"/>
        </w:rPr>
      </w:pPr>
      <w:r>
        <w:rPr>
          <w:rFonts w:ascii="Arial" w:cs="Arial" w:eastAsia="Arial" w:hAnsi="Arial"/>
          <w:sz w:val="18"/>
          <w:szCs w:val="18"/>
          <w:color w:val="auto"/>
        </w:rPr>
        <w:t>28.6</w:t>
      </w:r>
    </w:p>
    <w:p>
      <w:pPr>
        <w:spacing w:after="0" w:line="252" w:lineRule="exact"/>
        <w:rPr>
          <w:sz w:val="20"/>
          <w:szCs w:val="20"/>
          <w:color w:val="auto"/>
        </w:rPr>
      </w:pPr>
    </w:p>
    <w:p>
      <w:pPr>
        <w:jc w:val="right"/>
        <w:ind w:right="4599"/>
        <w:spacing w:after="0"/>
        <w:rPr>
          <w:sz w:val="20"/>
          <w:szCs w:val="20"/>
          <w:color w:val="auto"/>
        </w:rPr>
      </w:pPr>
      <w:r>
        <w:rPr>
          <w:rFonts w:ascii="Arial" w:cs="Arial" w:eastAsia="Arial" w:hAnsi="Arial"/>
          <w:sz w:val="18"/>
          <w:szCs w:val="18"/>
          <w:color w:val="auto"/>
        </w:rPr>
        <w:t>15.9</w:t>
      </w:r>
    </w:p>
    <w:p>
      <w:pPr>
        <w:spacing w:after="0" w:line="36" w:lineRule="exact"/>
        <w:rPr>
          <w:sz w:val="20"/>
          <w:szCs w:val="20"/>
          <w:color w:val="auto"/>
        </w:rPr>
      </w:pPr>
    </w:p>
    <w:p>
      <w:pPr>
        <w:jc w:val="right"/>
        <w:ind w:right="45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14605</wp:posOffset>
            </wp:positionV>
            <wp:extent cx="168973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14605</wp:posOffset>
            </wp:positionV>
            <wp:extent cx="168973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(36.1 )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36830</wp:posOffset>
            </wp:positionV>
            <wp:extent cx="168973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14605</wp:posOffset>
            </wp:positionV>
            <wp:extent cx="168973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(38.9 )</w:t>
      </w: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2.7</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29210</wp:posOffset>
            </wp:positionV>
            <wp:extent cx="168973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89735" cy="1714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color w:val="auto"/>
        </w:rPr>
        <w:t>(40.4 )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36830</wp:posOffset>
            </wp:positionV>
            <wp:extent cx="1689735"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89735" cy="342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5"/>
          <w:szCs w:val="15"/>
          <w:color w:val="auto"/>
        </w:rPr>
        <w:t>(0.83 )</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5"/>
          <w:szCs w:val="15"/>
          <w:color w:val="auto"/>
        </w:rPr>
        <w:t>(0.83 )</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48.9</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48.9</w:t>
      </w:r>
    </w:p>
    <w:p>
      <w:pPr>
        <w:spacing w:after="0" w:line="200" w:lineRule="exact"/>
        <w:rPr>
          <w:sz w:val="20"/>
          <w:szCs w:val="20"/>
          <w:color w:val="auto"/>
        </w:rPr>
      </w:pPr>
    </w:p>
    <w:p>
      <w:pPr>
        <w:sectPr>
          <w:pgSz w:w="11900" w:h="16838" w:orient="portrait"/>
          <w:cols w:equalWidth="0" w:num="2">
            <w:col w:w="4500" w:space="720"/>
            <w:col w:w="4999"/>
          </w:cols>
          <w:pgMar w:left="24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w:t>
      </w:r>
    </w:p>
    <w:p>
      <w:pPr>
        <w:spacing w:after="0" w:line="200" w:lineRule="exact"/>
        <w:rPr>
          <w:sz w:val="20"/>
          <w:szCs w:val="20"/>
          <w:color w:val="auto"/>
        </w:rPr>
      </w:pPr>
    </w:p>
    <w:p>
      <w:pPr>
        <w:spacing w:after="0" w:line="223"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182" w:lineRule="auto"/>
        <w:rPr>
          <w:sz w:val="20"/>
          <w:szCs w:val="20"/>
          <w:color w:val="auto"/>
        </w:rPr>
      </w:pPr>
      <w:r>
        <w:rPr>
          <w:rFonts w:ascii="Arial" w:cs="Arial" w:eastAsia="Arial" w:hAnsi="Arial"/>
          <w:sz w:val="17"/>
          <w:szCs w:val="17"/>
          <w:b w:val="1"/>
          <w:bCs w:val="1"/>
          <w:color w:val="auto"/>
        </w:rPr>
        <w:t>CONSOLIDATED STATEMENTS OF OPERATIONS</w:t>
      </w:r>
      <w:r>
        <w:rPr>
          <w:rFonts w:ascii="Arial" w:cs="Arial" w:eastAsia="Arial" w:hAnsi="Arial"/>
          <w:sz w:val="28"/>
          <w:szCs w:val="28"/>
          <w:b w:val="1"/>
          <w:bCs w:val="1"/>
          <w:color w:val="auto"/>
          <w:vertAlign w:val="superscript"/>
        </w:rPr>
        <w:t>10</w:t>
      </w:r>
    </w:p>
    <w:p>
      <w:pPr>
        <w:spacing w:after="0" w:line="181" w:lineRule="auto"/>
        <w:rPr>
          <w:sz w:val="20"/>
          <w:szCs w:val="20"/>
          <w:color w:val="auto"/>
        </w:rPr>
      </w:pPr>
      <w:r>
        <w:rPr>
          <w:rFonts w:ascii="Arial" w:cs="Arial" w:eastAsia="Arial" w:hAnsi="Arial"/>
          <w:sz w:val="16"/>
          <w:szCs w:val="16"/>
          <w:b w:val="1"/>
          <w:bCs w:val="1"/>
          <w:color w:val="auto"/>
        </w:rPr>
        <w:t>ADJUSTED FOR NON-GAAP ITEMS</w:t>
      </w:r>
      <w:r>
        <w:rPr>
          <w:rFonts w:ascii="Arial" w:cs="Arial" w:eastAsia="Arial" w:hAnsi="Arial"/>
          <w:sz w:val="25"/>
          <w:szCs w:val="25"/>
          <w:b w:val="1"/>
          <w:bCs w:val="1"/>
          <w:color w:val="auto"/>
          <w:vertAlign w:val="superscript"/>
        </w:rPr>
        <w:t>11</w:t>
      </w:r>
    </w:p>
    <w:p>
      <w:pPr>
        <w:spacing w:after="0"/>
        <w:rPr>
          <w:sz w:val="20"/>
          <w:szCs w:val="20"/>
          <w:color w:val="auto"/>
        </w:rPr>
      </w:pPr>
      <w:r>
        <w:rPr>
          <w:rFonts w:ascii="Arial" w:cs="Arial" w:eastAsia="Arial" w:hAnsi="Arial"/>
          <w:sz w:val="16"/>
          <w:szCs w:val="16"/>
          <w:b w:val="1"/>
          <w:bCs w:val="1"/>
          <w:color w:val="auto"/>
        </w:rPr>
        <w:t>U.S. dollars in millions, except share and per share amounts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24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profit</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p>
    <w:p>
      <w:pPr>
        <w:spacing w:after="0" w:line="36" w:lineRule="exact"/>
        <w:rPr>
          <w:sz w:val="20"/>
          <w:szCs w:val="20"/>
          <w:color w:val="auto"/>
        </w:rPr>
      </w:pPr>
    </w:p>
    <w:p>
      <w:pPr>
        <w:ind w:left="280"/>
        <w:spacing w:after="0" w:line="352" w:lineRule="auto"/>
        <w:rPr>
          <w:sz w:val="20"/>
          <w:szCs w:val="20"/>
          <w:color w:val="auto"/>
        </w:rPr>
      </w:pPr>
      <w:r>
        <w:rPr>
          <w:rFonts w:ascii="Arial" w:cs="Arial" w:eastAsia="Arial" w:hAnsi="Arial"/>
          <w:sz w:val="16"/>
          <w:szCs w:val="16"/>
          <w:color w:val="auto"/>
        </w:rPr>
        <w:t>Selling, general and administrative Research and development</w:t>
      </w:r>
    </w:p>
    <w:p>
      <w:pPr>
        <w:spacing w:after="0" w:line="1" w:lineRule="exact"/>
        <w:rPr>
          <w:sz w:val="20"/>
          <w:szCs w:val="20"/>
          <w:color w:val="auto"/>
        </w:rPr>
      </w:pPr>
    </w:p>
    <w:p>
      <w:pPr>
        <w:ind w:left="40" w:right="600"/>
        <w:spacing w:after="0" w:line="377" w:lineRule="auto"/>
        <w:rPr>
          <w:sz w:val="20"/>
          <w:szCs w:val="20"/>
          <w:color w:val="auto"/>
        </w:rPr>
      </w:pPr>
      <w:r>
        <w:rPr>
          <w:rFonts w:ascii="Arial" w:cs="Arial" w:eastAsia="Arial" w:hAnsi="Arial"/>
          <w:sz w:val="16"/>
          <w:szCs w:val="16"/>
          <w:color w:val="auto"/>
        </w:rPr>
        <w:t>Total operating expenses Income (loss) from operations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 (expense)</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40" w:right="220" w:firstLine="250"/>
        <w:spacing w:after="0" w:line="334" w:lineRule="auto"/>
        <w:rPr>
          <w:sz w:val="20"/>
          <w:szCs w:val="20"/>
          <w:color w:val="auto"/>
        </w:rPr>
      </w:pPr>
      <w:r>
        <w:rPr>
          <w:rFonts w:ascii="Arial" w:cs="Arial" w:eastAsia="Arial" w:hAnsi="Arial"/>
          <w:sz w:val="16"/>
          <w:szCs w:val="16"/>
          <w:color w:val="auto"/>
        </w:rPr>
        <w:t>Foreign exchange and other IIncome (loss) before income taxes</w:t>
      </w:r>
    </w:p>
    <w:p>
      <w:pPr>
        <w:spacing w:after="0" w:line="1" w:lineRule="exact"/>
        <w:rPr>
          <w:sz w:val="20"/>
          <w:szCs w:val="20"/>
          <w:color w:val="auto"/>
        </w:rPr>
      </w:pPr>
    </w:p>
    <w:p>
      <w:pPr>
        <w:ind w:left="40" w:firstLine="271"/>
        <w:spacing w:after="0" w:line="277" w:lineRule="auto"/>
        <w:rPr>
          <w:sz w:val="20"/>
          <w:szCs w:val="20"/>
          <w:color w:val="auto"/>
        </w:rPr>
      </w:pPr>
      <w:r>
        <w:rPr>
          <w:rFonts w:ascii="Arial" w:cs="Arial" w:eastAsia="Arial" w:hAnsi="Arial"/>
          <w:sz w:val="18"/>
          <w:szCs w:val="18"/>
          <w:color w:val="auto"/>
        </w:rPr>
        <w:t>Loss from equity method investments</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Income tax expense (benefit)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 income</w:t>
      </w:r>
    </w:p>
    <w:p>
      <w:pPr>
        <w:spacing w:after="0" w:line="279" w:lineRule="exact"/>
        <w:rPr>
          <w:sz w:val="20"/>
          <w:szCs w:val="20"/>
          <w:color w:val="auto"/>
        </w:rPr>
      </w:pPr>
    </w:p>
    <w:p>
      <w:pPr>
        <w:ind w:left="300" w:right="300" w:hanging="270"/>
        <w:spacing w:after="0" w:line="281" w:lineRule="auto"/>
        <w:rPr>
          <w:sz w:val="20"/>
          <w:szCs w:val="20"/>
          <w:color w:val="auto"/>
        </w:rPr>
      </w:pPr>
      <w:r>
        <w:rPr>
          <w:rFonts w:ascii="Arial" w:cs="Arial" w:eastAsia="Arial" w:hAnsi="Arial"/>
          <w:sz w:val="18"/>
          <w:szCs w:val="18"/>
          <w:color w:val="auto"/>
        </w:rPr>
        <w:t>Earnings (loss) per common share Basic</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Diluted</w:t>
      </w:r>
    </w:p>
    <w:p>
      <w:pPr>
        <w:spacing w:after="0" w:line="279" w:lineRule="exact"/>
        <w:rPr>
          <w:sz w:val="20"/>
          <w:szCs w:val="20"/>
          <w:color w:val="auto"/>
        </w:rPr>
      </w:pPr>
    </w:p>
    <w:p>
      <w:pPr>
        <w:ind w:left="40"/>
        <w:spacing w:after="0" w:line="266" w:lineRule="auto"/>
        <w:rPr>
          <w:sz w:val="20"/>
          <w:szCs w:val="20"/>
          <w:color w:val="auto"/>
        </w:rPr>
      </w:pPr>
      <w:r>
        <w:rPr>
          <w:rFonts w:ascii="Arial" w:cs="Arial" w:eastAsia="Arial" w:hAnsi="Arial"/>
          <w:sz w:val="18"/>
          <w:szCs w:val="18"/>
          <w:color w:val="auto"/>
        </w:rPr>
        <w:t>Weighted average common stock outstanding</w:t>
      </w:r>
    </w:p>
    <w:p>
      <w:pPr>
        <w:ind w:left="300"/>
        <w:spacing w:after="0"/>
        <w:rPr>
          <w:sz w:val="20"/>
          <w:szCs w:val="20"/>
          <w:color w:val="auto"/>
        </w:rPr>
      </w:pPr>
      <w:r>
        <w:rPr>
          <w:rFonts w:ascii="Arial" w:cs="Arial" w:eastAsia="Arial" w:hAnsi="Arial"/>
          <w:sz w:val="18"/>
          <w:szCs w:val="18"/>
          <w:color w:val="auto"/>
        </w:rPr>
        <w:t>Basic</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Diluted</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Gross profit as a % of sales</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SG&amp;A as a % of sales</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R&amp;D as a % of sales</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Operating income as a %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887095</wp:posOffset>
            </wp:positionV>
            <wp:extent cx="16465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FY15</w:t>
            </w:r>
            <w:r>
              <w:rPr>
                <w:rFonts w:ascii="Arial" w:cs="Arial" w:eastAsia="Arial" w:hAnsi="Arial"/>
                <w:sz w:val="30"/>
                <w:szCs w:val="30"/>
                <w:b w:val="1"/>
                <w:bCs w:val="1"/>
                <w:color w:val="auto"/>
                <w:vertAlign w:val="superscript"/>
              </w:rPr>
              <w:t>12</w:t>
            </w:r>
          </w:p>
        </w:tc>
        <w:tc>
          <w:tcPr>
            <w:tcW w:w="4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b w:val="1"/>
                <w:bCs w:val="1"/>
                <w:color w:val="auto"/>
              </w:rPr>
              <w:t>1Q16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1Q16 vs.</w:t>
            </w:r>
          </w:p>
        </w:tc>
        <w:tc>
          <w:tcPr>
            <w:tcW w:w="0" w:type="dxa"/>
            <w:vAlign w:val="bottom"/>
          </w:tcPr>
          <w:p>
            <w:pPr>
              <w:spacing w:after="0"/>
              <w:rPr>
                <w:sz w:val="1"/>
                <w:szCs w:val="1"/>
                <w:color w:val="auto"/>
              </w:rPr>
            </w:pPr>
          </w:p>
        </w:tc>
      </w:tr>
      <w:tr>
        <w:trPr>
          <w:trHeight w:val="241"/>
        </w:trPr>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1Q15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4Q15</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1Q15</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283.4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317.1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286.1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318.0</w:t>
            </w:r>
          </w:p>
        </w:tc>
        <w:tc>
          <w:tcPr>
            <w:tcW w:w="8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1,204.6</w:t>
            </w:r>
          </w:p>
        </w:tc>
        <w:tc>
          <w:tcPr>
            <w:tcW w:w="10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287.0</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121.2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444.4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101.9</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196.8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760.2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185.1</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9"/>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117.0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110.2</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31.4</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152.2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588.0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141.5</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43.5</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9"/>
        </w:trPr>
        <w:tc>
          <w:tcPr>
            <w:tcW w:w="100" w:type="dxa"/>
            <w:vAlign w:val="bottom"/>
          </w:tcPr>
          <w:p>
            <w:pPr>
              <w:spacing w:after="0"/>
              <w:rPr>
                <w:sz w:val="24"/>
                <w:szCs w:val="2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xml:space="preserve">(0.7 </w:t>
            </w:r>
            <w:r>
              <w:rPr>
                <w:rFonts w:ascii="Arial" w:cs="Arial" w:eastAsia="Arial" w:hAnsi="Arial"/>
                <w:sz w:val="18"/>
                <w:szCs w:val="18"/>
                <w:u w:val="single" w:color="auto"/>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40.7</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40" w:type="dxa"/>
            <w:vAlign w:val="bottom"/>
            <w:vMerge w:val="restart"/>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80" w:type="dxa"/>
            <w:vAlign w:val="bottom"/>
            <w:vMerge w:val="restart"/>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2.7</w:t>
            </w:r>
          </w:p>
        </w:tc>
        <w:tc>
          <w:tcPr>
            <w:tcW w:w="108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3"/>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0.54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0.54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5"/>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00" w:type="dxa"/>
            <w:vAlign w:val="bottom"/>
          </w:tcPr>
          <w:p>
            <w:pPr>
              <w:spacing w:after="0"/>
              <w:rPr>
                <w:sz w:val="24"/>
                <w:szCs w:val="2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-5230495</wp:posOffset>
            </wp:positionV>
            <wp:extent cx="342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-5230495</wp:posOffset>
            </wp:positionV>
            <wp:extent cx="3429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-5230495</wp:posOffset>
            </wp:positionV>
            <wp:extent cx="342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1114425</wp:posOffset>
            </wp:positionH>
            <wp:positionV relativeFrom="paragraph">
              <wp:posOffset>-4750435</wp:posOffset>
            </wp:positionV>
            <wp:extent cx="342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-4750435</wp:posOffset>
            </wp:positionV>
            <wp:extent cx="342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-4750435</wp:posOffset>
            </wp:positionV>
            <wp:extent cx="342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1114425</wp:posOffset>
            </wp:positionH>
            <wp:positionV relativeFrom="paragraph">
              <wp:posOffset>-4578985</wp:posOffset>
            </wp:positionV>
            <wp:extent cx="342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-4578985</wp:posOffset>
            </wp:positionV>
            <wp:extent cx="342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-4578985</wp:posOffset>
            </wp:positionV>
            <wp:extent cx="3429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1114425</wp:posOffset>
            </wp:positionH>
            <wp:positionV relativeFrom="paragraph">
              <wp:posOffset>-3943985</wp:posOffset>
            </wp:positionV>
            <wp:extent cx="3429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-3943985</wp:posOffset>
            </wp:positionV>
            <wp:extent cx="3429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-3943985</wp:posOffset>
            </wp:positionV>
            <wp:extent cx="3429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1114425</wp:posOffset>
            </wp:positionH>
            <wp:positionV relativeFrom="paragraph">
              <wp:posOffset>-3772535</wp:posOffset>
            </wp:positionV>
            <wp:extent cx="3429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-3772535</wp:posOffset>
            </wp:positionV>
            <wp:extent cx="3429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-3772535</wp:posOffset>
            </wp:positionV>
            <wp:extent cx="3429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1114425</wp:posOffset>
            </wp:positionH>
            <wp:positionV relativeFrom="paragraph">
              <wp:posOffset>-2983865</wp:posOffset>
            </wp:positionV>
            <wp:extent cx="3429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-2983865</wp:posOffset>
            </wp:positionV>
            <wp:extent cx="3429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-2983865</wp:posOffset>
            </wp:positionV>
            <wp:extent cx="3429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1114425</wp:posOffset>
            </wp:positionH>
            <wp:positionV relativeFrom="paragraph">
              <wp:posOffset>-2812415</wp:posOffset>
            </wp:positionV>
            <wp:extent cx="3429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-2812415</wp:posOffset>
            </wp:positionV>
            <wp:extent cx="342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-2812415</wp:posOffset>
            </wp:positionV>
            <wp:extent cx="3429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-2348865</wp:posOffset>
            </wp:positionV>
            <wp:extent cx="3429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-2177415</wp:posOffset>
            </wp:positionV>
            <wp:extent cx="342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-2152015</wp:posOffset>
            </wp:positionV>
            <wp:extent cx="342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180"/>
            <w:col w:w="8260"/>
          </w:cols>
          <w:pgMar w:left="240" w:top="12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See the discussion of "Financial Alignment, Combined Sales &amp; Operating Results, Business Unit Structure and Constant Currency" above.</w:t>
      </w:r>
    </w:p>
    <w:p>
      <w:pPr>
        <w:spacing w:after="0" w:line="1" w:lineRule="exact"/>
        <w:rPr>
          <w:rFonts w:ascii="Arial" w:cs="Arial" w:eastAsia="Arial" w:hAnsi="Arial"/>
          <w:sz w:val="28"/>
          <w:szCs w:val="28"/>
          <w:color w:val="auto"/>
          <w:vertAlign w:val="superscript"/>
        </w:rPr>
      </w:pPr>
    </w:p>
    <w:p>
      <w:pPr>
        <w:ind w:left="220" w:hanging="212"/>
        <w:spacing w:after="0" w:line="186" w:lineRule="auto"/>
        <w:tabs>
          <w:tab w:leader="none" w:pos="22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Please see "Use of Non-GAAP Financial Measures" above. Numbers may not add due to rounding.</w:t>
      </w:r>
    </w:p>
    <w:p>
      <w:pPr>
        <w:spacing w:after="0" w:line="2" w:lineRule="exact"/>
        <w:rPr>
          <w:rFonts w:ascii="Arial" w:cs="Arial" w:eastAsia="Arial" w:hAnsi="Arial"/>
          <w:sz w:val="24"/>
          <w:szCs w:val="24"/>
          <w:color w:val="auto"/>
          <w:vertAlign w:val="superscript"/>
        </w:rPr>
      </w:pPr>
    </w:p>
    <w:p>
      <w:pPr>
        <w:ind w:firstLine="8"/>
        <w:spacing w:after="0" w:line="221" w:lineRule="auto"/>
        <w:tabs>
          <w:tab w:leader="none" w:pos="212" w:val="left"/>
        </w:tabs>
        <w:numPr>
          <w:ilvl w:val="0"/>
          <w:numId w:val="10"/>
        </w:numPr>
        <w:rPr>
          <w:rFonts w:ascii="Arial" w:cs="Arial" w:eastAsia="Arial" w:hAnsi="Arial"/>
          <w:sz w:val="27"/>
          <w:szCs w:val="27"/>
          <w:color w:val="auto"/>
          <w:vertAlign w:val="superscript"/>
        </w:rPr>
      </w:pPr>
      <w:r>
        <w:rPr>
          <w:rFonts w:ascii="Arial" w:cs="Arial" w:eastAsia="Arial" w:hAnsi="Arial"/>
          <w:sz w:val="17"/>
          <w:szCs w:val="17"/>
          <w:color w:val="auto"/>
        </w:rPr>
        <w:t>The Selected Non-GAAP Operating Results presented for 2015 include adjustments relating to purchase price accounting, equity compensation expense, merger, integration and restructuring expenses, certain reclassifications, certain losses of foreign exchange hedging arrangements and other one-time expenses, as presented on February 24.</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182" w:lineRule="auto"/>
        <w:rPr>
          <w:sz w:val="20"/>
          <w:szCs w:val="20"/>
          <w:color w:val="auto"/>
        </w:rPr>
      </w:pPr>
      <w:r>
        <w:rPr>
          <w:rFonts w:ascii="Arial" w:cs="Arial" w:eastAsia="Arial" w:hAnsi="Arial"/>
          <w:sz w:val="17"/>
          <w:szCs w:val="17"/>
          <w:b w:val="1"/>
          <w:bCs w:val="1"/>
          <w:color w:val="auto"/>
        </w:rPr>
        <w:t>RECONCILIATION OF GAAP TO NON-GAAP FINANCIAL MEASURES</w:t>
      </w:r>
      <w:r>
        <w:rPr>
          <w:rFonts w:ascii="Arial" w:cs="Arial" w:eastAsia="Arial" w:hAnsi="Arial"/>
          <w:sz w:val="28"/>
          <w:szCs w:val="28"/>
          <w:b w:val="1"/>
          <w:bCs w:val="1"/>
          <w:color w:val="auto"/>
          <w:vertAlign w:val="superscript"/>
        </w:rPr>
        <w:t>13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millions, except share and per share amounts</w:t>
      </w: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(Loss) /Income From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5"/>
              </w:rPr>
              <w:t>Three Months Ended March 31, 2016</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Operations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/Income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Diluted EPS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486"/>
        </w:trPr>
        <w:tc>
          <w:tcPr>
            <w:tcW w:w="3080" w:type="dxa"/>
            <w:vAlign w:val="bottom"/>
          </w:tcPr>
          <w:p>
            <w:pPr>
              <w:spacing w:after="0"/>
              <w:rPr>
                <w:sz w:val="20"/>
                <w:szCs w:val="20"/>
                <w:color w:val="auto"/>
              </w:rPr>
            </w:pPr>
            <w:r>
              <w:rPr>
                <w:rFonts w:ascii="Arial" w:cs="Arial" w:eastAsia="Arial" w:hAnsi="Arial"/>
                <w:sz w:val="18"/>
                <w:szCs w:val="18"/>
                <w:color w:val="auto"/>
              </w:rPr>
              <w:t>GAAP Financial Measures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240"/>
              <w:spacing w:after="0"/>
              <w:rPr>
                <w:sz w:val="20"/>
                <w:szCs w:val="20"/>
                <w:color w:val="auto"/>
              </w:rPr>
            </w:pPr>
            <w:r>
              <w:rPr>
                <w:rFonts w:ascii="Arial" w:cs="Arial" w:eastAsia="Arial" w:hAnsi="Arial"/>
                <w:sz w:val="18"/>
                <w:szCs w:val="18"/>
                <w:color w:val="auto"/>
              </w:rPr>
              <w:t>163.4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(36.1 )</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(40.4 )</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(0.83 )</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Specified Items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080" w:type="dxa"/>
            <w:vAlign w:val="bottom"/>
          </w:tcPr>
          <w:p>
            <w:pPr>
              <w:ind w:left="440"/>
              <w:spacing w:after="0"/>
              <w:rPr>
                <w:sz w:val="20"/>
                <w:szCs w:val="20"/>
                <w:color w:val="auto"/>
              </w:rPr>
            </w:pPr>
            <w:r>
              <w:rPr>
                <w:rFonts w:ascii="Arial" w:cs="Arial" w:eastAsia="Arial" w:hAnsi="Arial"/>
                <w:sz w:val="18"/>
                <w:szCs w:val="18"/>
                <w:color w:val="auto"/>
              </w:rPr>
              <w:t>Merger and integration expense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21"/>
                <w:szCs w:val="21"/>
                <w:color w:val="auto"/>
              </w:rPr>
            </w:pPr>
          </w:p>
        </w:tc>
      </w:tr>
      <w:tr>
        <w:trPr>
          <w:trHeight w:val="246"/>
        </w:trPr>
        <w:tc>
          <w:tcPr>
            <w:tcW w:w="3080" w:type="dxa"/>
            <w:vAlign w:val="bottom"/>
          </w:tcPr>
          <w:p>
            <w:pPr>
              <w:ind w:left="440"/>
              <w:spacing w:after="0" w:line="246" w:lineRule="exact"/>
              <w:rPr>
                <w:sz w:val="20"/>
                <w:szCs w:val="20"/>
                <w:color w:val="auto"/>
              </w:rPr>
            </w:pPr>
            <w:r>
              <w:rPr>
                <w:rFonts w:ascii="Arial" w:cs="Arial" w:eastAsia="Arial" w:hAnsi="Arial"/>
                <w:sz w:val="17"/>
                <w:szCs w:val="17"/>
                <w:color w:val="auto"/>
              </w:rPr>
              <w:t>Restructuring expense</w:t>
            </w:r>
            <w:r>
              <w:rPr>
                <w:rFonts w:ascii="Arial" w:cs="Arial" w:eastAsia="Arial" w:hAnsi="Arial"/>
                <w:sz w:val="28"/>
                <w:szCs w:val="28"/>
                <w:color w:val="auto"/>
                <w:vertAlign w:val="superscript"/>
              </w:rPr>
              <w:t>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21"/>
                <w:szCs w:val="21"/>
                <w:color w:val="auto"/>
              </w:rPr>
            </w:pPr>
          </w:p>
        </w:tc>
      </w:tr>
      <w:tr>
        <w:trPr>
          <w:trHeight w:val="243"/>
        </w:trPr>
        <w:tc>
          <w:tcPr>
            <w:tcW w:w="3080" w:type="dxa"/>
            <w:vAlign w:val="bottom"/>
          </w:tcPr>
          <w:p>
            <w:pPr>
              <w:ind w:left="440"/>
              <w:spacing w:after="0" w:line="243" w:lineRule="exact"/>
              <w:rPr>
                <w:sz w:val="20"/>
                <w:szCs w:val="20"/>
                <w:color w:val="auto"/>
              </w:rPr>
            </w:pPr>
            <w:r>
              <w:rPr>
                <w:rFonts w:ascii="Arial" w:cs="Arial" w:eastAsia="Arial" w:hAnsi="Arial"/>
                <w:sz w:val="17"/>
                <w:szCs w:val="17"/>
                <w:color w:val="auto"/>
              </w:rPr>
              <w:t>Amortization of intangible assets</w:t>
            </w:r>
            <w:r>
              <w:rPr>
                <w:rFonts w:ascii="Arial" w:cs="Arial" w:eastAsia="Arial" w:hAnsi="Arial"/>
                <w:sz w:val="28"/>
                <w:szCs w:val="28"/>
                <w:color w:val="auto"/>
                <w:vertAlign w:val="superscript"/>
              </w:rPr>
              <w:t>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21"/>
                <w:szCs w:val="21"/>
                <w:color w:val="auto"/>
              </w:rPr>
            </w:pPr>
          </w:p>
        </w:tc>
      </w:tr>
      <w:tr>
        <w:trPr>
          <w:trHeight w:val="243"/>
        </w:trPr>
        <w:tc>
          <w:tcPr>
            <w:tcW w:w="3080" w:type="dxa"/>
            <w:vAlign w:val="bottom"/>
          </w:tcPr>
          <w:p>
            <w:pPr>
              <w:ind w:left="440"/>
              <w:spacing w:after="0" w:line="243" w:lineRule="exact"/>
              <w:rPr>
                <w:sz w:val="20"/>
                <w:szCs w:val="20"/>
                <w:color w:val="auto"/>
              </w:rPr>
            </w:pPr>
            <w:r>
              <w:rPr>
                <w:rFonts w:ascii="Arial" w:cs="Arial" w:eastAsia="Arial" w:hAnsi="Arial"/>
                <w:sz w:val="17"/>
                <w:szCs w:val="17"/>
                <w:color w:val="auto"/>
              </w:rPr>
              <w:t>Litigation related expenses</w:t>
            </w:r>
            <w:r>
              <w:rPr>
                <w:rFonts w:ascii="Arial" w:cs="Arial" w:eastAsia="Arial" w:hAnsi="Arial"/>
                <w:sz w:val="28"/>
                <w:szCs w:val="28"/>
                <w:color w:val="auto"/>
                <w:vertAlign w:val="superscript"/>
              </w:rPr>
              <w:t>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1"/>
                <w:szCs w:val="21"/>
                <w:color w:val="auto"/>
              </w:rPr>
            </w:pPr>
          </w:p>
        </w:tc>
      </w:tr>
      <w:tr>
        <w:trPr>
          <w:trHeight w:val="253"/>
        </w:trPr>
        <w:tc>
          <w:tcPr>
            <w:tcW w:w="3080" w:type="dxa"/>
            <w:vAlign w:val="bottom"/>
          </w:tcPr>
          <w:p>
            <w:pPr>
              <w:ind w:left="440"/>
              <w:spacing w:after="0" w:line="253" w:lineRule="exact"/>
              <w:rPr>
                <w:sz w:val="20"/>
                <w:szCs w:val="20"/>
                <w:color w:val="auto"/>
              </w:rPr>
            </w:pPr>
            <w:r>
              <w:rPr>
                <w:rFonts w:ascii="Arial" w:cs="Arial" w:eastAsia="Arial" w:hAnsi="Arial"/>
                <w:sz w:val="18"/>
                <w:szCs w:val="18"/>
                <w:color w:val="auto"/>
              </w:rPr>
              <w:t>Impact of inventory step-up</w:t>
            </w:r>
            <w:r>
              <w:rPr>
                <w:rFonts w:ascii="Arial" w:cs="Arial" w:eastAsia="Arial" w:hAnsi="Arial"/>
                <w:sz w:val="29"/>
                <w:szCs w:val="29"/>
                <w:color w:val="auto"/>
                <w:vertAlign w:val="superscript"/>
              </w:rPr>
              <w:t>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gridSpan w:val="3"/>
          </w:tcPr>
          <w:p>
            <w:pPr>
              <w:jc w:val="right"/>
              <w:ind w:right="24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1"/>
                <w:szCs w:val="21"/>
                <w:color w:val="auto"/>
              </w:rPr>
            </w:pPr>
          </w:p>
        </w:tc>
      </w:tr>
      <w:tr>
        <w:trPr>
          <w:trHeight w:val="230"/>
        </w:trPr>
        <w:tc>
          <w:tcPr>
            <w:tcW w:w="3080" w:type="dxa"/>
            <w:vAlign w:val="bottom"/>
          </w:tcPr>
          <w:p>
            <w:pPr>
              <w:ind w:left="440"/>
              <w:spacing w:after="0"/>
              <w:rPr>
                <w:sz w:val="20"/>
                <w:szCs w:val="20"/>
                <w:color w:val="auto"/>
              </w:rPr>
            </w:pPr>
            <w:r>
              <w:rPr>
                <w:rFonts w:ascii="Arial" w:cs="Arial" w:eastAsia="Arial" w:hAnsi="Arial"/>
                <w:sz w:val="18"/>
                <w:szCs w:val="18"/>
                <w:color w:val="auto"/>
              </w:rPr>
              <w:t>Equity compensation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3"/>
          </w:tcPr>
          <w:p>
            <w:pPr>
              <w:jc w:val="right"/>
              <w:ind w:right="2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20"/>
                <w:szCs w:val="20"/>
                <w:color w:val="auto"/>
              </w:rPr>
            </w:pPr>
          </w:p>
        </w:tc>
      </w:tr>
      <w:tr>
        <w:trPr>
          <w:trHeight w:val="243"/>
        </w:trPr>
        <w:tc>
          <w:tcPr>
            <w:tcW w:w="3080" w:type="dxa"/>
            <w:vAlign w:val="bottom"/>
          </w:tcPr>
          <w:p>
            <w:pPr>
              <w:ind w:left="420"/>
              <w:spacing w:after="0" w:line="243" w:lineRule="exact"/>
              <w:rPr>
                <w:sz w:val="20"/>
                <w:szCs w:val="20"/>
                <w:color w:val="auto"/>
              </w:rPr>
            </w:pPr>
            <w:r>
              <w:rPr>
                <w:rFonts w:ascii="Arial" w:cs="Arial" w:eastAsia="Arial" w:hAnsi="Arial"/>
                <w:sz w:val="17"/>
                <w:szCs w:val="17"/>
                <w:color w:val="auto"/>
              </w:rPr>
              <w:t>Certain tax adjustments</w:t>
            </w:r>
            <w:r>
              <w:rPr>
                <w:rFonts w:ascii="Arial" w:cs="Arial" w:eastAsia="Arial" w:hAnsi="Arial"/>
                <w:sz w:val="28"/>
                <w:szCs w:val="28"/>
                <w:color w:val="auto"/>
                <w:vertAlign w:val="superscript"/>
              </w:rPr>
              <w:t>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Adjusted financial measures</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21"/>
                <w:szCs w:val="21"/>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185.1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3"/>
          </w:tcPr>
          <w:p>
            <w:pPr>
              <w:jc w:val="right"/>
              <w:ind w:right="80"/>
              <w:spacing w:after="0"/>
              <w:rPr>
                <w:sz w:val="20"/>
                <w:szCs w:val="20"/>
                <w:color w:val="auto"/>
              </w:rPr>
            </w:pPr>
            <w:r>
              <w:rPr>
                <w:rFonts w:ascii="Arial" w:cs="Arial" w:eastAsia="Arial" w:hAnsi="Arial"/>
                <w:sz w:val="18"/>
                <w:szCs w:val="18"/>
                <w:color w:val="auto"/>
              </w:rPr>
              <w:t>43.5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26.5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0.54</w:t>
            </w:r>
          </w:p>
        </w:tc>
        <w:tc>
          <w:tcPr>
            <w:tcW w:w="80" w:type="dxa"/>
            <w:vAlign w:val="bottom"/>
          </w:tcPr>
          <w:p>
            <w:pPr>
              <w:spacing w:after="0"/>
              <w:rPr>
                <w:sz w:val="21"/>
                <w:szCs w:val="21"/>
                <w:color w:val="auto"/>
              </w:rPr>
            </w:pPr>
          </w:p>
        </w:tc>
      </w:tr>
      <w:tr>
        <w:trPr>
          <w:trHeight w:val="21"/>
        </w:trPr>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-1765935</wp:posOffset>
            </wp:positionV>
            <wp:extent cx="3429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-205105</wp:posOffset>
            </wp:positionV>
            <wp:extent cx="3429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-33655</wp:posOffset>
            </wp:positionV>
            <wp:extent cx="342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-8255</wp:posOffset>
            </wp:positionV>
            <wp:extent cx="342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34290</wp:posOffset>
            </wp:positionV>
            <wp:extent cx="71094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09460" cy="17145"/>
                    </a:xfrm>
                    <a:prstGeom prst="rect">
                      <a:avLst/>
                    </a:prstGeom>
                    <a:noFill/>
                  </pic:spPr>
                </pic:pic>
              </a:graphicData>
            </a:graphic>
          </wp:anchor>
        </w:drawing>
      </w:r>
    </w:p>
    <w:p>
      <w:pPr>
        <w:ind w:left="220" w:hanging="158"/>
        <w:spacing w:after="0"/>
        <w:tabs>
          <w:tab w:leader="none" w:pos="22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Restructuring expenses, including CRM restructuring announced March 10, 2016.</w:t>
      </w:r>
    </w:p>
    <w:p>
      <w:pPr>
        <w:spacing w:after="0" w:line="82" w:lineRule="exact"/>
        <w:rPr>
          <w:rFonts w:ascii="Arial" w:cs="Arial" w:eastAsia="Arial" w:hAnsi="Arial"/>
          <w:sz w:val="30"/>
          <w:szCs w:val="30"/>
          <w:color w:val="auto"/>
          <w:vertAlign w:val="superscript"/>
        </w:rPr>
      </w:pPr>
    </w:p>
    <w:p>
      <w:pPr>
        <w:ind w:left="60"/>
        <w:spacing w:after="0" w:line="206"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Includes amortization associated with preliminary purchase price accounting.</w:t>
      </w:r>
    </w:p>
    <w:p>
      <w:pPr>
        <w:spacing w:after="0" w:line="1" w:lineRule="exact"/>
        <w:rPr>
          <w:rFonts w:ascii="Arial" w:cs="Arial" w:eastAsia="Arial" w:hAnsi="Arial"/>
          <w:sz w:val="30"/>
          <w:szCs w:val="30"/>
          <w:color w:val="auto"/>
          <w:vertAlign w:val="superscript"/>
        </w:rPr>
      </w:pPr>
    </w:p>
    <w:p>
      <w:pPr>
        <w:ind w:left="60"/>
        <w:spacing w:after="0" w:line="206"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Expenses associated with litigation in respect of heater/cooler matter.</w:t>
      </w:r>
    </w:p>
    <w:p>
      <w:pPr>
        <w:spacing w:after="0" w:line="1" w:lineRule="exact"/>
        <w:rPr>
          <w:rFonts w:ascii="Arial" w:cs="Arial" w:eastAsia="Arial" w:hAnsi="Arial"/>
          <w:sz w:val="30"/>
          <w:szCs w:val="30"/>
          <w:color w:val="auto"/>
          <w:vertAlign w:val="superscript"/>
        </w:rPr>
      </w:pPr>
    </w:p>
    <w:p>
      <w:pPr>
        <w:ind w:left="60" w:right="3260"/>
        <w:spacing w:after="0" w:line="230"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4</w:t>
      </w:r>
      <w:r>
        <w:rPr>
          <w:rFonts w:ascii="Arial" w:cs="Arial" w:eastAsia="Arial" w:hAnsi="Arial"/>
          <w:sz w:val="18"/>
          <w:szCs w:val="18"/>
          <w:color w:val="auto"/>
        </w:rPr>
        <w:t xml:space="preserve"> Includes the amortization of inventory step-up associated with preliminary purchase price accounting. </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Relates to the impact of restructuring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779780</wp:posOffset>
            </wp:positionV>
            <wp:extent cx="16465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Please see "Use of Non-GAAP Financial Measures" above. Numbers may not add due to rounding.</w:t>
      </w:r>
    </w:p>
    <w:p>
      <w:pPr>
        <w:spacing w:after="0" w:line="40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20"/>
          </w:cols>
          <w:pgMar w:left="240" w:top="121" w:right="8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millions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March 31, 2016</w:t>
            </w: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42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62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87.5</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6200" w:type="dxa"/>
            <w:vAlign w:val="bottom"/>
          </w:tcPr>
          <w:p>
            <w:pPr>
              <w:ind w:left="30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23"/>
                <w:szCs w:val="23"/>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288.5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Prepaid taxes</w:t>
            </w:r>
          </w:p>
        </w:tc>
        <w:tc>
          <w:tcPr>
            <w:tcW w:w="8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683.7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253.8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752.3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674.7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Investments</w:t>
            </w:r>
          </w:p>
        </w:tc>
        <w:tc>
          <w:tcPr>
            <w:tcW w:w="8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77.7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157.8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2,605.5</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2,558.7</w:t>
            </w:r>
          </w:p>
        </w:tc>
        <w:tc>
          <w:tcPr>
            <w:tcW w:w="0" w:type="dxa"/>
            <w:vAlign w:val="bottom"/>
          </w:tcPr>
          <w:p>
            <w:pPr>
              <w:spacing w:after="0"/>
              <w:rPr>
                <w:sz w:val="1"/>
                <w:szCs w:val="1"/>
                <w:color w:val="auto"/>
              </w:rPr>
            </w:pPr>
          </w:p>
        </w:tc>
      </w:tr>
      <w:tr>
        <w:trPr>
          <w:trHeight w:val="21"/>
        </w:trPr>
        <w:tc>
          <w:tcPr>
            <w:tcW w:w="620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Current debt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75.5</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118.9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95.1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Accrued employee compensation and related benefits liability</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381.5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Long-term debt obligations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Deferred income taxes liability</w:t>
            </w:r>
          </w:p>
        </w:tc>
        <w:tc>
          <w:tcPr>
            <w:tcW w:w="8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250.5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Long-term employee compensation and related benefits liability</w:t>
            </w:r>
          </w:p>
        </w:tc>
        <w:tc>
          <w:tcPr>
            <w:tcW w:w="8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6200" w:type="dxa"/>
            <w:vAlign w:val="bottom"/>
          </w:tcPr>
          <w:p>
            <w:pPr>
              <w:ind w:left="300"/>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792.5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747.3</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1,813.0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1,811.5</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21"/>
                <w:szCs w:val="21"/>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2,605.5</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2,558.7</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w:t>
      </w:r>
    </w:p>
    <w:p>
      <w:pPr>
        <w:sectPr>
          <w:pgSz w:w="11900" w:h="16838" w:orient="portrait"/>
          <w:cols w:equalWidth="0" w:num="1">
            <w:col w:w="10700"/>
          </w:cols>
          <w:pgMar w:left="240" w:top="121" w:right="959" w:bottom="1440" w:gutter="0" w:footer="0" w:header="0"/>
        </w:sectPr>
      </w:pP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type w:val="continuous"/>
        </w:sectPr>
      </w:pPr>
    </w:p>
    <w:bookmarkStart w:id="19" w:name="page20"/>
    <w:bookmarkEnd w:id="19"/>
    <w:p>
      <w:pPr>
        <w:ind w:left="300"/>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 dollars in millions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March 31, 2016</w:t>
            </w:r>
          </w:p>
        </w:tc>
      </w:tr>
      <w:tr>
        <w:trPr>
          <w:trHeight w:val="540"/>
        </w:trPr>
        <w:tc>
          <w:tcPr>
            <w:tcW w:w="78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80" w:type="dxa"/>
            <w:vAlign w:val="bottom"/>
            <w:gridSpan w:val="4"/>
          </w:tcPr>
          <w:p>
            <w:pPr>
              <w:jc w:val="right"/>
              <w:ind w:right="80"/>
              <w:spacing w:after="0"/>
              <w:rPr>
                <w:sz w:val="20"/>
                <w:szCs w:val="20"/>
                <w:color w:val="auto"/>
              </w:rPr>
            </w:pPr>
            <w:r>
              <w:rPr>
                <w:rFonts w:ascii="Arial" w:cs="Arial" w:eastAsia="Arial" w:hAnsi="Arial"/>
                <w:sz w:val="18"/>
                <w:szCs w:val="18"/>
                <w:color w:val="auto"/>
              </w:rPr>
              <w:t>(40.4 )</w:t>
            </w: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Non-cash items included in net income (loss):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8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21"/>
                <w:szCs w:val="21"/>
                <w:color w:val="auto"/>
              </w:rPr>
            </w:pPr>
          </w:p>
        </w:tc>
      </w:tr>
      <w:tr>
        <w:trPr>
          <w:trHeight w:val="243"/>
        </w:trPr>
        <w:tc>
          <w:tcPr>
            <w:tcW w:w="782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1"/>
                <w:szCs w:val="21"/>
                <w:color w:val="auto"/>
              </w:rPr>
            </w:pPr>
          </w:p>
        </w:tc>
      </w:tr>
      <w:tr>
        <w:trPr>
          <w:trHeight w:val="243"/>
        </w:trPr>
        <w:tc>
          <w:tcPr>
            <w:tcW w:w="7820" w:type="dxa"/>
            <w:vAlign w:val="bottom"/>
          </w:tcPr>
          <w:p>
            <w:pPr>
              <w:ind w:left="400"/>
              <w:spacing w:after="0"/>
              <w:rPr>
                <w:sz w:val="20"/>
                <w:szCs w:val="20"/>
                <w:color w:val="auto"/>
              </w:rPr>
            </w:pPr>
            <w:r>
              <w:rPr>
                <w:rFonts w:ascii="Arial" w:cs="Arial" w:eastAsia="Arial" w:hAnsi="Arial"/>
                <w:sz w:val="18"/>
                <w:szCs w:val="18"/>
                <w:color w:val="auto"/>
              </w:rPr>
              <w:t>Deferred income tax expense</w:t>
            </w:r>
          </w:p>
        </w:tc>
        <w:tc>
          <w:tcPr>
            <w:tcW w:w="100" w:type="dxa"/>
            <w:vAlign w:val="bottom"/>
          </w:tcPr>
          <w:p>
            <w:pPr>
              <w:spacing w:after="0"/>
              <w:rPr>
                <w:sz w:val="21"/>
                <w:szCs w:val="21"/>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r>
      <w:tr>
        <w:trPr>
          <w:trHeight w:val="243"/>
        </w:trPr>
        <w:tc>
          <w:tcPr>
            <w:tcW w:w="7820" w:type="dxa"/>
            <w:vAlign w:val="bottom"/>
          </w:tcPr>
          <w:p>
            <w:pPr>
              <w:ind w:left="400"/>
              <w:spacing w:after="0"/>
              <w:rPr>
                <w:sz w:val="20"/>
                <w:szCs w:val="20"/>
                <w:color w:val="auto"/>
              </w:rPr>
            </w:pPr>
            <w:r>
              <w:rPr>
                <w:rFonts w:ascii="Arial" w:cs="Arial" w:eastAsia="Arial" w:hAnsi="Arial"/>
                <w:sz w:val="18"/>
                <w:szCs w:val="18"/>
                <w:color w:val="auto"/>
              </w:rPr>
              <w:t>Impairment of intangible assets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7820" w:type="dxa"/>
            <w:vAlign w:val="bottom"/>
          </w:tcPr>
          <w:p>
            <w:pPr>
              <w:ind w:left="400"/>
              <w:spacing w:after="0"/>
              <w:rPr>
                <w:sz w:val="20"/>
                <w:szCs w:val="20"/>
                <w:color w:val="auto"/>
              </w:rPr>
            </w:pPr>
            <w:r>
              <w:rPr>
                <w:rFonts w:ascii="Arial" w:cs="Arial" w:eastAsia="Arial" w:hAnsi="Arial"/>
                <w:sz w:val="18"/>
                <w:szCs w:val="18"/>
                <w:color w:val="auto"/>
              </w:rPr>
              <w:t>Loss on disposal of assets</w:t>
            </w:r>
          </w:p>
        </w:tc>
        <w:tc>
          <w:tcPr>
            <w:tcW w:w="100" w:type="dxa"/>
            <w:vAlign w:val="bottom"/>
          </w:tcPr>
          <w:p>
            <w:pPr>
              <w:spacing w:after="0"/>
              <w:rPr>
                <w:sz w:val="21"/>
                <w:szCs w:val="21"/>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r>
      <w:tr>
        <w:trPr>
          <w:trHeight w:val="243"/>
        </w:trPr>
        <w:tc>
          <w:tcPr>
            <w:tcW w:w="7820" w:type="dxa"/>
            <w:vAlign w:val="bottom"/>
          </w:tcPr>
          <w:p>
            <w:pPr>
              <w:ind w:left="400"/>
              <w:spacing w:after="0"/>
              <w:rPr>
                <w:sz w:val="20"/>
                <w:szCs w:val="20"/>
                <w:color w:val="auto"/>
              </w:rPr>
            </w:pPr>
            <w:r>
              <w:rPr>
                <w:rFonts w:ascii="Arial" w:cs="Arial" w:eastAsia="Arial" w:hAnsi="Arial"/>
                <w:sz w:val="18"/>
                <w:szCs w:val="18"/>
                <w:color w:val="auto"/>
              </w:rPr>
              <w:t>Loss from equity method investments</w:t>
            </w:r>
          </w:p>
        </w:tc>
        <w:tc>
          <w:tcPr>
            <w:tcW w:w="100" w:type="dxa"/>
            <w:vAlign w:val="bottom"/>
          </w:tcPr>
          <w:p>
            <w:pPr>
              <w:spacing w:after="0"/>
              <w:rPr>
                <w:sz w:val="21"/>
                <w:szCs w:val="21"/>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1"/>
                <w:szCs w:val="21"/>
                <w:color w:val="auto"/>
              </w:rPr>
            </w:pPr>
          </w:p>
        </w:tc>
      </w:tr>
      <w:tr>
        <w:trPr>
          <w:trHeight w:val="243"/>
        </w:trPr>
        <w:tc>
          <w:tcPr>
            <w:tcW w:w="7820" w:type="dxa"/>
            <w:vAlign w:val="bottom"/>
          </w:tcPr>
          <w:p>
            <w:pPr>
              <w:ind w:left="400"/>
              <w:spacing w:after="0"/>
              <w:rPr>
                <w:sz w:val="20"/>
                <w:szCs w:val="20"/>
                <w:color w:val="auto"/>
              </w:rPr>
            </w:pPr>
            <w:r>
              <w:rPr>
                <w:rFonts w:ascii="Arial" w:cs="Arial" w:eastAsia="Arial" w:hAnsi="Arial"/>
                <w:sz w:val="18"/>
                <w:szCs w:val="18"/>
                <w:color w:val="auto"/>
              </w:rPr>
              <w:t>Unrealized (gain) loss in foreign currency transactions</w:t>
            </w:r>
          </w:p>
        </w:tc>
        <w:tc>
          <w:tcPr>
            <w:tcW w:w="100" w:type="dxa"/>
            <w:vAlign w:val="bottom"/>
          </w:tcPr>
          <w:p>
            <w:pPr>
              <w:spacing w:after="0"/>
              <w:rPr>
                <w:sz w:val="21"/>
                <w:szCs w:val="21"/>
                <w:color w:val="auto"/>
              </w:rPr>
            </w:pPr>
          </w:p>
        </w:tc>
        <w:tc>
          <w:tcPr>
            <w:tcW w:w="2180" w:type="dxa"/>
            <w:vAlign w:val="bottom"/>
            <w:gridSpan w:val="4"/>
          </w:tcPr>
          <w:p>
            <w:pPr>
              <w:jc w:val="right"/>
              <w:ind w:right="80"/>
              <w:spacing w:after="0"/>
              <w:rPr>
                <w:sz w:val="20"/>
                <w:szCs w:val="20"/>
                <w:color w:val="auto"/>
              </w:rPr>
            </w:pPr>
            <w:r>
              <w:rPr>
                <w:rFonts w:ascii="Arial" w:cs="Arial" w:eastAsia="Arial" w:hAnsi="Arial"/>
                <w:sz w:val="18"/>
                <w:szCs w:val="18"/>
                <w:color w:val="auto"/>
              </w:rPr>
              <w:t>(0.7 )</w:t>
            </w:r>
          </w:p>
        </w:tc>
      </w:tr>
      <w:tr>
        <w:trPr>
          <w:trHeight w:val="243"/>
        </w:trPr>
        <w:tc>
          <w:tcPr>
            <w:tcW w:w="7820" w:type="dxa"/>
            <w:vAlign w:val="bottom"/>
          </w:tcPr>
          <w:p>
            <w:pPr>
              <w:ind w:left="400"/>
              <w:spacing w:after="0"/>
              <w:rPr>
                <w:sz w:val="20"/>
                <w:szCs w:val="20"/>
                <w:color w:val="auto"/>
              </w:rPr>
            </w:pPr>
            <w:r>
              <w:rPr>
                <w:rFonts w:ascii="Arial" w:cs="Arial" w:eastAsia="Arial" w:hAnsi="Arial"/>
                <w:sz w:val="18"/>
                <w:szCs w:val="18"/>
                <w:color w:val="auto"/>
              </w:rPr>
              <w:t>Restructuring reserves, increase</w:t>
            </w:r>
          </w:p>
        </w:tc>
        <w:tc>
          <w:tcPr>
            <w:tcW w:w="100" w:type="dxa"/>
            <w:vAlign w:val="bottom"/>
          </w:tcPr>
          <w:p>
            <w:pPr>
              <w:spacing w:after="0"/>
              <w:rPr>
                <w:sz w:val="21"/>
                <w:szCs w:val="21"/>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21"/>
                <w:szCs w:val="21"/>
                <w:color w:val="auto"/>
              </w:rPr>
            </w:pPr>
          </w:p>
        </w:tc>
      </w:tr>
      <w:tr>
        <w:trPr>
          <w:trHeight w:val="243"/>
        </w:trPr>
        <w:tc>
          <w:tcPr>
            <w:tcW w:w="7820" w:type="dxa"/>
            <w:vAlign w:val="bottom"/>
          </w:tcPr>
          <w:p>
            <w:pPr>
              <w:ind w:left="400"/>
              <w:spacing w:after="0"/>
              <w:rPr>
                <w:sz w:val="20"/>
                <w:szCs w:val="20"/>
                <w:color w:val="auto"/>
              </w:rPr>
            </w:pPr>
            <w:r>
              <w:rPr>
                <w:rFonts w:ascii="Arial" w:cs="Arial" w:eastAsia="Arial" w:hAnsi="Arial"/>
                <w:sz w:val="18"/>
                <w:szCs w:val="18"/>
                <w:color w:val="auto"/>
              </w:rPr>
              <w:t>Bad debt allowances and other reserves, net increase</w:t>
            </w:r>
          </w:p>
        </w:tc>
        <w:tc>
          <w:tcPr>
            <w:tcW w:w="100" w:type="dxa"/>
            <w:vAlign w:val="bottom"/>
          </w:tcPr>
          <w:p>
            <w:pPr>
              <w:spacing w:after="0"/>
              <w:rPr>
                <w:sz w:val="21"/>
                <w:szCs w:val="21"/>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1"/>
                <w:szCs w:val="21"/>
                <w:color w:val="auto"/>
              </w:rPr>
            </w:pP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82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21"/>
                <w:szCs w:val="21"/>
                <w:color w:val="auto"/>
              </w:rPr>
            </w:pPr>
          </w:p>
        </w:tc>
        <w:tc>
          <w:tcPr>
            <w:tcW w:w="2180" w:type="dxa"/>
            <w:vAlign w:val="bottom"/>
            <w:gridSpan w:val="4"/>
          </w:tcPr>
          <w:p>
            <w:pPr>
              <w:jc w:val="right"/>
              <w:ind w:right="80"/>
              <w:spacing w:after="0"/>
              <w:rPr>
                <w:sz w:val="20"/>
                <w:szCs w:val="20"/>
                <w:color w:val="auto"/>
              </w:rPr>
            </w:pPr>
            <w:r>
              <w:rPr>
                <w:rFonts w:ascii="Arial" w:cs="Arial" w:eastAsia="Arial" w:hAnsi="Arial"/>
                <w:sz w:val="18"/>
                <w:szCs w:val="18"/>
                <w:color w:val="auto"/>
              </w:rPr>
              <w:t>(8.4 )</w:t>
            </w:r>
          </w:p>
        </w:tc>
      </w:tr>
      <w:tr>
        <w:trPr>
          <w:trHeight w:val="243"/>
        </w:trPr>
        <w:tc>
          <w:tcPr>
            <w:tcW w:w="782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21"/>
                <w:szCs w:val="21"/>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1"/>
                <w:szCs w:val="21"/>
                <w:color w:val="auto"/>
              </w:rPr>
            </w:pPr>
          </w:p>
        </w:tc>
      </w:tr>
      <w:tr>
        <w:trPr>
          <w:trHeight w:val="243"/>
        </w:trPr>
        <w:tc>
          <w:tcPr>
            <w:tcW w:w="7820" w:type="dxa"/>
            <w:vAlign w:val="bottom"/>
          </w:tcPr>
          <w:p>
            <w:pPr>
              <w:ind w:left="400"/>
              <w:spacing w:after="0"/>
              <w:rPr>
                <w:sz w:val="20"/>
                <w:szCs w:val="20"/>
                <w:color w:val="auto"/>
              </w:rPr>
            </w:pPr>
            <w:r>
              <w:rPr>
                <w:rFonts w:ascii="Arial" w:cs="Arial" w:eastAsia="Arial" w:hAnsi="Arial"/>
                <w:sz w:val="18"/>
                <w:szCs w:val="18"/>
                <w:color w:val="auto"/>
              </w:rPr>
              <w:t>Other current and non-current assets</w:t>
            </w:r>
          </w:p>
        </w:tc>
        <w:tc>
          <w:tcPr>
            <w:tcW w:w="100" w:type="dxa"/>
            <w:vAlign w:val="bottom"/>
          </w:tcPr>
          <w:p>
            <w:pPr>
              <w:spacing w:after="0"/>
              <w:rPr>
                <w:sz w:val="21"/>
                <w:szCs w:val="21"/>
                <w:color w:val="auto"/>
              </w:rPr>
            </w:pPr>
          </w:p>
        </w:tc>
        <w:tc>
          <w:tcPr>
            <w:tcW w:w="2180" w:type="dxa"/>
            <w:vAlign w:val="bottom"/>
            <w:gridSpan w:val="4"/>
          </w:tcPr>
          <w:p>
            <w:pPr>
              <w:jc w:val="right"/>
              <w:ind w:right="80"/>
              <w:spacing w:after="0"/>
              <w:rPr>
                <w:sz w:val="20"/>
                <w:szCs w:val="20"/>
                <w:color w:val="auto"/>
              </w:rPr>
            </w:pPr>
            <w:r>
              <w:rPr>
                <w:rFonts w:ascii="Arial" w:cs="Arial" w:eastAsia="Arial" w:hAnsi="Arial"/>
                <w:sz w:val="18"/>
                <w:szCs w:val="18"/>
                <w:color w:val="auto"/>
              </w:rPr>
              <w:t>(16.0 )</w:t>
            </w:r>
          </w:p>
        </w:tc>
      </w:tr>
      <w:tr>
        <w:trPr>
          <w:trHeight w:val="250"/>
        </w:trPr>
        <w:tc>
          <w:tcPr>
            <w:tcW w:w="7820" w:type="dxa"/>
            <w:vAlign w:val="bottom"/>
          </w:tcPr>
          <w:p>
            <w:pPr>
              <w:ind w:left="400"/>
              <w:spacing w:after="0"/>
              <w:rPr>
                <w:sz w:val="20"/>
                <w:szCs w:val="20"/>
                <w:color w:val="auto"/>
              </w:rPr>
            </w:pPr>
            <w:r>
              <w:rPr>
                <w:rFonts w:ascii="Arial" w:cs="Arial" w:eastAsia="Arial" w:hAnsi="Arial"/>
                <w:sz w:val="18"/>
                <w:szCs w:val="18"/>
                <w:color w:val="auto"/>
              </w:rPr>
              <w:t>Current and non-current liabilities</w:t>
            </w:r>
          </w:p>
        </w:tc>
        <w:tc>
          <w:tcPr>
            <w:tcW w:w="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r>
      <w:tr>
        <w:trPr>
          <w:trHeight w:val="250"/>
        </w:trPr>
        <w:tc>
          <w:tcPr>
            <w:tcW w:w="7820" w:type="dxa"/>
            <w:vAlign w:val="bottom"/>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21"/>
                <w:szCs w:val="21"/>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1"/>
                <w:szCs w:val="21"/>
                <w:color w:val="auto"/>
              </w:rPr>
            </w:pPr>
          </w:p>
        </w:tc>
      </w:tr>
      <w:tr>
        <w:trPr>
          <w:trHeight w:val="243"/>
        </w:trPr>
        <w:tc>
          <w:tcPr>
            <w:tcW w:w="7820" w:type="dxa"/>
            <w:vAlign w:val="bottom"/>
          </w:tcPr>
          <w:p>
            <w:pPr>
              <w:spacing w:after="0"/>
              <w:rPr>
                <w:sz w:val="20"/>
                <w:szCs w:val="20"/>
                <w:color w:val="auto"/>
              </w:rPr>
            </w:pPr>
            <w:r>
              <w:rPr>
                <w:rFonts w:ascii="Arial" w:cs="Arial" w:eastAsia="Arial" w:hAnsi="Arial"/>
                <w:sz w:val="18"/>
                <w:szCs w:val="18"/>
                <w:color w:val="auto"/>
              </w:rPr>
              <w:t>Cash Flow From Investing Activities</w:t>
            </w: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tcPr>
          <w:p>
            <w:pPr>
              <w:spacing w:after="0"/>
              <w:rPr>
                <w:sz w:val="21"/>
                <w:szCs w:val="21"/>
                <w:color w:val="auto"/>
              </w:rPr>
            </w:pPr>
          </w:p>
        </w:tc>
        <w:tc>
          <w:tcPr>
            <w:tcW w:w="2180" w:type="dxa"/>
            <w:vAlign w:val="bottom"/>
            <w:gridSpan w:val="4"/>
          </w:tcPr>
          <w:p>
            <w:pPr>
              <w:jc w:val="right"/>
              <w:ind w:right="80"/>
              <w:spacing w:after="0"/>
              <w:rPr>
                <w:sz w:val="20"/>
                <w:szCs w:val="20"/>
                <w:color w:val="auto"/>
              </w:rPr>
            </w:pPr>
            <w:r>
              <w:rPr>
                <w:rFonts w:ascii="Arial" w:cs="Arial" w:eastAsia="Arial" w:hAnsi="Arial"/>
                <w:sz w:val="18"/>
                <w:szCs w:val="18"/>
                <w:color w:val="auto"/>
              </w:rPr>
              <w:t>(7.0 )</w:t>
            </w: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Maturities of short-term investments</w:t>
            </w:r>
          </w:p>
        </w:tc>
        <w:tc>
          <w:tcPr>
            <w:tcW w:w="100" w:type="dxa"/>
            <w:vAlign w:val="bottom"/>
          </w:tcPr>
          <w:p>
            <w:pPr>
              <w:spacing w:after="0"/>
              <w:rPr>
                <w:sz w:val="21"/>
                <w:szCs w:val="21"/>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Purchase of property, plant and equipment and other</w:t>
            </w:r>
          </w:p>
        </w:tc>
        <w:tc>
          <w:tcPr>
            <w:tcW w:w="100" w:type="dxa"/>
            <w:vAlign w:val="bottom"/>
          </w:tcPr>
          <w:p>
            <w:pPr>
              <w:spacing w:after="0"/>
              <w:rPr>
                <w:sz w:val="21"/>
                <w:szCs w:val="21"/>
                <w:color w:val="auto"/>
              </w:rPr>
            </w:pPr>
          </w:p>
        </w:tc>
        <w:tc>
          <w:tcPr>
            <w:tcW w:w="2180" w:type="dxa"/>
            <w:vAlign w:val="bottom"/>
            <w:gridSpan w:val="4"/>
          </w:tcPr>
          <w:p>
            <w:pPr>
              <w:jc w:val="right"/>
              <w:ind w:right="80"/>
              <w:spacing w:after="0"/>
              <w:rPr>
                <w:sz w:val="20"/>
                <w:szCs w:val="20"/>
                <w:color w:val="auto"/>
              </w:rPr>
            </w:pPr>
            <w:r>
              <w:rPr>
                <w:rFonts w:ascii="Arial" w:cs="Arial" w:eastAsia="Arial" w:hAnsi="Arial"/>
                <w:sz w:val="18"/>
                <w:szCs w:val="18"/>
                <w:color w:val="auto"/>
              </w:rPr>
              <w:t>(8.1 )</w:t>
            </w: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Intangible assets purchases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gridSpan w:val="3"/>
          </w:tcPr>
          <w:p>
            <w:pPr>
              <w:jc w:val="right"/>
              <w:ind w:right="80"/>
              <w:spacing w:after="0"/>
              <w:rPr>
                <w:sz w:val="20"/>
                <w:szCs w:val="20"/>
                <w:color w:val="auto"/>
              </w:rPr>
            </w:pPr>
            <w:r>
              <w:rPr>
                <w:rFonts w:ascii="Arial" w:cs="Arial" w:eastAsia="Arial" w:hAnsi="Arial"/>
                <w:sz w:val="18"/>
                <w:szCs w:val="18"/>
                <w:color w:val="auto"/>
              </w:rPr>
              <w:t>(0.8 )</w:t>
            </w:r>
          </w:p>
        </w:tc>
      </w:tr>
      <w:tr>
        <w:trPr>
          <w:trHeight w:val="27"/>
        </w:trPr>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r>
      <w:tr>
        <w:trPr>
          <w:trHeight w:val="250"/>
        </w:trPr>
        <w:tc>
          <w:tcPr>
            <w:tcW w:w="782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gridSpan w:val="3"/>
          </w:tcPr>
          <w:p>
            <w:pPr>
              <w:jc w:val="right"/>
              <w:ind w:right="80"/>
              <w:spacing w:after="0"/>
              <w:rPr>
                <w:sz w:val="20"/>
                <w:szCs w:val="20"/>
                <w:color w:val="auto"/>
              </w:rPr>
            </w:pPr>
            <w:r>
              <w:rPr>
                <w:rFonts w:ascii="Arial" w:cs="Arial" w:eastAsia="Arial" w:hAnsi="Arial"/>
                <w:sz w:val="18"/>
                <w:szCs w:val="18"/>
                <w:color w:val="auto"/>
              </w:rPr>
              <w:t>(8.9 )</w:t>
            </w:r>
          </w:p>
        </w:tc>
      </w:tr>
      <w:tr>
        <w:trPr>
          <w:trHeight w:val="243"/>
        </w:trPr>
        <w:tc>
          <w:tcPr>
            <w:tcW w:w="7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Short-term borrowing</w:t>
            </w:r>
          </w:p>
        </w:tc>
        <w:tc>
          <w:tcPr>
            <w:tcW w:w="100" w:type="dxa"/>
            <w:vAlign w:val="bottom"/>
          </w:tcPr>
          <w:p>
            <w:pPr>
              <w:spacing w:after="0"/>
              <w:rPr>
                <w:sz w:val="21"/>
                <w:szCs w:val="21"/>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21"/>
                <w:szCs w:val="21"/>
                <w:color w:val="auto"/>
              </w:rPr>
            </w:pP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Short-term repayments</w:t>
            </w:r>
          </w:p>
        </w:tc>
        <w:tc>
          <w:tcPr>
            <w:tcW w:w="100" w:type="dxa"/>
            <w:vAlign w:val="bottom"/>
          </w:tcPr>
          <w:p>
            <w:pPr>
              <w:spacing w:after="0"/>
              <w:rPr>
                <w:sz w:val="21"/>
                <w:szCs w:val="21"/>
                <w:color w:val="auto"/>
              </w:rPr>
            </w:pPr>
          </w:p>
        </w:tc>
        <w:tc>
          <w:tcPr>
            <w:tcW w:w="2180" w:type="dxa"/>
            <w:vAlign w:val="bottom"/>
            <w:gridSpan w:val="4"/>
          </w:tcPr>
          <w:p>
            <w:pPr>
              <w:jc w:val="right"/>
              <w:ind w:right="80"/>
              <w:spacing w:after="0"/>
              <w:rPr>
                <w:sz w:val="20"/>
                <w:szCs w:val="20"/>
                <w:color w:val="auto"/>
              </w:rPr>
            </w:pPr>
            <w:r>
              <w:rPr>
                <w:rFonts w:ascii="Arial" w:cs="Arial" w:eastAsia="Arial" w:hAnsi="Arial"/>
                <w:sz w:val="18"/>
                <w:szCs w:val="18"/>
                <w:color w:val="auto"/>
              </w:rPr>
              <w:t>(24.4 )</w:t>
            </w: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Repayment of long-term debt obligations</w:t>
            </w:r>
          </w:p>
        </w:tc>
        <w:tc>
          <w:tcPr>
            <w:tcW w:w="100" w:type="dxa"/>
            <w:vAlign w:val="bottom"/>
          </w:tcPr>
          <w:p>
            <w:pPr>
              <w:spacing w:after="0"/>
              <w:rPr>
                <w:sz w:val="21"/>
                <w:szCs w:val="21"/>
                <w:color w:val="auto"/>
              </w:rPr>
            </w:pPr>
          </w:p>
        </w:tc>
        <w:tc>
          <w:tcPr>
            <w:tcW w:w="2180" w:type="dxa"/>
            <w:vAlign w:val="bottom"/>
            <w:gridSpan w:val="4"/>
          </w:tcPr>
          <w:p>
            <w:pPr>
              <w:jc w:val="right"/>
              <w:ind w:right="80"/>
              <w:spacing w:after="0"/>
              <w:rPr>
                <w:sz w:val="20"/>
                <w:szCs w:val="20"/>
                <w:color w:val="auto"/>
              </w:rPr>
            </w:pPr>
            <w:r>
              <w:rPr>
                <w:rFonts w:ascii="Arial" w:cs="Arial" w:eastAsia="Arial" w:hAnsi="Arial"/>
                <w:sz w:val="18"/>
                <w:szCs w:val="18"/>
                <w:color w:val="auto"/>
              </w:rPr>
              <w:t>(0.6 )</w:t>
            </w: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Proceeds from exercise of options for common stock</w:t>
            </w:r>
          </w:p>
        </w:tc>
        <w:tc>
          <w:tcPr>
            <w:tcW w:w="100" w:type="dxa"/>
            <w:vAlign w:val="bottom"/>
          </w:tcPr>
          <w:p>
            <w:pPr>
              <w:spacing w:after="0"/>
              <w:rPr>
                <w:sz w:val="21"/>
                <w:szCs w:val="21"/>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Cash settlement of compensation-based stock units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Realized excess tax benefits - stock-based compensation</w:t>
            </w:r>
          </w:p>
        </w:tc>
        <w:tc>
          <w:tcPr>
            <w:tcW w:w="100" w:type="dxa"/>
            <w:vAlign w:val="bottom"/>
          </w:tcPr>
          <w:p>
            <w:pPr>
              <w:spacing w:after="0"/>
              <w:rPr>
                <w:sz w:val="21"/>
                <w:szCs w:val="21"/>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Other financial assets and liabilities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gridSpan w:val="3"/>
          </w:tcPr>
          <w:p>
            <w:pPr>
              <w:jc w:val="right"/>
              <w:ind w:right="80"/>
              <w:spacing w:after="0"/>
              <w:rPr>
                <w:sz w:val="20"/>
                <w:szCs w:val="20"/>
                <w:color w:val="auto"/>
              </w:rPr>
            </w:pPr>
            <w:r>
              <w:rPr>
                <w:rFonts w:ascii="Arial" w:cs="Arial" w:eastAsia="Arial" w:hAnsi="Arial"/>
                <w:sz w:val="18"/>
                <w:szCs w:val="18"/>
                <w:color w:val="auto"/>
              </w:rPr>
              <w:t>(19.4 )</w:t>
            </w:r>
          </w:p>
        </w:tc>
      </w:tr>
      <w:tr>
        <w:trPr>
          <w:trHeight w:val="27"/>
        </w:trPr>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r>
      <w:tr>
        <w:trPr>
          <w:trHeight w:val="250"/>
        </w:trPr>
        <w:tc>
          <w:tcPr>
            <w:tcW w:w="7820" w:type="dxa"/>
            <w:vAlign w:val="bottom"/>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gridSpan w:val="3"/>
          </w:tcPr>
          <w:p>
            <w:pPr>
              <w:jc w:val="right"/>
              <w:ind w:right="80"/>
              <w:spacing w:after="0"/>
              <w:rPr>
                <w:sz w:val="20"/>
                <w:szCs w:val="20"/>
                <w:color w:val="auto"/>
              </w:rPr>
            </w:pPr>
            <w:r>
              <w:rPr>
                <w:rFonts w:ascii="Arial" w:cs="Arial" w:eastAsia="Arial" w:hAnsi="Arial"/>
                <w:sz w:val="18"/>
                <w:szCs w:val="18"/>
                <w:color w:val="auto"/>
              </w:rPr>
              <w:t>(27.1 )</w:t>
            </w:r>
          </w:p>
        </w:tc>
      </w:tr>
      <w:tr>
        <w:trPr>
          <w:trHeight w:val="250"/>
        </w:trPr>
        <w:tc>
          <w:tcPr>
            <w:tcW w:w="78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r>
      <w:tr>
        <w:trPr>
          <w:trHeight w:val="243"/>
        </w:trPr>
        <w:tc>
          <w:tcPr>
            <w:tcW w:w="7820" w:type="dxa"/>
            <w:vAlign w:val="bottom"/>
          </w:tcPr>
          <w:p>
            <w:pPr>
              <w:ind w:left="64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21"/>
                <w:szCs w:val="21"/>
                <w:color w:val="auto"/>
              </w:rPr>
            </w:pPr>
          </w:p>
        </w:tc>
        <w:tc>
          <w:tcPr>
            <w:tcW w:w="2180" w:type="dxa"/>
            <w:vAlign w:val="bottom"/>
            <w:gridSpan w:val="4"/>
          </w:tcPr>
          <w:p>
            <w:pPr>
              <w:jc w:val="right"/>
              <w:ind w:right="80"/>
              <w:spacing w:after="0"/>
              <w:rPr>
                <w:sz w:val="20"/>
                <w:szCs w:val="20"/>
                <w:color w:val="auto"/>
              </w:rPr>
            </w:pPr>
            <w:r>
              <w:rPr>
                <w:rFonts w:ascii="Arial" w:cs="Arial" w:eastAsia="Arial" w:hAnsi="Arial"/>
                <w:sz w:val="18"/>
                <w:szCs w:val="18"/>
                <w:color w:val="auto"/>
              </w:rPr>
              <w:t>(25.1 )</w:t>
            </w:r>
          </w:p>
        </w:tc>
      </w:tr>
      <w:tr>
        <w:trPr>
          <w:trHeight w:val="250"/>
        </w:trPr>
        <w:tc>
          <w:tcPr>
            <w:tcW w:w="78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r>
      <w:tr>
        <w:trPr>
          <w:trHeight w:val="243"/>
        </w:trPr>
        <w:tc>
          <w:tcPr>
            <w:tcW w:w="78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21"/>
                <w:szCs w:val="21"/>
                <w:color w:val="auto"/>
              </w:rPr>
            </w:pPr>
          </w:p>
        </w:tc>
      </w:tr>
      <w:tr>
        <w:trPr>
          <w:trHeight w:val="21"/>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Numbers may not add due to rounding</w:t>
      </w:r>
    </w:p>
    <w:p>
      <w:pPr>
        <w:sectPr>
          <w:pgSz w:w="11900" w:h="16838" w:orient="portrait"/>
          <w:cols w:equalWidth="0" w:num="1">
            <w:col w:w="10179"/>
          </w:cols>
          <w:pgMar w:left="280" w:top="121" w:right="1440" w:bottom="1440" w:gutter="0" w:footer="0" w:header="0"/>
        </w:sectPr>
      </w:pPr>
    </w:p>
    <w:p>
      <w:pPr>
        <w:spacing w:after="0" w:line="180"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52705</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79"/>
          </w:cols>
          <w:pgMar w:left="280" w:top="121"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PROJECTIONS</w:t>
      </w:r>
    </w:p>
    <w:p>
      <w:pPr>
        <w:spacing w:after="0" w:line="200" w:lineRule="exact"/>
        <w:rPr>
          <w:sz w:val="20"/>
          <w:szCs w:val="20"/>
          <w:color w:val="auto"/>
        </w:rPr>
      </w:pPr>
    </w:p>
    <w:p>
      <w:pPr>
        <w:spacing w:after="0" w:line="33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Net sales growth (on a constant currency basis):</w:t>
            </w:r>
          </w:p>
        </w:tc>
        <w:tc>
          <w:tcPr>
            <w:tcW w:w="29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11"/>
        </w:trPr>
        <w:tc>
          <w:tcPr>
            <w:tcW w:w="7060" w:type="dxa"/>
            <w:vAlign w:val="bottom"/>
          </w:tcPr>
          <w:p>
            <w:pPr>
              <w:ind w:left="160"/>
              <w:spacing w:after="0"/>
              <w:rPr>
                <w:sz w:val="20"/>
                <w:szCs w:val="20"/>
                <w:color w:val="auto"/>
              </w:rPr>
            </w:pPr>
            <w:r>
              <w:rPr>
                <w:rFonts w:ascii="Arial" w:cs="Arial" w:eastAsia="Arial" w:hAnsi="Arial"/>
                <w:sz w:val="18"/>
                <w:szCs w:val="18"/>
                <w:color w:val="auto"/>
              </w:rPr>
              <w:t>Worldwide</w:t>
            </w:r>
          </w:p>
        </w:tc>
        <w:tc>
          <w:tcPr>
            <w:tcW w:w="2920" w:type="dxa"/>
            <w:vAlign w:val="bottom"/>
          </w:tcPr>
          <w:p>
            <w:pPr>
              <w:jc w:val="right"/>
              <w:spacing w:after="0"/>
              <w:rPr>
                <w:sz w:val="20"/>
                <w:szCs w:val="20"/>
                <w:color w:val="auto"/>
              </w:rPr>
            </w:pPr>
            <w:r>
              <w:rPr>
                <w:rFonts w:ascii="Arial" w:cs="Arial" w:eastAsia="Arial" w:hAnsi="Arial"/>
                <w:sz w:val="18"/>
                <w:szCs w:val="18"/>
                <w:color w:val="auto"/>
              </w:rPr>
              <w:t>3%</w:t>
            </w:r>
          </w:p>
        </w:tc>
        <w:tc>
          <w:tcPr>
            <w:tcW w:w="1020" w:type="dxa"/>
            <w:vAlign w:val="bottom"/>
          </w:tcPr>
          <w:p>
            <w:pPr>
              <w:ind w:left="20"/>
              <w:spacing w:after="0"/>
              <w:rPr>
                <w:sz w:val="20"/>
                <w:szCs w:val="20"/>
                <w:color w:val="auto"/>
              </w:rPr>
            </w:pPr>
            <w:r>
              <w:rPr>
                <w:rFonts w:ascii="Arial" w:cs="Arial" w:eastAsia="Arial" w:hAnsi="Arial"/>
                <w:sz w:val="18"/>
                <w:szCs w:val="18"/>
                <w:color w:val="auto"/>
              </w:rPr>
              <w:t>- 5%</w:t>
            </w:r>
          </w:p>
        </w:tc>
      </w:tr>
      <w:tr>
        <w:trPr>
          <w:trHeight w:val="297"/>
        </w:trPr>
        <w:tc>
          <w:tcPr>
            <w:tcW w:w="7060" w:type="dxa"/>
            <w:vAlign w:val="bottom"/>
          </w:tcPr>
          <w:p>
            <w:pPr>
              <w:ind w:left="160"/>
              <w:spacing w:after="0"/>
              <w:rPr>
                <w:sz w:val="20"/>
                <w:szCs w:val="20"/>
                <w:color w:val="auto"/>
              </w:rPr>
            </w:pPr>
            <w:r>
              <w:rPr>
                <w:rFonts w:ascii="Arial" w:cs="Arial" w:eastAsia="Arial" w:hAnsi="Arial"/>
                <w:sz w:val="18"/>
                <w:szCs w:val="18"/>
                <w:color w:val="auto"/>
              </w:rPr>
              <w:t>Cardiac Surgery</w:t>
            </w:r>
          </w:p>
        </w:tc>
        <w:tc>
          <w:tcPr>
            <w:tcW w:w="2920" w:type="dxa"/>
            <w:vAlign w:val="bottom"/>
          </w:tcPr>
          <w:p>
            <w:pPr>
              <w:jc w:val="right"/>
              <w:spacing w:after="0"/>
              <w:rPr>
                <w:sz w:val="20"/>
                <w:szCs w:val="20"/>
                <w:color w:val="auto"/>
              </w:rPr>
            </w:pPr>
            <w:r>
              <w:rPr>
                <w:rFonts w:ascii="Arial" w:cs="Arial" w:eastAsia="Arial" w:hAnsi="Arial"/>
                <w:sz w:val="18"/>
                <w:szCs w:val="18"/>
                <w:color w:val="auto"/>
              </w:rPr>
              <w:t>3%</w:t>
            </w:r>
          </w:p>
        </w:tc>
        <w:tc>
          <w:tcPr>
            <w:tcW w:w="1020" w:type="dxa"/>
            <w:vAlign w:val="bottom"/>
          </w:tcPr>
          <w:p>
            <w:pPr>
              <w:ind w:left="20"/>
              <w:spacing w:after="0"/>
              <w:rPr>
                <w:sz w:val="20"/>
                <w:szCs w:val="20"/>
                <w:color w:val="auto"/>
              </w:rPr>
            </w:pPr>
            <w:r>
              <w:rPr>
                <w:rFonts w:ascii="Arial" w:cs="Arial" w:eastAsia="Arial" w:hAnsi="Arial"/>
                <w:sz w:val="18"/>
                <w:szCs w:val="18"/>
                <w:color w:val="auto"/>
              </w:rPr>
              <w:t>- 5%</w:t>
            </w:r>
          </w:p>
        </w:tc>
      </w:tr>
      <w:tr>
        <w:trPr>
          <w:trHeight w:val="297"/>
        </w:trPr>
        <w:tc>
          <w:tcPr>
            <w:tcW w:w="7060" w:type="dxa"/>
            <w:vAlign w:val="bottom"/>
          </w:tcPr>
          <w:p>
            <w:pPr>
              <w:ind w:left="160"/>
              <w:spacing w:after="0"/>
              <w:rPr>
                <w:sz w:val="20"/>
                <w:szCs w:val="20"/>
                <w:color w:val="auto"/>
              </w:rPr>
            </w:pPr>
            <w:r>
              <w:rPr>
                <w:rFonts w:ascii="Arial" w:cs="Arial" w:eastAsia="Arial" w:hAnsi="Arial"/>
                <w:sz w:val="18"/>
                <w:szCs w:val="18"/>
                <w:color w:val="auto"/>
              </w:rPr>
              <w:t>Neuromodulation</w:t>
            </w:r>
          </w:p>
        </w:tc>
        <w:tc>
          <w:tcPr>
            <w:tcW w:w="3940" w:type="dxa"/>
            <w:vAlign w:val="bottom"/>
            <w:gridSpan w:val="2"/>
          </w:tcPr>
          <w:p>
            <w:pPr>
              <w:jc w:val="center"/>
              <w:ind w:left="1930"/>
              <w:spacing w:after="0"/>
              <w:rPr>
                <w:sz w:val="20"/>
                <w:szCs w:val="20"/>
                <w:color w:val="auto"/>
              </w:rPr>
            </w:pPr>
            <w:r>
              <w:rPr>
                <w:rFonts w:ascii="Arial" w:cs="Arial" w:eastAsia="Arial" w:hAnsi="Arial"/>
                <w:sz w:val="18"/>
                <w:szCs w:val="18"/>
                <w:color w:val="auto"/>
                <w:w w:val="92"/>
              </w:rPr>
              <w:t>9% - 11%</w:t>
            </w:r>
          </w:p>
        </w:tc>
      </w:tr>
      <w:tr>
        <w:trPr>
          <w:trHeight w:val="297"/>
        </w:trPr>
        <w:tc>
          <w:tcPr>
            <w:tcW w:w="7060" w:type="dxa"/>
            <w:vAlign w:val="bottom"/>
          </w:tcPr>
          <w:p>
            <w:pPr>
              <w:ind w:left="160"/>
              <w:spacing w:after="0"/>
              <w:rPr>
                <w:sz w:val="20"/>
                <w:szCs w:val="20"/>
                <w:color w:val="auto"/>
              </w:rPr>
            </w:pPr>
            <w:r>
              <w:rPr>
                <w:rFonts w:ascii="Arial" w:cs="Arial" w:eastAsia="Arial" w:hAnsi="Arial"/>
                <w:sz w:val="18"/>
                <w:szCs w:val="18"/>
                <w:color w:val="auto"/>
              </w:rPr>
              <w:t>CRM</w:t>
            </w:r>
          </w:p>
        </w:tc>
        <w:tc>
          <w:tcPr>
            <w:tcW w:w="292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ind w:left="20"/>
              <w:spacing w:after="0"/>
              <w:rPr>
                <w:sz w:val="20"/>
                <w:szCs w:val="20"/>
                <w:color w:val="auto"/>
              </w:rPr>
            </w:pPr>
            <w:r>
              <w:rPr>
                <w:rFonts w:ascii="Arial" w:cs="Arial" w:eastAsia="Arial" w:hAnsi="Arial"/>
                <w:sz w:val="18"/>
                <w:szCs w:val="18"/>
                <w:color w:val="auto"/>
              </w:rPr>
              <w:t>- 2%</w:t>
            </w:r>
          </w:p>
        </w:tc>
      </w:tr>
      <w:tr>
        <w:trPr>
          <w:trHeight w:val="297"/>
        </w:trPr>
        <w:tc>
          <w:tcPr>
            <w:tcW w:w="7060" w:type="dxa"/>
            <w:vAlign w:val="bottom"/>
          </w:tcPr>
          <w:p>
            <w:pPr>
              <w:spacing w:after="0"/>
              <w:rPr>
                <w:sz w:val="20"/>
                <w:szCs w:val="20"/>
                <w:color w:val="auto"/>
              </w:rPr>
            </w:pPr>
            <w:r>
              <w:rPr>
                <w:rFonts w:ascii="Arial" w:cs="Arial" w:eastAsia="Arial" w:hAnsi="Arial"/>
                <w:sz w:val="18"/>
                <w:szCs w:val="18"/>
                <w:color w:val="auto"/>
              </w:rPr>
              <w:t>Adjusted gross profit (as a percentage of net sales)</w:t>
            </w:r>
          </w:p>
        </w:tc>
        <w:tc>
          <w:tcPr>
            <w:tcW w:w="2920" w:type="dxa"/>
            <w:vAlign w:val="bottom"/>
          </w:tcPr>
          <w:p>
            <w:pPr>
              <w:jc w:val="right"/>
              <w:spacing w:after="0"/>
              <w:rPr>
                <w:sz w:val="20"/>
                <w:szCs w:val="20"/>
                <w:color w:val="auto"/>
              </w:rPr>
            </w:pPr>
            <w:r>
              <w:rPr>
                <w:rFonts w:ascii="Arial" w:cs="Arial" w:eastAsia="Arial" w:hAnsi="Arial"/>
                <w:sz w:val="18"/>
                <w:szCs w:val="18"/>
                <w:color w:val="auto"/>
              </w:rPr>
              <w:t>64%</w:t>
            </w:r>
          </w:p>
        </w:tc>
        <w:tc>
          <w:tcPr>
            <w:tcW w:w="1020" w:type="dxa"/>
            <w:vAlign w:val="bottom"/>
          </w:tcPr>
          <w:p>
            <w:pPr>
              <w:ind w:left="20"/>
              <w:spacing w:after="0"/>
              <w:rPr>
                <w:sz w:val="20"/>
                <w:szCs w:val="20"/>
                <w:color w:val="auto"/>
              </w:rPr>
            </w:pPr>
            <w:r>
              <w:rPr>
                <w:rFonts w:ascii="Arial" w:cs="Arial" w:eastAsia="Arial" w:hAnsi="Arial"/>
                <w:sz w:val="18"/>
                <w:szCs w:val="18"/>
                <w:color w:val="auto"/>
              </w:rPr>
              <w:t>- 65%</w:t>
            </w:r>
          </w:p>
        </w:tc>
      </w:tr>
      <w:tr>
        <w:trPr>
          <w:trHeight w:val="297"/>
        </w:trPr>
        <w:tc>
          <w:tcPr>
            <w:tcW w:w="7060" w:type="dxa"/>
            <w:vAlign w:val="bottom"/>
          </w:tcPr>
          <w:p>
            <w:pPr>
              <w:spacing w:after="0"/>
              <w:rPr>
                <w:sz w:val="20"/>
                <w:szCs w:val="20"/>
                <w:color w:val="auto"/>
              </w:rPr>
            </w:pPr>
            <w:r>
              <w:rPr>
                <w:rFonts w:ascii="Arial" w:cs="Arial" w:eastAsia="Arial" w:hAnsi="Arial"/>
                <w:sz w:val="18"/>
                <w:szCs w:val="18"/>
                <w:color w:val="auto"/>
              </w:rPr>
              <w:t>Adjusted R&amp;D expenses as a percentage of sales</w:t>
            </w:r>
          </w:p>
        </w:tc>
        <w:tc>
          <w:tcPr>
            <w:tcW w:w="2920" w:type="dxa"/>
            <w:vAlign w:val="bottom"/>
          </w:tcPr>
          <w:p>
            <w:pPr>
              <w:jc w:val="right"/>
              <w:spacing w:after="0"/>
              <w:rPr>
                <w:sz w:val="20"/>
                <w:szCs w:val="20"/>
                <w:color w:val="auto"/>
              </w:rPr>
            </w:pPr>
            <w:r>
              <w:rPr>
                <w:rFonts w:ascii="Arial" w:cs="Arial" w:eastAsia="Arial" w:hAnsi="Arial"/>
                <w:sz w:val="18"/>
                <w:szCs w:val="18"/>
                <w:color w:val="auto"/>
              </w:rPr>
              <w:t>11%</w:t>
            </w:r>
          </w:p>
        </w:tc>
        <w:tc>
          <w:tcPr>
            <w:tcW w:w="1020" w:type="dxa"/>
            <w:vAlign w:val="bottom"/>
          </w:tcPr>
          <w:p>
            <w:pPr>
              <w:ind w:left="20"/>
              <w:spacing w:after="0"/>
              <w:rPr>
                <w:sz w:val="20"/>
                <w:szCs w:val="20"/>
                <w:color w:val="auto"/>
              </w:rPr>
            </w:pPr>
            <w:r>
              <w:rPr>
                <w:rFonts w:ascii="Arial" w:cs="Arial" w:eastAsia="Arial" w:hAnsi="Arial"/>
                <w:sz w:val="18"/>
                <w:szCs w:val="18"/>
                <w:color w:val="auto"/>
              </w:rPr>
              <w:t>- 12%</w:t>
            </w:r>
          </w:p>
        </w:tc>
      </w:tr>
      <w:tr>
        <w:trPr>
          <w:trHeight w:val="297"/>
        </w:trPr>
        <w:tc>
          <w:tcPr>
            <w:tcW w:w="7060" w:type="dxa"/>
            <w:vAlign w:val="bottom"/>
          </w:tcPr>
          <w:p>
            <w:pPr>
              <w:spacing w:after="0"/>
              <w:rPr>
                <w:sz w:val="20"/>
                <w:szCs w:val="20"/>
                <w:color w:val="auto"/>
              </w:rPr>
            </w:pPr>
            <w:r>
              <w:rPr>
                <w:rFonts w:ascii="Arial" w:cs="Arial" w:eastAsia="Arial" w:hAnsi="Arial"/>
                <w:sz w:val="18"/>
                <w:szCs w:val="18"/>
                <w:color w:val="auto"/>
              </w:rPr>
              <w:t>Adjusted income from operations</w:t>
            </w:r>
          </w:p>
        </w:tc>
        <w:tc>
          <w:tcPr>
            <w:tcW w:w="3940" w:type="dxa"/>
            <w:vAlign w:val="bottom"/>
            <w:gridSpan w:val="2"/>
          </w:tcPr>
          <w:p>
            <w:pPr>
              <w:jc w:val="center"/>
              <w:ind w:left="1930"/>
              <w:spacing w:after="0"/>
              <w:rPr>
                <w:sz w:val="20"/>
                <w:szCs w:val="20"/>
                <w:color w:val="auto"/>
              </w:rPr>
            </w:pPr>
            <w:r>
              <w:rPr>
                <w:rFonts w:ascii="Arial" w:cs="Arial" w:eastAsia="Arial" w:hAnsi="Arial"/>
                <w:sz w:val="18"/>
                <w:szCs w:val="18"/>
                <w:color w:val="auto"/>
                <w:w w:val="94"/>
              </w:rPr>
              <w:t>$205 - $230 million</w:t>
            </w:r>
          </w:p>
        </w:tc>
      </w:tr>
      <w:tr>
        <w:trPr>
          <w:trHeight w:val="297"/>
        </w:trPr>
        <w:tc>
          <w:tcPr>
            <w:tcW w:w="7060" w:type="dxa"/>
            <w:vAlign w:val="bottom"/>
          </w:tcPr>
          <w:p>
            <w:pPr>
              <w:spacing w:after="0"/>
              <w:rPr>
                <w:sz w:val="20"/>
                <w:szCs w:val="20"/>
                <w:color w:val="auto"/>
              </w:rPr>
            </w:pPr>
            <w:r>
              <w:rPr>
                <w:rFonts w:ascii="Arial" w:cs="Arial" w:eastAsia="Arial" w:hAnsi="Arial"/>
                <w:sz w:val="18"/>
                <w:szCs w:val="18"/>
                <w:color w:val="auto"/>
              </w:rPr>
              <w:t>Finance cost and losses on minority investments</w:t>
            </w:r>
          </w:p>
        </w:tc>
        <w:tc>
          <w:tcPr>
            <w:tcW w:w="3940" w:type="dxa"/>
            <w:vAlign w:val="bottom"/>
            <w:gridSpan w:val="2"/>
          </w:tcPr>
          <w:p>
            <w:pPr>
              <w:jc w:val="center"/>
              <w:ind w:left="1930"/>
              <w:spacing w:after="0"/>
              <w:rPr>
                <w:sz w:val="20"/>
                <w:szCs w:val="20"/>
                <w:color w:val="auto"/>
              </w:rPr>
            </w:pPr>
            <w:r>
              <w:rPr>
                <w:rFonts w:ascii="Arial" w:cs="Arial" w:eastAsia="Arial" w:hAnsi="Arial"/>
                <w:sz w:val="18"/>
                <w:szCs w:val="18"/>
                <w:color w:val="auto"/>
                <w:w w:val="96"/>
              </w:rPr>
              <w:t>~$20 million - $25 million</w:t>
            </w:r>
          </w:p>
        </w:tc>
      </w:tr>
      <w:tr>
        <w:trPr>
          <w:trHeight w:val="297"/>
        </w:trPr>
        <w:tc>
          <w:tcPr>
            <w:tcW w:w="7060" w:type="dxa"/>
            <w:vAlign w:val="bottom"/>
          </w:tcPr>
          <w:p>
            <w:pPr>
              <w:spacing w:after="0"/>
              <w:rPr>
                <w:sz w:val="20"/>
                <w:szCs w:val="20"/>
                <w:color w:val="auto"/>
              </w:rPr>
            </w:pPr>
            <w:r>
              <w:rPr>
                <w:rFonts w:ascii="Arial" w:cs="Arial" w:eastAsia="Arial" w:hAnsi="Arial"/>
                <w:sz w:val="18"/>
                <w:szCs w:val="18"/>
                <w:color w:val="auto"/>
              </w:rPr>
              <w:t>Adjusted effective tax rate</w:t>
            </w:r>
          </w:p>
        </w:tc>
        <w:tc>
          <w:tcPr>
            <w:tcW w:w="2920" w:type="dxa"/>
            <w:vAlign w:val="bottom"/>
          </w:tcPr>
          <w:p>
            <w:pPr>
              <w:jc w:val="right"/>
              <w:spacing w:after="0"/>
              <w:rPr>
                <w:sz w:val="20"/>
                <w:szCs w:val="20"/>
                <w:color w:val="auto"/>
              </w:rPr>
            </w:pPr>
            <w:r>
              <w:rPr>
                <w:rFonts w:ascii="Arial" w:cs="Arial" w:eastAsia="Arial" w:hAnsi="Arial"/>
                <w:sz w:val="18"/>
                <w:szCs w:val="18"/>
                <w:color w:val="auto"/>
              </w:rPr>
              <w:t>24%</w:t>
            </w:r>
          </w:p>
        </w:tc>
        <w:tc>
          <w:tcPr>
            <w:tcW w:w="1020" w:type="dxa"/>
            <w:vAlign w:val="bottom"/>
          </w:tcPr>
          <w:p>
            <w:pPr>
              <w:ind w:left="20"/>
              <w:spacing w:after="0"/>
              <w:rPr>
                <w:sz w:val="20"/>
                <w:szCs w:val="20"/>
                <w:color w:val="auto"/>
              </w:rPr>
            </w:pPr>
            <w:r>
              <w:rPr>
                <w:rFonts w:ascii="Arial" w:cs="Arial" w:eastAsia="Arial" w:hAnsi="Arial"/>
                <w:sz w:val="18"/>
                <w:szCs w:val="18"/>
                <w:color w:val="auto"/>
              </w:rPr>
              <w:t>- 26%</w:t>
            </w:r>
          </w:p>
        </w:tc>
      </w:tr>
      <w:tr>
        <w:trPr>
          <w:trHeight w:val="297"/>
        </w:trPr>
        <w:tc>
          <w:tcPr>
            <w:tcW w:w="7060" w:type="dxa"/>
            <w:vAlign w:val="bottom"/>
          </w:tcPr>
          <w:p>
            <w:pPr>
              <w:spacing w:after="0"/>
              <w:rPr>
                <w:sz w:val="20"/>
                <w:szCs w:val="20"/>
                <w:color w:val="auto"/>
              </w:rPr>
            </w:pPr>
            <w:r>
              <w:rPr>
                <w:rFonts w:ascii="Arial" w:cs="Arial" w:eastAsia="Arial" w:hAnsi="Arial"/>
                <w:sz w:val="18"/>
                <w:szCs w:val="18"/>
                <w:color w:val="auto"/>
              </w:rPr>
              <w:t>Adjusted earnings per share (excluding equity compensation expense)</w:t>
            </w:r>
          </w:p>
        </w:tc>
        <w:tc>
          <w:tcPr>
            <w:tcW w:w="3940" w:type="dxa"/>
            <w:vAlign w:val="bottom"/>
            <w:gridSpan w:val="2"/>
          </w:tcPr>
          <w:p>
            <w:pPr>
              <w:jc w:val="center"/>
              <w:ind w:left="1930"/>
              <w:spacing w:after="0"/>
              <w:rPr>
                <w:sz w:val="20"/>
                <w:szCs w:val="20"/>
                <w:color w:val="auto"/>
              </w:rPr>
            </w:pPr>
            <w:r>
              <w:rPr>
                <w:rFonts w:ascii="Arial" w:cs="Arial" w:eastAsia="Arial" w:hAnsi="Arial"/>
                <w:sz w:val="18"/>
                <w:szCs w:val="18"/>
                <w:color w:val="auto"/>
                <w:w w:val="90"/>
              </w:rPr>
              <w:t>$2.95 to $3.15</w:t>
            </w:r>
          </w:p>
        </w:tc>
      </w:tr>
      <w:tr>
        <w:trPr>
          <w:trHeight w:val="297"/>
        </w:trPr>
        <w:tc>
          <w:tcPr>
            <w:tcW w:w="7060" w:type="dxa"/>
            <w:vAlign w:val="bottom"/>
          </w:tcPr>
          <w:p>
            <w:pPr>
              <w:spacing w:after="0"/>
              <w:rPr>
                <w:sz w:val="20"/>
                <w:szCs w:val="20"/>
                <w:color w:val="auto"/>
              </w:rPr>
            </w:pPr>
            <w:r>
              <w:rPr>
                <w:rFonts w:ascii="Arial" w:cs="Arial" w:eastAsia="Arial" w:hAnsi="Arial"/>
                <w:sz w:val="18"/>
                <w:szCs w:val="18"/>
                <w:color w:val="auto"/>
              </w:rPr>
              <w:t>Number of fully diluted shares</w:t>
            </w:r>
          </w:p>
        </w:tc>
        <w:tc>
          <w:tcPr>
            <w:tcW w:w="3940" w:type="dxa"/>
            <w:vAlign w:val="bottom"/>
            <w:gridSpan w:val="2"/>
          </w:tcPr>
          <w:p>
            <w:pPr>
              <w:jc w:val="center"/>
              <w:ind w:left="1930"/>
              <w:spacing w:after="0"/>
              <w:rPr>
                <w:sz w:val="20"/>
                <w:szCs w:val="20"/>
                <w:color w:val="auto"/>
              </w:rPr>
            </w:pPr>
            <w:r>
              <w:rPr>
                <w:rFonts w:ascii="Arial" w:cs="Arial" w:eastAsia="Arial" w:hAnsi="Arial"/>
                <w:sz w:val="18"/>
                <w:szCs w:val="18"/>
                <w:color w:val="auto"/>
                <w:w w:val="97"/>
              </w:rPr>
              <w:t>~50 million</w:t>
            </w:r>
          </w:p>
        </w:tc>
      </w:tr>
      <w:tr>
        <w:trPr>
          <w:trHeight w:val="297"/>
        </w:trPr>
        <w:tc>
          <w:tcPr>
            <w:tcW w:w="7060" w:type="dxa"/>
            <w:vAlign w:val="bottom"/>
          </w:tcPr>
          <w:p>
            <w:pPr>
              <w:spacing w:after="0"/>
              <w:rPr>
                <w:sz w:val="20"/>
                <w:szCs w:val="20"/>
                <w:color w:val="auto"/>
              </w:rPr>
            </w:pPr>
            <w:r>
              <w:rPr>
                <w:rFonts w:ascii="Arial" w:cs="Arial" w:eastAsia="Arial" w:hAnsi="Arial"/>
                <w:sz w:val="18"/>
                <w:szCs w:val="18"/>
                <w:color w:val="auto"/>
              </w:rPr>
              <w:t>Adjusted EBITDA</w:t>
            </w:r>
          </w:p>
        </w:tc>
        <w:tc>
          <w:tcPr>
            <w:tcW w:w="3940" w:type="dxa"/>
            <w:vAlign w:val="bottom"/>
            <w:gridSpan w:val="2"/>
          </w:tcPr>
          <w:p>
            <w:pPr>
              <w:jc w:val="center"/>
              <w:ind w:left="1930"/>
              <w:spacing w:after="0"/>
              <w:rPr>
                <w:sz w:val="20"/>
                <w:szCs w:val="20"/>
                <w:color w:val="auto"/>
              </w:rPr>
            </w:pPr>
            <w:r>
              <w:rPr>
                <w:rFonts w:ascii="Arial" w:cs="Arial" w:eastAsia="Arial" w:hAnsi="Arial"/>
                <w:sz w:val="18"/>
                <w:szCs w:val="18"/>
                <w:color w:val="auto"/>
                <w:w w:val="94"/>
              </w:rPr>
              <w:t>$235 - $260 million</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hanging="138"/>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financial measures are considered non-GAAP.</w:t>
      </w:r>
    </w:p>
    <w:p>
      <w:pPr>
        <w:spacing w:after="0" w:line="387" w:lineRule="exact"/>
        <w:rPr>
          <w:rFonts w:ascii="Arial" w:cs="Arial" w:eastAsia="Arial" w:hAnsi="Arial"/>
          <w:sz w:val="18"/>
          <w:szCs w:val="18"/>
          <w:color w:val="auto"/>
        </w:rPr>
      </w:pPr>
    </w:p>
    <w:p>
      <w:pPr>
        <w:ind w:left="60" w:firstLine="2"/>
        <w:spacing w:after="0" w:line="277" w:lineRule="auto"/>
        <w:tabs>
          <w:tab w:leader="none" w:pos="1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expects substantial one-time expenses in its reported financial statements during 2016 related to the recent merger, including for purchase price accounting, amortization, merger, integration and restructuring expenses, and other one-time payments.</w:t>
      </w:r>
    </w:p>
    <w:p>
      <w:pPr>
        <w:spacing w:after="0" w:line="332" w:lineRule="exact"/>
        <w:rPr>
          <w:rFonts w:ascii="Arial" w:cs="Arial" w:eastAsia="Arial" w:hAnsi="Arial"/>
          <w:sz w:val="18"/>
          <w:szCs w:val="18"/>
          <w:color w:val="auto"/>
        </w:rPr>
      </w:pPr>
    </w:p>
    <w:p>
      <w:pPr>
        <w:ind w:left="60" w:right="120" w:firstLine="2"/>
        <w:spacing w:after="0" w:line="264" w:lineRule="auto"/>
        <w:tabs>
          <w:tab w:leader="none" w:pos="1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non-GAAP income from operations, adjusted non-GAAP net income and adjusted non-GAAP diluted earnings per share exclude expenses relating to purchase price accounting, amortization, merger, integration and restructuring expenses, other one-time payments, tax adjustments and equity compensation expense.</w:t>
      </w:r>
    </w:p>
    <w:p>
      <w:pPr>
        <w:spacing w:after="0" w:line="343" w:lineRule="exact"/>
        <w:rPr>
          <w:rFonts w:ascii="Arial" w:cs="Arial" w:eastAsia="Arial" w:hAnsi="Arial"/>
          <w:sz w:val="18"/>
          <w:szCs w:val="18"/>
          <w:color w:val="auto"/>
        </w:rPr>
      </w:pPr>
    </w:p>
    <w:p>
      <w:pPr>
        <w:ind w:left="200" w:hanging="138"/>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Euro/Dollar exchange rate of $1.10.</w:t>
      </w:r>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17</w:t>
      </w:r>
    </w:p>
    <w:sectPr>
      <w:pgSz w:w="11900" w:h="16838" w:orient="portrait"/>
      <w:cols w:equalWidth="0" w:num="1">
        <w:col w:w="11160"/>
      </w:cols>
      <w:pgMar w:left="24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6"/>
      <w:numFmt w:val="bullet"/>
      <w:start w:val="1"/>
    </w:lvl>
  </w:abstractNum>
  <w:abstractNum w:abstractNumId="6">
    <w:nsid w:val="4DB127F8"/>
    <w:multiLevelType w:val="hybridMultilevel"/>
    <w:lvl w:ilvl="0">
      <w:lvlJc w:val="left"/>
      <w:lvlText w:val="7"/>
      <w:numFmt w:val="bullet"/>
      <w:start w:val="1"/>
    </w:lvl>
  </w:abstractNum>
  <w:abstractNum w:abstractNumId="7">
    <w:nsid w:val="216231B"/>
    <w:multiLevelType w:val="hybridMultilevel"/>
    <w:lvl w:ilvl="0">
      <w:lvlJc w:val="left"/>
      <w:lvlText w:val="8"/>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bullet"/>
      <w:start w:val="1"/>
    </w:lvl>
  </w:abstractNum>
  <w:abstractNum w:abstractNumId="11">
    <w:nsid w:val="140E0F76"/>
    <w:multiLevelType w:val="hybridMultilevel"/>
    <w:lvl w:ilvl="0">
      <w:lvlJc w:val="left"/>
      <w:lvlText w:val="%1"/>
      <w:numFmt w:val="decimal"/>
      <w:start w:val="13"/>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2019-12-09T02:16:02Z</dcterms:created>
  <dcterms:modified xsi:type="dcterms:W3CDTF">2019-12-09T02:16:02Z</dcterms:modified>
</cp:coreProperties>
</file>