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05572.xml.htm"/>
      <w:bookmarkStart w:id="1" w:name="kswkform4_17660055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Hutchinson Michael Damon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CLO and Company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91"/>
        <w:gridCol w:w="457"/>
        <w:gridCol w:w="756"/>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2,254</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1,122</w:t>
            </w:r>
            <w:r>
              <w:rPr>
                <w:rFonts w:ascii="Times;serif" w:hAnsi="Times;serif"/>
                <w:color w:val="008000"/>
                <w:position w:val="7"/>
                <w:sz w:val="16"/>
                <w:sz w:val="20"/>
                <w:shd w:fill="FFFFFF" w:val="clear"/>
              </w:rPr>
              <w:t>(2)</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63.06</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6,798</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GBP 1.00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ordinary share of the Company, GBP 1.00 par value, in accordance with the terms of the LivaNova PLC 2022 Incentive Award Plan (the "Plan") and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December 15, 2022, reporting person was granted RSUs subject to a four-year vesting schedule, the third vesting for which occurred on December 15, 2025. The RSUs are subject to forfeiture prior to vesting in accordance with the terms of the Plan and the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6626"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3753</Characters>
  <CharactersWithSpaces>4374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