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40" w:before="66" w:after="283"/>
        <w:jc w:val="center"/>
        <w:rPr>
          <w:rFonts w:ascii="Times New Roman;sans-serif" w:hAnsi="Times New Roman;sans-serif"/>
          <w:b/>
          <w:color w:val="000000"/>
          <w:sz w:val="18"/>
        </w:rPr>
      </w:pPr>
      <w:r>
        <w:rPr>
          <w:rFonts w:ascii="Times New Roman;sans-serif" w:hAnsi="Times New Roman;sans-serif"/>
          <w:b/>
          <w:color w:val="000000"/>
          <w:sz w:val="18"/>
        </w:rPr>
        <w:t>As filed with the Securities and Exchange Commission on May 31, 2023</w:t>
      </w:r>
    </w:p>
    <w:p>
      <w:pPr>
        <w:pStyle w:val="TextBody"/>
        <w:bidi w:val="0"/>
        <w:spacing w:lineRule="auto" w:line="240" w:before="119" w:after="283"/>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40" w:before="26" w:after="283"/>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40" w:before="4" w:after="283"/>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before="2" w:after="283"/>
        <w:jc w:val="center"/>
        <w:rPr/>
      </w:pPr>
      <w:r>
        <w:rPr/>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FORM SD</w:t>
      </w:r>
    </w:p>
    <w:p>
      <w:pPr>
        <w:pStyle w:val="TextBody"/>
        <w:bidi w:val="0"/>
        <w:spacing w:lineRule="auto" w:line="240" w:before="26" w:after="283"/>
        <w:jc w:val="center"/>
        <w:rPr>
          <w:rFonts w:ascii="Times New Roman;sans-serif" w:hAnsi="Times New Roman;sans-serif"/>
          <w:b/>
          <w:color w:val="000000"/>
          <w:sz w:val="18"/>
        </w:rPr>
      </w:pPr>
      <w:r>
        <w:rPr>
          <w:rFonts w:ascii="Times New Roman;sans-serif" w:hAnsi="Times New Roman;sans-serif"/>
          <w:b/>
          <w:color w:val="000000"/>
          <w:sz w:val="18"/>
        </w:rPr>
        <w:t>Specialized Disclosure Report</w:t>
      </w:r>
    </w:p>
    <w:p>
      <w:pPr>
        <w:pStyle w:val="TextBody"/>
        <w:bidi w:val="0"/>
        <w:spacing w:before="5" w:after="283"/>
        <w:jc w:val="center"/>
        <w:rPr/>
      </w:pPr>
      <w:r>
        <w:rPr/>
      </w:r>
    </w:p>
    <w:p>
      <w:pPr>
        <w:pStyle w:val="TextBody"/>
        <w:bidi w:val="0"/>
        <w:spacing w:before="0" w:after="0"/>
        <w:jc w:val="center"/>
        <w:rPr/>
      </w:pPr>
      <w:r>
        <w:rPr/>
        <w:drawing>
          <wp:inline distT="0" distB="0" distL="0" distR="0">
            <wp:extent cx="21240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609600"/>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LivaNova PLC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803" w:type="dxa"/>
        <w:jc w:val="center"/>
        <w:tblInd w:w="0" w:type="dxa"/>
        <w:tblLayout w:type="fixed"/>
        <w:tblCellMar>
          <w:top w:w="28" w:type="dxa"/>
          <w:left w:w="28" w:type="dxa"/>
          <w:bottom w:w="28" w:type="dxa"/>
          <w:right w:w="28" w:type="dxa"/>
        </w:tblCellMar>
      </w:tblPr>
      <w:tblGrid>
        <w:gridCol w:w="1570"/>
        <w:gridCol w:w="1378"/>
        <w:gridCol w:w="1387"/>
        <w:gridCol w:w="689"/>
        <w:gridCol w:w="689"/>
        <w:gridCol w:w="691"/>
        <w:gridCol w:w="701"/>
        <w:gridCol w:w="701"/>
        <w:gridCol w:w="997"/>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76" w:after="283"/>
              <w:jc w:val="center"/>
              <w:rPr>
                <w:rFonts w:ascii="Times New Roman;sans-serif" w:hAnsi="Times New Roman;sans-serif"/>
                <w:b/>
                <w:color w:val="000000"/>
                <w:sz w:val="18"/>
              </w:rPr>
            </w:pPr>
            <w:r>
              <w:rPr>
                <w:rFonts w:ascii="Times New Roman;sans-serif" w:hAnsi="Times New Roman;sans-serif"/>
                <w:b/>
                <w:color w:val="000000"/>
                <w:sz w:val="18"/>
              </w:rPr>
              <w:t>England and Wales</w:t>
            </w:r>
          </w:p>
          <w:p>
            <w:pPr>
              <w:pStyle w:val="TableContents"/>
              <w:bidi w:val="0"/>
              <w:spacing w:lineRule="auto" w:line="240" w:before="64" w:after="283"/>
              <w:jc w:val="center"/>
              <w:rPr/>
            </w:pPr>
            <w:r>
              <w:rPr>
                <w:rFonts w:ascii="Times New Roman;sans-serif" w:hAnsi="Times New Roman;sans-serif"/>
                <w:b w:val="false"/>
                <w:color w:val="000000"/>
                <w:sz w:val="18"/>
              </w:rPr>
              <w:t>(State or other jurisdiction of</w:t>
            </w:r>
            <w:r>
              <w:rPr>
                <w:color w:val="000000"/>
              </w:rPr>
              <w:t xml:space="preserve"> </w:t>
            </w:r>
            <w:r>
              <w:rPr>
                <w:rFonts w:ascii="Times New Roman;sans-serif" w:hAnsi="Times New Roman;sans-serif"/>
                <w:b w:val="false"/>
                <w:color w:val="000000"/>
                <w:sz w:val="18"/>
              </w:rPr>
              <w:t>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76" w:after="283"/>
              <w:jc w:val="center"/>
              <w:rPr>
                <w:rFonts w:ascii="Times New Roman;sans-serif" w:hAnsi="Times New Roman;sans-serif"/>
                <w:b/>
                <w:color w:val="000000"/>
                <w:sz w:val="18"/>
              </w:rPr>
            </w:pPr>
            <w:r>
              <w:rPr>
                <w:rFonts w:ascii="Times New Roman;sans-serif" w:hAnsi="Times New Roman;sans-serif"/>
                <w:b/>
                <w:color w:val="000000"/>
                <w:sz w:val="18"/>
              </w:rPr>
              <w:t>001-37599</w:t>
            </w:r>
          </w:p>
          <w:p>
            <w:pPr>
              <w:pStyle w:val="TableContents"/>
              <w:bidi w:val="0"/>
              <w:spacing w:lineRule="auto" w:line="240" w:before="8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2399" w:type="dxa"/>
            <w:gridSpan w:val="3"/>
            <w:tcBorders/>
            <w:tcMar>
              <w:top w:w="0" w:type="dxa"/>
              <w:left w:w="0" w:type="dxa"/>
              <w:bottom w:w="0" w:type="dxa"/>
              <w:right w:w="0" w:type="dxa"/>
            </w:tcMar>
            <w:vAlign w:val="center"/>
          </w:tcPr>
          <w:p>
            <w:pPr>
              <w:pStyle w:val="TableContents"/>
              <w:bidi w:val="0"/>
              <w:spacing w:lineRule="auto" w:line="240" w:before="76" w:after="283"/>
              <w:jc w:val="center"/>
              <w:rPr>
                <w:rFonts w:ascii="Times New Roman;sans-serif" w:hAnsi="Times New Roman;sans-serif"/>
                <w:b/>
                <w:color w:val="000000"/>
                <w:sz w:val="18"/>
              </w:rPr>
            </w:pPr>
            <w:r>
              <w:rPr>
                <w:rFonts w:ascii="Times New Roman;sans-serif" w:hAnsi="Times New Roman;sans-serif"/>
                <w:b/>
                <w:color w:val="000000"/>
                <w:sz w:val="18"/>
              </w:rPr>
              <w:t>98-1268150</w:t>
            </w:r>
          </w:p>
          <w:p>
            <w:pPr>
              <w:pStyle w:val="TableContents"/>
              <w:bidi w:val="0"/>
              <w:spacing w:lineRule="auto" w:line="240" w:before="83" w:after="283"/>
              <w:jc w:val="center"/>
              <w:rPr/>
            </w:pPr>
            <w:r>
              <w:rPr>
                <w:rFonts w:ascii="Times New Roman;sans-serif" w:hAnsi="Times New Roman;sans-serif"/>
                <w:b w:val="false"/>
                <w:color w:val="000000"/>
                <w:sz w:val="18"/>
              </w:rPr>
              <w:t>(I.R.S. Employer Identification</w:t>
            </w:r>
            <w:r>
              <w:rPr>
                <w:rFonts w:ascii="Times New Roman;sans-serif" w:hAnsi="Times New Roman;sans-serif"/>
                <w:b/>
                <w:color w:val="000000"/>
                <w:sz w:val="18"/>
              </w:rPr>
              <w:t>)</w:t>
            </w:r>
          </w:p>
        </w:tc>
      </w:tr>
    </w:tbl>
    <w:p>
      <w:pPr>
        <w:pStyle w:val="TextBody"/>
        <w:bidi w:val="0"/>
        <w:spacing w:before="1" w:after="283"/>
        <w:jc w:val="left"/>
        <w:rPr/>
      </w:pPr>
      <w:r>
        <w:rPr/>
      </w:r>
    </w:p>
    <w:p>
      <w:pPr>
        <w:pStyle w:val="TextBody"/>
        <w:bidi w:val="0"/>
        <w:spacing w:lineRule="auto" w:line="244" w:before="97" w:after="283"/>
        <w:jc w:val="center"/>
        <w:rPr>
          <w:rFonts w:ascii="Times New Roman;sans-serif" w:hAnsi="Times New Roman;sans-serif"/>
          <w:b/>
          <w:color w:val="000000"/>
          <w:sz w:val="18"/>
        </w:rPr>
      </w:pPr>
      <w:r>
        <w:rPr>
          <w:rFonts w:ascii="Times New Roman;sans-serif" w:hAnsi="Times New Roman;sans-serif"/>
          <w:b/>
          <w:color w:val="000000"/>
          <w:sz w:val="18"/>
        </w:rPr>
        <w:t>20 Eastbourne Terrace London, United Kingdom W2 6LG</w:t>
      </w:r>
    </w:p>
    <w:p>
      <w:pPr>
        <w:pStyle w:val="TextBody"/>
        <w:bidi w:val="0"/>
        <w:spacing w:lineRule="auto" w:line="240" w:before="1" w:after="283"/>
        <w:ind w:left="0" w:right="0" w:hanging="102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316" w:before="145" w:after="283"/>
        <w:ind w:left="0" w:right="0" w:firstLine="60"/>
        <w:jc w:val="center"/>
        <w:rPr>
          <w:rFonts w:ascii="Times New Roman;sans-serif" w:hAnsi="Times New Roman;sans-serif"/>
          <w:b/>
          <w:color w:val="000000"/>
          <w:sz w:val="18"/>
        </w:rPr>
      </w:pPr>
      <w:r>
        <w:rPr>
          <w:rFonts w:ascii="Times New Roman;sans-serif" w:hAnsi="Times New Roman;sans-serif"/>
          <w:b/>
          <w:color w:val="000000"/>
          <w:sz w:val="18"/>
        </w:rPr>
        <w:t>Michael Hutchinson Company Secretary</w:t>
      </w:r>
    </w:p>
    <w:p>
      <w:pPr>
        <w:pStyle w:val="TextBody"/>
        <w:bidi w:val="0"/>
        <w:spacing w:lineRule="auto" w:line="237" w:before="0" w:after="0"/>
        <w:jc w:val="center"/>
        <w:rPr>
          <w:rFonts w:ascii="Times New Roman;sans-serif" w:hAnsi="Times New Roman;sans-serif"/>
          <w:b/>
          <w:color w:val="000000"/>
          <w:sz w:val="18"/>
        </w:rPr>
      </w:pPr>
      <w:r>
        <w:rPr>
          <w:rFonts w:ascii="Times New Roman;sans-serif" w:hAnsi="Times New Roman;sans-serif"/>
          <w:b/>
          <w:color w:val="000000"/>
          <w:sz w:val="18"/>
        </w:rPr>
        <w:t>+ 44 (0) 203 325 0665</w:t>
      </w:r>
    </w:p>
    <w:p>
      <w:pPr>
        <w:pStyle w:val="TextBody"/>
        <w:bidi w:val="0"/>
        <w:spacing w:before="8" w:after="283"/>
        <w:jc w:val="center"/>
        <w:rPr/>
      </w:pPr>
      <w:r>
        <w:rPr/>
      </w:r>
    </w:p>
    <w:p>
      <w:pPr>
        <w:pStyle w:val="TextBody"/>
        <w:bidi w:val="0"/>
        <w:spacing w:lineRule="auto" w:line="544" w:before="0" w:after="0"/>
        <w:ind w:left="0" w:right="0" w:firstLine="1819"/>
        <w:jc w:val="center"/>
        <w:rPr>
          <w:rFonts w:ascii="Times New Roman;sans-serif" w:hAnsi="Times New Roman;sans-serif"/>
          <w:b w:val="false"/>
          <w:color w:val="000000"/>
          <w:sz w:val="18"/>
        </w:rPr>
      </w:pPr>
      <w:r>
        <w:rPr>
          <w:rFonts w:ascii="Times New Roman;sans-serif" w:hAnsi="Times New Roman;sans-serif"/>
          <w:b w:val="false"/>
          <w:color w:val="000000"/>
          <w:sz w:val="18"/>
        </w:rPr>
        <w:t>(Name and telephone number, including area code, of the person to contact in connection with this report) Check the appropriate box to indicate the rule pursuant to which this form is being filed:</w:t>
      </w:r>
    </w:p>
    <w:p>
      <w:pPr>
        <w:pStyle w:val="TextBody"/>
        <w:bidi w:val="0"/>
        <w:spacing w:lineRule="auto" w:line="256" w:before="0" w:after="0"/>
        <w:jc w:val="left"/>
        <w:rPr/>
      </w:pPr>
      <w:r>
        <w:rPr>
          <w:color w:val="000000"/>
        </w:rPr>
        <w:t>☒    </w:t>
      </w:r>
      <w:r>
        <w:rPr>
          <w:rFonts w:ascii="Times New Roman;sans-serif" w:hAnsi="Times New Roman;sans-serif"/>
          <w:b/>
          <w:color w:val="000000"/>
          <w:sz w:val="18"/>
        </w:rPr>
        <w:t>Rule 13p-1 under the Securities Exchange Act (17 CFR 240.13p-1) for the reporting period from January 1 to December 31, 2022.</w:t>
      </w:r>
    </w:p>
    <w:p>
      <w:pPr>
        <w:pStyle w:val="TextBody"/>
        <w:bidi w:val="0"/>
        <w:spacing w:before="4" w:after="283"/>
        <w:jc w:val="left"/>
        <w:rPr/>
      </w:pPr>
      <w:r>
        <w:rPr/>
      </w:r>
    </w:p>
    <w:p>
      <w:pPr>
        <w:pStyle w:val="TextBody"/>
        <w:bidi w:val="0"/>
        <w:spacing w:lineRule="auto" w:line="240" w:before="0" w:after="0"/>
        <w:ind w:left="0" w:right="0" w:hanging="518"/>
        <w:jc w:val="left"/>
        <w:rPr/>
      </w:pPr>
      <w:r>
        <w:rPr>
          <w:color w:val="000000"/>
        </w:rPr>
        <w:t>□</w:t>
      </w:r>
      <w:r>
        <w:rPr>
          <w:rFonts w:ascii="Times New Roman;sans-serif" w:hAnsi="Times New Roman;sans-serif"/>
          <w:b/>
          <w:color w:val="000000"/>
          <w:sz w:val="18"/>
        </w:rPr>
        <w:t>Rule 13q-1 under the Securities Exchange Act (17 CFR 240.13q-1) for the fiscal year 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56" w:after="283"/>
        <w:jc w:val="left"/>
        <w:rPr>
          <w:rFonts w:ascii="Times New Roman;sans-serif" w:hAnsi="Times New Roman;sans-serif"/>
          <w:b/>
          <w:color w:val="000000"/>
          <w:sz w:val="18"/>
        </w:rPr>
      </w:pPr>
      <w:r>
        <w:rPr>
          <w:rFonts w:ascii="Times New Roman;sans-serif" w:hAnsi="Times New Roman;sans-serif"/>
          <w:b/>
          <w:color w:val="000000"/>
          <w:sz w:val="18"/>
        </w:rPr>
        <w:t>Section 1 Conflict Minerals Disclosure</w:t>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Item 1.01 Conflict Minerals Disclosure and Report</w:t>
      </w:r>
    </w:p>
    <w:p>
      <w:pPr>
        <w:pStyle w:val="TextBody"/>
        <w:bidi w:val="0"/>
        <w:spacing w:lineRule="auto" w:line="343" w:before="105" w:after="283"/>
        <w:ind w:left="0" w:right="0" w:firstLine="648"/>
        <w:jc w:val="left"/>
        <w:rPr>
          <w:rFonts w:ascii="Times New Roman;sans-serif" w:hAnsi="Times New Roman;sans-serif"/>
          <w:b w:val="false"/>
          <w:color w:val="000000"/>
          <w:sz w:val="18"/>
        </w:rPr>
      </w:pPr>
      <w:r>
        <w:rPr>
          <w:rFonts w:ascii="Times New Roman;sans-serif" w:hAnsi="Times New Roman;sans-serif"/>
          <w:b w:val="false"/>
          <w:color w:val="000000"/>
          <w:sz w:val="18"/>
        </w:rPr>
        <w:t>LivaNova Plc (collectively with its subsidiaries, the “Company” or “LivaNova”) is filing this Specialized Disclosure report on Form SD (this “Form SD”) for LivaNova’s supply chain operations for the year ended December 31, 2022. This Form SD is presented in compliance with Rule 13p-1 under the Securities Exchange Act of 1934, as amended, for the reporting period from January 1, 2022 to December 31, 2022.</w:t>
      </w:r>
    </w:p>
    <w:p>
      <w:pPr>
        <w:pStyle w:val="TextBody"/>
        <w:bidi w:val="0"/>
        <w:spacing w:lineRule="auto" w:line="343" w:before="121" w:after="283"/>
        <w:ind w:left="0" w:right="0" w:firstLine="648"/>
        <w:jc w:val="left"/>
        <w:rPr/>
      </w:pPr>
      <w:r>
        <w:rPr>
          <w:rFonts w:ascii="Times New Roman;sans-serif" w:hAnsi="Times New Roman;sans-serif"/>
          <w:b w:val="false"/>
          <w:color w:val="000000"/>
          <w:sz w:val="18"/>
        </w:rPr>
        <w:t xml:space="preserve">A copy of LivaNova’s Conflict Minerals Report is filed as a part of this Form SD. A copy of this Form SD may also be found on the Company’s website at </w:t>
      </w:r>
      <w:r>
        <w:rPr>
          <w:rFonts w:ascii="Times New Roman;sans-serif" w:hAnsi="Times New Roman;sans-serif"/>
          <w:b w:val="false"/>
          <w:color w:val="0562C1"/>
          <w:sz w:val="18"/>
          <w:u w:val="single"/>
        </w:rPr>
        <w:t>https://investor.livanova.com/financial-information/sec-filings</w:t>
      </w:r>
      <w:r>
        <w:rPr>
          <w:rFonts w:ascii="Times New Roman;sans-serif" w:hAnsi="Times New Roman;sans-serif"/>
          <w:b w:val="false"/>
          <w:color w:val="000000"/>
          <w:sz w:val="18"/>
        </w:rPr>
        <w:t>.</w:t>
      </w:r>
    </w:p>
    <w:p>
      <w:pPr>
        <w:pStyle w:val="TextBody"/>
        <w:bidi w:val="0"/>
        <w:spacing w:lineRule="auto" w:line="240" w:before="121" w:after="283"/>
        <w:jc w:val="left"/>
        <w:rPr>
          <w:rFonts w:ascii="Times New Roman;sans-serif" w:hAnsi="Times New Roman;sans-serif"/>
          <w:b/>
          <w:color w:val="000000"/>
          <w:sz w:val="18"/>
        </w:rPr>
      </w:pPr>
      <w:r>
        <w:rPr>
          <w:rFonts w:ascii="Times New Roman;sans-serif" w:hAnsi="Times New Roman;sans-serif"/>
          <w:b/>
          <w:color w:val="000000"/>
          <w:sz w:val="18"/>
        </w:rPr>
        <w:t>Item 1.02 Exhibits</w:t>
      </w:r>
    </w:p>
    <w:p>
      <w:pPr>
        <w:pStyle w:val="TextBody"/>
        <w:bidi w:val="0"/>
        <w:spacing w:lineRule="auto" w:line="240"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LivaNova has filed as an exhibit to this Form SD, the Conflict Minerals Report required by Item 1.01.</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Section 2 Resource Extraction Issuer Disclosure</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Item 2.01 Resource Extraction Issuer Disclosure and Report</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Section 3 Exhibits</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Item 3.01 Exhibits</w:t>
      </w:r>
    </w:p>
    <w:p>
      <w:pPr>
        <w:pStyle w:val="TextBody"/>
        <w:bidi w:val="0"/>
        <w:spacing w:lineRule="auto" w:line="446" w:before="3" w:after="283"/>
        <w:ind w:left="0" w:right="0" w:hanging="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exhibit is filed as part of this report. </w:t>
      </w:r>
    </w:p>
    <w:tbl>
      <w:tblPr>
        <w:tblW w:w="742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863"/>
        <w:gridCol w:w="1863"/>
        <w:gridCol w:w="263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2conflictmineralsreport.htm">
              <w:r>
                <w:rPr>
                  <w:rStyle w:val="InternetLink"/>
                  <w:rFonts w:ascii="Times New Roman;sans-serif" w:hAnsi="Times New Roman;sans-serif"/>
                  <w:b w:val="false"/>
                  <w:color w:val="0000FF"/>
                  <w:sz w:val="20"/>
                  <w:u w:val="single"/>
                </w:rPr>
                <w:t>Conflict Minerals Report as required by Items 1.01 and 1.02 of this Form SD.</w:t>
              </w:r>
            </w:hyperlink>
          </w:p>
        </w:tc>
      </w:tr>
    </w:tbl>
    <w:p>
      <w:pPr>
        <w:pStyle w:val="TextBody"/>
        <w:bidi w:val="0"/>
        <w:spacing w:before="0" w:after="0"/>
        <w:ind w:left="0" w:right="0" w:firstLine="6"/>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before="76"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75" w:type="dxa"/>
        <w:jc w:val="left"/>
        <w:tblInd w:w="0" w:type="dxa"/>
        <w:tblLayout w:type="fixed"/>
        <w:tblCellMar>
          <w:top w:w="28" w:type="dxa"/>
          <w:left w:w="28" w:type="dxa"/>
          <w:bottom w:w="28" w:type="dxa"/>
          <w:right w:w="28" w:type="dxa"/>
        </w:tblCellMar>
      </w:tblPr>
      <w:tblGrid>
        <w:gridCol w:w="629"/>
        <w:gridCol w:w="554"/>
        <w:gridCol w:w="557"/>
        <w:gridCol w:w="1179"/>
        <w:gridCol w:w="1179"/>
        <w:gridCol w:w="167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31, 2023</w:t>
            </w:r>
          </w:p>
        </w:tc>
        <w:tc>
          <w:tcPr>
            <w:tcW w:w="403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Michael Hutchinson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Hutchinson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Legal Officer &amp; Company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6" w:after="283"/>
        <w:jc w:val="right"/>
        <w:rPr>
          <w:rFonts w:ascii="Times New Roman;sans-serif" w:hAnsi="Times New Roman;sans-serif"/>
          <w:b/>
          <w:color w:val="000000"/>
          <w:sz w:val="18"/>
        </w:rPr>
      </w:pPr>
      <w:r>
        <w:rPr>
          <w:rFonts w:ascii="Times New Roman;sans-serif" w:hAnsi="Times New Roman;sans-serif"/>
          <w:b/>
          <w:color w:val="000000"/>
          <w:sz w:val="18"/>
        </w:rPr>
        <w:t>Exhibit 1.01</w:t>
      </w:r>
    </w:p>
    <w:p>
      <w:pPr>
        <w:pStyle w:val="TextBody"/>
        <w:bidi w:val="0"/>
        <w:spacing w:before="5" w:after="283"/>
        <w:jc w:val="left"/>
        <w:rPr/>
      </w:pPr>
      <w:r>
        <w:rPr/>
      </w:r>
    </w:p>
    <w:p>
      <w:pPr>
        <w:pStyle w:val="TextBody"/>
        <w:bidi w:val="0"/>
        <w:spacing w:lineRule="auto" w:line="316" w:before="76" w:after="283"/>
        <w:jc w:val="center"/>
        <w:rPr>
          <w:rFonts w:ascii="Times New Roman;sans-serif" w:hAnsi="Times New Roman;sans-serif"/>
          <w:b/>
          <w:color w:val="000000"/>
          <w:sz w:val="18"/>
        </w:rPr>
      </w:pPr>
      <w:r>
        <w:rPr>
          <w:rFonts w:ascii="Times New Roman;sans-serif" w:hAnsi="Times New Roman;sans-serif"/>
          <w:b/>
          <w:color w:val="000000"/>
          <w:sz w:val="18"/>
        </w:rPr>
        <w:t xml:space="preserve">LivaNova PLC </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Conflict Minerals Report</w:t>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2022</w:t>
      </w:r>
    </w:p>
    <w:p>
      <w:pPr>
        <w:pStyle w:val="TextBody"/>
        <w:bidi w:val="0"/>
        <w:spacing w:before="1" w:after="283"/>
        <w:jc w:val="left"/>
        <w:rPr/>
      </w:pPr>
      <w:r>
        <w:rPr/>
      </w:r>
    </w:p>
    <w:p>
      <w:pPr>
        <w:pStyle w:val="TextBody"/>
        <w:bidi w:val="0"/>
        <w:spacing w:lineRule="auto" w:line="312"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This Conflict Minerals Report (this “Report”) of LivaNova PLC has been prepared for the reporting period from January 1, 2022 to December 31, 2022,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columbite-tantalite (coltan), gold, wolframite or their derivatives, tin, tantalum and tungsten (“3TGs”). The “Covered Countries” for the purposes of the Rule are the Democratic Republic of the Congo (“DRC”), the Republic of the Congo, the Central African Republic, South Sudan, Uganda, Rwanda, Burundi, Tanzania, Zambia and Angola. The Rule imposes certain reporting requirements on SEC registrants who manufacture or contract to manufacture products that include 3TGs if such 3TGs are necessary to the functionality or production of the products.</w:t>
      </w:r>
    </w:p>
    <w:p>
      <w:pPr>
        <w:pStyle w:val="TextBody"/>
        <w:bidi w:val="0"/>
        <w:spacing w:before="10" w:after="283"/>
        <w:jc w:val="left"/>
        <w:rPr/>
      </w:pPr>
      <w:r>
        <w:rPr/>
      </w:r>
    </w:p>
    <w:p>
      <w:pPr>
        <w:pStyle w:val="TextBody"/>
        <w:bidi w:val="0"/>
        <w:spacing w:lineRule="auto" w:line="240" w:before="0" w:after="0"/>
        <w:ind w:left="0" w:right="0" w:hanging="317"/>
        <w:jc w:val="left"/>
        <w:rPr>
          <w:rFonts w:ascii="Times New Roman;sans-serif" w:hAnsi="Times New Roman;sans-serif"/>
          <w:b/>
          <w:color w:val="000000"/>
          <w:sz w:val="18"/>
        </w:rPr>
      </w:pPr>
      <w:r>
        <w:rPr>
          <w:rFonts w:ascii="Times New Roman;sans-serif" w:hAnsi="Times New Roman;sans-serif"/>
          <w:b/>
          <w:color w:val="000000"/>
          <w:sz w:val="18"/>
        </w:rPr>
        <w:t>1.Company Overview</w:t>
      </w:r>
    </w:p>
    <w:p>
      <w:pPr>
        <w:pStyle w:val="TextBody"/>
        <w:bidi w:val="0"/>
        <w:spacing w:before="6" w:after="283"/>
        <w:jc w:val="left"/>
        <w:rPr/>
      </w:pPr>
      <w:r>
        <w:rPr/>
      </w:r>
    </w:p>
    <w:p>
      <w:pPr>
        <w:pStyle w:val="TextBody"/>
        <w:bidi w:val="0"/>
        <w:spacing w:lineRule="auto" w:line="338"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This Report has been prepared by the management of LivaNova PLC (“LivaNova,” “we,” “us,” “registrant,” “Company” or “our”). It does not include the activities of variable interest entities that are not required to be consolidated.</w:t>
      </w:r>
    </w:p>
    <w:p>
      <w:pPr>
        <w:pStyle w:val="TextBody"/>
        <w:bidi w:val="0"/>
        <w:spacing w:lineRule="auto" w:line="338" w:before="130"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This Conflict Minerals Report reports the reasonable country of origin inquiry (“RCOI”) conducted in good faith to determine whether any of the necessary 3TGs in LivaNova’s product offerings originated from Conflict-Affected and High-Risk Areas (CAHRAs), such as the Covered Countries, or came from recycled or scrap sources for the year ended December 31, 2022, and subsequent due diligence measures.</w:t>
      </w:r>
    </w:p>
    <w:p>
      <w:pPr>
        <w:pStyle w:val="TextBody"/>
        <w:bidi w:val="0"/>
        <w:spacing w:lineRule="auto" w:line="240" w:before="99"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fiscal year 2022, LivaNova operated as three reportable segments:</w:t>
      </w:r>
    </w:p>
    <w:p>
      <w:pPr>
        <w:pStyle w:val="TextBody"/>
        <w:bidi w:val="0"/>
        <w:spacing w:lineRule="auto" w:line="300" w:before="160" w:after="283"/>
        <w:ind w:left="0" w:right="0" w:hanging="328"/>
        <w:jc w:val="both"/>
        <w:rPr/>
      </w:pPr>
      <w:r>
        <w:rPr>
          <w:color w:val="000000"/>
        </w:rPr>
        <w:t>•</w:t>
      </w:r>
      <w:r>
        <w:rPr>
          <w:rFonts w:ascii="Times New Roman;sans-serif" w:hAnsi="Times New Roman;sans-serif"/>
          <w:b/>
          <w:color w:val="000000"/>
          <w:sz w:val="18"/>
        </w:rPr>
        <w:t xml:space="preserve">Cardiopulmonary: </w:t>
      </w:r>
      <w:r>
        <w:rPr>
          <w:rFonts w:ascii="Times New Roman;sans-serif" w:hAnsi="Times New Roman;sans-serif"/>
          <w:b w:val="false"/>
          <w:color w:val="000000"/>
          <w:sz w:val="18"/>
        </w:rPr>
        <w:t>The Company’s Cardiopulmonary segment is engaged in the development, production and sale of cardiopulmonary products including oxygenators, heart-lung machines, autotransfusion systems, perfusion tubing systems, cannulae and other related accessories.</w:t>
      </w:r>
    </w:p>
    <w:p>
      <w:pPr>
        <w:pStyle w:val="TextBody"/>
        <w:bidi w:val="0"/>
        <w:spacing w:lineRule="auto" w:line="300" w:before="120" w:after="283"/>
        <w:ind w:left="0" w:right="0" w:hanging="328"/>
        <w:jc w:val="both"/>
        <w:rPr/>
      </w:pPr>
      <w:r>
        <w:rPr>
          <w:color w:val="000000"/>
        </w:rPr>
        <w:t>•</w:t>
      </w:r>
      <w:r>
        <w:rPr>
          <w:rFonts w:ascii="Times New Roman;sans-serif" w:hAnsi="Times New Roman;sans-serif"/>
          <w:b/>
          <w:color w:val="000000"/>
          <w:sz w:val="18"/>
        </w:rPr>
        <w:t xml:space="preserve">Neuromodulation: </w:t>
      </w:r>
      <w:r>
        <w:rPr>
          <w:rFonts w:ascii="Times New Roman;sans-serif" w:hAnsi="Times New Roman;sans-serif"/>
          <w:b w:val="false"/>
          <w:color w:val="000000"/>
          <w:sz w:val="18"/>
        </w:rPr>
        <w:t>The Company’s Neuromodulation segment designs, develops and markets devices that deliver neuromodulation therapy to treat drug-resistant epilepsy and difficult-to-treat depression. It also encompasses the development and management of clinical testing of the Company’s aura6000 System for treating obstructive sleep apnea, as well as the Company’s VITARIA System for treating heart failure. (The Company announced in February 2023 that it is stopping enrollment in the heart failure study, beginning the process to close the clinical study and winding down the heart failure program.)</w:t>
      </w:r>
    </w:p>
    <w:p>
      <w:pPr>
        <w:pStyle w:val="TextBody"/>
        <w:bidi w:val="0"/>
        <w:spacing w:lineRule="auto" w:line="300" w:before="118" w:after="283"/>
        <w:ind w:left="0" w:right="0" w:hanging="328"/>
        <w:jc w:val="both"/>
        <w:rPr/>
      </w:pPr>
      <w:r>
        <w:rPr>
          <w:color w:val="000000"/>
        </w:rPr>
        <w:t>•</w:t>
      </w:r>
      <w:r>
        <w:rPr>
          <w:rFonts w:ascii="Times New Roman;sans-serif" w:hAnsi="Times New Roman;sans-serif"/>
          <w:b/>
          <w:color w:val="000000"/>
          <w:sz w:val="18"/>
        </w:rPr>
        <w:t xml:space="preserve">Advanced Circulatory Support: </w:t>
      </w:r>
      <w:r>
        <w:rPr>
          <w:rFonts w:ascii="Times New Roman;sans-serif" w:hAnsi="Times New Roman;sans-serif"/>
          <w:b w:val="false"/>
          <w:color w:val="000000"/>
          <w:sz w:val="18"/>
        </w:rPr>
        <w:t>The Company’s ACS segment is engaged in the development, production and sale of leading-edge temporary life support products. These products include cardiopulmonary and respiratory support solutions consisting of temporary life support controllers and product kits that can include a combination of pumps, oxygenators, and cannulae.</w:t>
      </w:r>
    </w:p>
    <w:p>
      <w:pPr>
        <w:pStyle w:val="TextBody"/>
        <w:bidi w:val="0"/>
        <w:spacing w:before="5" w:after="283"/>
        <w:jc w:val="left"/>
        <w:rPr/>
      </w:pPr>
      <w:r>
        <w:rPr/>
      </w:r>
    </w:p>
    <w:p>
      <w:pPr>
        <w:pStyle w:val="TextBody"/>
        <w:bidi w:val="0"/>
        <w:spacing w:lineRule="auto" w:line="338"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previously owned a 3% equity interest in ALung Technologies, Inc. (“ALung”), a privately held medical device company focused on creating advanced medical devices for treating respiratory failure. In May 2022, the Company acquired the remaining 97% of equity interests. Because the Company did not have full financial and operational control of this business for the entire 2022 fiscal reporting year, this report does not contain information specific to the ALung supply chain.</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LivaNova’s broad and complex product offerings may contain 3TGs within the following components:</w:t>
      </w:r>
    </w:p>
    <w:p>
      <w:pPr>
        <w:pStyle w:val="TextBody"/>
        <w:bidi w:val="0"/>
        <w:spacing w:before="1" w:after="283"/>
        <w:jc w:val="left"/>
        <w:rPr/>
      </w:pPr>
      <w:r>
        <w:rPr/>
      </w:r>
    </w:p>
    <w:p>
      <w:pPr>
        <w:pStyle w:val="TextBody"/>
        <w:bidi w:val="0"/>
        <w:spacing w:lineRule="auto" w:line="240" w:before="0" w:after="0"/>
        <w:ind w:left="0" w:right="0" w:hanging="324"/>
        <w:jc w:val="left"/>
        <w:rPr/>
      </w:pPr>
      <w:r>
        <w:rPr>
          <w:color w:val="000000"/>
        </w:rPr>
        <w:t>•</w:t>
      </w:r>
      <w:r>
        <w:rPr>
          <w:rFonts w:ascii="Times New Roman;sans-serif" w:hAnsi="Times New Roman;sans-serif"/>
          <w:b w:val="false"/>
          <w:color w:val="000000"/>
          <w:sz w:val="18"/>
        </w:rPr>
        <w:t>Tantalum, used in capacitors;</w:t>
      </w:r>
    </w:p>
    <w:p>
      <w:pPr>
        <w:pStyle w:val="TextBody"/>
        <w:bidi w:val="0"/>
        <w:spacing w:lineRule="auto" w:line="240" w:before="131" w:after="283"/>
        <w:ind w:left="0" w:right="0" w:hanging="324"/>
        <w:jc w:val="left"/>
        <w:rPr/>
      </w:pPr>
      <w:r>
        <w:rPr>
          <w:color w:val="000000"/>
        </w:rPr>
        <w:t>•</w:t>
      </w:r>
      <w:r>
        <w:rPr>
          <w:rFonts w:ascii="Times New Roman;sans-serif" w:hAnsi="Times New Roman;sans-serif"/>
          <w:b w:val="false"/>
          <w:color w:val="000000"/>
          <w:sz w:val="18"/>
        </w:rPr>
        <w:t>Tin, used in electrical components, printed circuit board assembly, hardware and equipment;</w:t>
      </w:r>
    </w:p>
    <w:p>
      <w:pPr>
        <w:pStyle w:val="TextBody"/>
        <w:bidi w:val="0"/>
        <w:spacing w:lineRule="auto" w:line="240" w:before="129" w:after="283"/>
        <w:ind w:left="0" w:right="0" w:hanging="324"/>
        <w:jc w:val="left"/>
        <w:rPr/>
      </w:pPr>
      <w:r>
        <w:rPr>
          <w:color w:val="000000"/>
        </w:rPr>
        <w:t>•</w:t>
      </w:r>
      <w:r>
        <w:rPr>
          <w:rFonts w:ascii="Times New Roman;sans-serif" w:hAnsi="Times New Roman;sans-serif"/>
          <w:b w:val="false"/>
          <w:color w:val="000000"/>
          <w:sz w:val="18"/>
        </w:rPr>
        <w:t>Tungsten, used in coatings, alloys, heating elements and electrodes; and</w:t>
      </w:r>
    </w:p>
    <w:p>
      <w:pPr>
        <w:pStyle w:val="TextBody"/>
        <w:bidi w:val="0"/>
        <w:spacing w:lineRule="auto" w:line="240" w:before="131" w:after="283"/>
        <w:ind w:left="0" w:right="0" w:hanging="324"/>
        <w:jc w:val="left"/>
        <w:rPr/>
      </w:pPr>
      <w:r>
        <w:rPr>
          <w:color w:val="000000"/>
        </w:rPr>
        <w:t>•</w:t>
      </w:r>
      <w:r>
        <w:rPr>
          <w:rFonts w:ascii="Times New Roman;sans-serif" w:hAnsi="Times New Roman;sans-serif"/>
          <w:b w:val="false"/>
          <w:color w:val="000000"/>
          <w:sz w:val="18"/>
        </w:rPr>
        <w:t>Gold, used in circuit boards, electrodes and electronic components.</w:t>
      </w:r>
    </w:p>
    <w:p>
      <w:pPr>
        <w:pStyle w:val="TextBody"/>
        <w:bidi w:val="0"/>
        <w:spacing w:before="7" w:after="283"/>
        <w:jc w:val="left"/>
        <w:rPr/>
      </w:pPr>
      <w:r>
        <w:rPr/>
      </w:r>
    </w:p>
    <w:p>
      <w:pPr>
        <w:pStyle w:val="TextBody"/>
        <w:bidi w:val="0"/>
        <w:spacing w:lineRule="auto" w:line="240" w:before="0" w:after="0"/>
        <w:jc w:val="left"/>
        <w:rPr/>
      </w:pPr>
      <w:r>
        <w:rPr>
          <w:rFonts w:ascii="Times New Roman;sans-serif" w:hAnsi="Times New Roman;sans-serif"/>
          <w:b w:val="false"/>
          <w:color w:val="000000"/>
          <w:sz w:val="18"/>
        </w:rPr>
        <w:t xml:space="preserve">Additional information on LivaNova is available at </w:t>
      </w:r>
      <w:r>
        <w:rPr>
          <w:rFonts w:ascii="Times New Roman;sans-serif" w:hAnsi="Times New Roman;sans-serif"/>
          <w:b w:val="false"/>
          <w:color w:val="0462C1"/>
          <w:sz w:val="18"/>
          <w:u w:val="single"/>
        </w:rPr>
        <w:t>www.livanova.com</w:t>
      </w:r>
      <w:r>
        <w:rPr>
          <w:rFonts w:ascii="Times New Roman;sans-serif" w:hAnsi="Times New Roman;sans-serif"/>
          <w:b w:val="false"/>
          <w:color w:val="000000"/>
          <w:sz w:val="18"/>
        </w:rPr>
        <w:t>. Information on the Company’s website is not incorporated into this Report.</w:t>
      </w:r>
    </w:p>
    <w:p>
      <w:pPr>
        <w:pStyle w:val="TextBody"/>
        <w:bidi w:val="0"/>
        <w:spacing w:before="10" w:after="283"/>
        <w:jc w:val="left"/>
        <w:rPr/>
      </w:pPr>
      <w:r>
        <w:rPr/>
      </w:r>
    </w:p>
    <w:p>
      <w:pPr>
        <w:pStyle w:val="TextBody"/>
        <w:bidi w:val="0"/>
        <w:spacing w:lineRule="auto" w:line="240" w:before="0" w:after="0"/>
        <w:ind w:left="0" w:right="0" w:hanging="324"/>
        <w:jc w:val="left"/>
        <w:rPr>
          <w:rFonts w:ascii="Times New Roman;sans-serif" w:hAnsi="Times New Roman;sans-serif"/>
          <w:b/>
          <w:color w:val="000000"/>
          <w:sz w:val="18"/>
        </w:rPr>
      </w:pPr>
      <w:r>
        <w:rPr>
          <w:rFonts w:ascii="Times New Roman;sans-serif" w:hAnsi="Times New Roman;sans-serif"/>
          <w:b/>
          <w:color w:val="000000"/>
          <w:sz w:val="18"/>
        </w:rPr>
        <w:t>2.General Policy and Team</w:t>
      </w:r>
    </w:p>
    <w:p>
      <w:pPr>
        <w:pStyle w:val="TextBody"/>
        <w:bidi w:val="0"/>
        <w:spacing w:before="7" w:after="283"/>
        <w:jc w:val="left"/>
        <w:rPr/>
      </w:pPr>
      <w:r>
        <w:rPr/>
      </w:r>
    </w:p>
    <w:p>
      <w:pPr>
        <w:pStyle w:val="TextBody"/>
        <w:bidi w:val="0"/>
        <w:spacing w:lineRule="auto" w:line="31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embraces the key principles of the International Labour Organization’s fundamental conventions. LivaNova believes that the Company’s business can only succeed where the rights of all workers involved in the value chain of the Company’s businesses are protected and respected, and the Company aims to conduct business with third parties including consultants, suppliers and other business partners (“Third Parties”) who share LivaNova’s commitment to operating in a responsible and ethical manner.</w:t>
      </w:r>
    </w:p>
    <w:p>
      <w:pPr>
        <w:pStyle w:val="TextBody"/>
        <w:bidi w:val="0"/>
        <w:spacing w:before="7" w:after="283"/>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LivaNova strives to conduct the Company’s activities in a manner that reflects the Company’s mission and Code of Ethics and Business Conduct – which includes being a good corporate citizen, dealing fairly in business, behaving ethically, supporting a safe and healthy workplace, doing business in an environmentally responsible manner, and complying with applicable law. LivaNova is committed to ensuring that the Company’s supply chain reflects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6" w:after="283"/>
        <w:jc w:val="left"/>
        <w:rPr/>
      </w:pPr>
      <w:r>
        <w:rPr>
          <w:rFonts w:ascii="Times New Roman;sans-serif" w:hAnsi="Times New Roman;sans-serif"/>
          <w:b w:val="false"/>
          <w:color w:val="000000"/>
          <w:sz w:val="18"/>
        </w:rPr>
        <w:t xml:space="preserve">LivaNova’s values and beliefs, including adherence to principles of responsible sourcing for materials for the Company’s products. As part of the Company’s commitment, LivaNova supports the goals and objectives of Section 1502 of the Dodd Frank Act and seeks to uphold responsible sourcing practices. LivaNova expects the Company’s suppliers to support the Company’s efforts to comply with the Dodd Frank Act and to proactively identify and work towards eliminating the use of any minerals that fund or benefit armed groups from within the Company’s supply chain. In addition, LivaNova expects the Company’s suppliers to conduct business operations in an ethical manner and to comply with the Company’s Third-Party Code of Ethics and Business Conduct </w:t>
      </w:r>
      <w:r>
        <w:rPr>
          <w:rFonts w:ascii="Times New Roman;sans-serif" w:hAnsi="Times New Roman;sans-serif"/>
          <w:b w:val="false"/>
          <w:color w:val="0462C1"/>
          <w:sz w:val="18"/>
          <w:u w:val="single"/>
        </w:rPr>
        <w:t>(https://www.livanova.com/en-us/home/about-us/our-ethics</w:t>
      </w:r>
      <w:r>
        <w:rPr>
          <w:rFonts w:ascii="Times New Roman;sans-serif" w:hAnsi="Times New Roman;sans-serif"/>
          <w:b w:val="false"/>
          <w:color w:val="000000"/>
          <w:sz w:val="18"/>
        </w:rPr>
        <w:t>) and all applicable laws related to environmental responsibility, workplace health and safety, and human resources.</w:t>
      </w:r>
    </w:p>
    <w:p>
      <w:pPr>
        <w:pStyle w:val="TextBody"/>
        <w:bidi w:val="0"/>
        <w:spacing w:before="1" w:after="283"/>
        <w:jc w:val="left"/>
        <w:rPr/>
      </w:pPr>
      <w:r>
        <w:rPr/>
      </w:r>
    </w:p>
    <w:p>
      <w:pPr>
        <w:pStyle w:val="TextBody"/>
        <w:bidi w:val="0"/>
        <w:spacing w:lineRule="auto" w:line="338"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created an ESG (Environmental, Social and Governance) Task Force in 2020, a cross-functional team of leaders focused on establishing a comprehensive program to optimize the Company’s ESG efforts, including implementation of the Company’s conflict minerals compliance strategy. This team has executive level involvement and access to various subject matter experts from such areas as sourcing, procurement, legal and finance. LivaNova’s Nominating and Corporate Governance (“NCG”) Committee charter encompasses ESG oversight under its list of duties and responsibilities, and as a result, the NCG Committee receives regular updates on the ESG Task Force's activities at each of its quarterly meetings. The directors on the NCG Committee actively engage on this topic every quarter, and the NCG Committee Chair reports material ESG developments to the full Board quarterly.</w:t>
      </w:r>
    </w:p>
    <w:p>
      <w:pPr>
        <w:pStyle w:val="TextBody"/>
        <w:bidi w:val="0"/>
        <w:spacing w:before="8" w:after="283"/>
        <w:jc w:val="left"/>
        <w:rPr/>
      </w:pPr>
      <w:r>
        <w:rPr/>
      </w:r>
    </w:p>
    <w:p>
      <w:pPr>
        <w:pStyle w:val="TextBody"/>
        <w:bidi w:val="0"/>
        <w:spacing w:lineRule="auto" w:line="240" w:before="0" w:after="0"/>
        <w:ind w:left="0" w:right="0" w:hanging="324"/>
        <w:jc w:val="left"/>
        <w:rPr>
          <w:rFonts w:ascii="Times New Roman;sans-serif" w:hAnsi="Times New Roman;sans-serif"/>
          <w:b/>
          <w:color w:val="000000"/>
          <w:sz w:val="18"/>
        </w:rPr>
      </w:pPr>
      <w:r>
        <w:rPr>
          <w:rFonts w:ascii="Times New Roman;sans-serif" w:hAnsi="Times New Roman;sans-serif"/>
          <w:b/>
          <w:color w:val="000000"/>
          <w:sz w:val="18"/>
        </w:rPr>
        <w:t>3.Reasonable Country of Origin Inquiry</w:t>
      </w:r>
    </w:p>
    <w:p>
      <w:pPr>
        <w:pStyle w:val="TextBody"/>
        <w:bidi w:val="0"/>
        <w:spacing w:before="6" w:after="283"/>
        <w:jc w:val="left"/>
        <w:rPr/>
      </w:pPr>
      <w:r>
        <w:rPr/>
      </w:r>
    </w:p>
    <w:p>
      <w:pPr>
        <w:pStyle w:val="TextBody"/>
        <w:bidi w:val="0"/>
        <w:spacing w:lineRule="auto" w:line="338"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In collaboration with LivaNova’s partners at Assent Inc. (“Assent”), a supply chain sustainability management provider, the Company determined which of the Company’s products potentially contain 3TGs necessary to the functionality or production of such products. LivaNova then conducted a good faith RCOI designed to determine whether any necessary 3TGs contained in the Company’s products originated CAHRAs or came from recycled or scrap sources. LivaNova does not purchase minerals directly from mines, smelters or refiners (“SORs”) and therefore must rely on the Company’s direct suppliers to provide information on the origin of the minerals contained in components and materials supplied to the Company or products manufactured for the Company.</w:t>
      </w:r>
    </w:p>
    <w:p>
      <w:pPr>
        <w:pStyle w:val="TextBody"/>
        <w:bidi w:val="0"/>
        <w:spacing w:before="7" w:after="283"/>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LivaNova begins the Company’s supplier scoping process by:</w:t>
      </w:r>
    </w:p>
    <w:p>
      <w:pPr>
        <w:pStyle w:val="TextBody"/>
        <w:bidi w:val="0"/>
        <w:spacing w:before="10" w:after="283"/>
        <w:jc w:val="left"/>
        <w:rPr/>
      </w:pPr>
      <w:r>
        <w:rPr/>
      </w:r>
    </w:p>
    <w:p>
      <w:pPr>
        <w:pStyle w:val="TextBody"/>
        <w:bidi w:val="0"/>
        <w:spacing w:lineRule="auto" w:line="280" w:before="0" w:after="0"/>
        <w:ind w:left="0" w:right="0" w:hanging="324"/>
        <w:jc w:val="left"/>
        <w:rPr/>
      </w:pPr>
      <w:r>
        <w:rPr>
          <w:color w:val="000000"/>
        </w:rPr>
        <w:t>•</w:t>
      </w:r>
      <w:r>
        <w:rPr>
          <w:rFonts w:ascii="Times New Roman;sans-serif" w:hAnsi="Times New Roman;sans-serif"/>
          <w:b w:val="false"/>
          <w:color w:val="000000"/>
          <w:sz w:val="18"/>
        </w:rPr>
        <w:t>Determining which commercially distributed products in 2022 potentially contained one or more of the 3TGs necessary to the functionality or production of such products;</w:t>
      </w:r>
    </w:p>
    <w:p>
      <w:pPr>
        <w:pStyle w:val="TextBody"/>
        <w:bidi w:val="0"/>
        <w:spacing w:lineRule="auto" w:line="319" w:before="120" w:after="283"/>
        <w:ind w:left="0" w:right="0" w:hanging="324"/>
        <w:jc w:val="left"/>
        <w:rPr/>
      </w:pPr>
      <w:r>
        <w:rPr>
          <w:color w:val="000000"/>
        </w:rPr>
        <w:t>•</w:t>
      </w:r>
      <w:r>
        <w:rPr>
          <w:rFonts w:ascii="Times New Roman;sans-serif" w:hAnsi="Times New Roman;sans-serif"/>
          <w:b w:val="false"/>
          <w:color w:val="000000"/>
          <w:sz w:val="18"/>
        </w:rPr>
        <w:t>Identifying suppliers that manufactured or contracted to manufacture components or products containing these necessary 3TGs contained in products (in-scope suppliers); and</w:t>
      </w:r>
    </w:p>
    <w:p>
      <w:pPr>
        <w:pStyle w:val="TextBody"/>
        <w:bidi w:val="0"/>
        <w:spacing w:lineRule="auto" w:line="319" w:before="123" w:after="283"/>
        <w:ind w:left="0" w:right="0" w:hanging="324"/>
        <w:jc w:val="left"/>
        <w:rPr/>
      </w:pPr>
      <w:r>
        <w:rPr>
          <w:color w:val="000000"/>
        </w:rPr>
        <w:t>•</w:t>
      </w:r>
      <w:r>
        <w:rPr>
          <w:rFonts w:ascii="Times New Roman;sans-serif" w:hAnsi="Times New Roman;sans-serif"/>
          <w:b w:val="false"/>
          <w:color w:val="000000"/>
          <w:sz w:val="18"/>
        </w:rPr>
        <w:t>Providing this list composed of suppliers and parts associated with the in-scope products to Assent for upload to the Assent Compliance Manager (“ACM”), a platform to complete and track supplier communications.</w:t>
      </w:r>
    </w:p>
    <w:p>
      <w:pPr>
        <w:pStyle w:val="TextBody"/>
        <w:bidi w:val="0"/>
        <w:spacing w:before="0" w:after="0"/>
        <w:jc w:val="left"/>
        <w:rPr/>
      </w:pPr>
      <w:r>
        <w:rPr/>
      </w:r>
    </w:p>
    <w:p>
      <w:pPr>
        <w:pStyle w:val="TextBody"/>
        <w:bidi w:val="0"/>
        <w:spacing w:lineRule="auto" w:line="319" w:before="113"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The supply chain survey, and the conflict minerals program as a whole, has been developed and implemented in cooperation with Assent. To collect data on the sources of origin of the necessary 3TG procured by the supply chain, LivaNova utilized the Conflict Minerals Reporting Template (“CMRT”) version 6.2 or higher to conduct a survey of all in-scope suppliers.</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During the supplier survey, LivaNova contacted 283 suppliers via ACM, a software-as-a-service (SaaS) platform provided by Assent that enables users to complete and track supplier communications and allows suppliers to upload completed CMRTs directly to the platform for validation, assessment, and management. The ACM also provides functionality that meets the Organization for Economic Co-Operation and Development (“OECD”) Guidance process expectations by evaluating the quality of each supplier response and assigning a health score based on the supplier’s declaration of process engagement. The metrics provided in this report, as well as the step-by-step process for supplier engagement and upstream due diligence investigations, are managed through this platform.</w:t>
      </w:r>
    </w:p>
    <w:p>
      <w:pPr>
        <w:pStyle w:val="TextBody"/>
        <w:bidi w:val="0"/>
        <w:spacing w:before="7" w:after="283"/>
        <w:jc w:val="left"/>
        <w:rPr/>
      </w:pPr>
      <w:r>
        <w:rPr/>
      </w:r>
    </w:p>
    <w:p>
      <w:pPr>
        <w:pStyle w:val="TextBody"/>
        <w:bidi w:val="0"/>
        <w:spacing w:lineRule="auto" w:line="297" w:before="0" w:after="0"/>
        <w:ind w:left="0" w:right="0" w:firstLine="655"/>
        <w:jc w:val="both"/>
        <w:rPr>
          <w:rFonts w:ascii="Times New Roman;sans-serif" w:hAnsi="Times New Roman;sans-serif"/>
          <w:b w:val="false"/>
          <w:color w:val="000000"/>
          <w:sz w:val="18"/>
        </w:rPr>
      </w:pPr>
      <w:r>
        <w:rPr>
          <w:rFonts w:ascii="Times New Roman;sans-serif" w:hAnsi="Times New Roman;sans-serif"/>
          <w:b w:val="false"/>
          <w:color w:val="000000"/>
          <w:sz w:val="18"/>
        </w:rPr>
        <w:t>Via the ACM and Assent team, LivaNova requested that all suppliers identified as possibly providing components containing necessary 3TGs, complete a CMRT. Training and education to guide suppliers on best practices and the use of this template was included. Assent monitored and tracked all communications in the ACM for future reporting and transparency. LivaNova directly contacted suppliers that were unresponsive to Assent’s repeated communication attempts during the diligence process and requested these suppliers complete the CMRT and submit it to Assent.</w:t>
      </w:r>
    </w:p>
    <w:p>
      <w:pPr>
        <w:pStyle w:val="TextBody"/>
        <w:bidi w:val="0"/>
        <w:spacing w:lineRule="auto" w:line="297" w:before="117"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to identify areas that require further classification or risk assessment, as well as understand the due diligence efforts of the Tier 1 suppliers. The results of this data validation contribute to the program’s health assessment and are shared with the suppliers to ensure they understand areas that require clarification or improvement.</w:t>
      </w:r>
    </w:p>
    <w:p>
      <w:pPr>
        <w:pStyle w:val="TextBody"/>
        <w:bidi w:val="0"/>
        <w:spacing w:before="9" w:after="283"/>
        <w:jc w:val="left"/>
        <w:rPr/>
      </w:pPr>
      <w:r>
        <w:rPr/>
      </w:r>
    </w:p>
    <w:p>
      <w:pPr>
        <w:pStyle w:val="TextBody"/>
        <w:bidi w:val="0"/>
        <w:spacing w:lineRule="auto" w:line="297"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All submitted forms are accepted and classified as valid or invalid so that data is retained. Suppliers are contacted regarding invalid forms and are encouraged to submit a valid form. Suppliers are also provided with guidance on how to correct these validation errors in the form of feedback to their CMRT submission, training courses and direct engagement help through Assent’s multilingual Supplier Experience team. Since some suppliers may remain unresponsive to feedback, LivaNova tracks program gaps to account for future improvement opportunities. As of May 12, 2023, there were 6 invalid or incomplete supplier submissions that could not be corrected.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7" w:before="49"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As of May 12, 2023, there were 283 suppliers in scope of the conflict minerals program. Of those 283 suppliers, 202 suppliers provided a completed CMRT. LivaNova’s total response rate for this reporting year was 71.4%.</w:t>
      </w:r>
    </w:p>
    <w:p>
      <w:pPr>
        <w:pStyle w:val="TextBody"/>
        <w:bidi w:val="0"/>
        <w:spacing w:before="8" w:after="283"/>
        <w:jc w:val="left"/>
        <w:rPr/>
      </w:pPr>
      <w:r>
        <w:rPr/>
      </w:r>
    </w:p>
    <w:p>
      <w:pPr>
        <w:pStyle w:val="TextBody"/>
        <w:bidi w:val="0"/>
        <w:spacing w:lineRule="auto" w:line="302"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Based on the Company’s RCOI, LivaNova has reason to believe that some of the necessary 3TG in the Company’s products may have originated in the Covered Countries and did not come from recycled or scrap sources. Accordingly, LivaNova conducted additional due diligence as described below.</w:t>
      </w:r>
    </w:p>
    <w:p>
      <w:pPr>
        <w:pStyle w:val="TextBody"/>
        <w:bidi w:val="0"/>
        <w:spacing w:before="2" w:after="283"/>
        <w:jc w:val="left"/>
        <w:rPr/>
      </w:pPr>
      <w:r>
        <w:rPr/>
      </w:r>
    </w:p>
    <w:p>
      <w:pPr>
        <w:pStyle w:val="TextBody"/>
        <w:bidi w:val="0"/>
        <w:spacing w:lineRule="auto" w:line="240" w:before="0" w:after="0"/>
        <w:ind w:left="0" w:right="0" w:hanging="324"/>
        <w:jc w:val="left"/>
        <w:rPr>
          <w:rFonts w:ascii="Times New Roman;sans-serif" w:hAnsi="Times New Roman;sans-serif"/>
          <w:b/>
          <w:color w:val="000000"/>
          <w:sz w:val="18"/>
        </w:rPr>
      </w:pPr>
      <w:r>
        <w:rPr>
          <w:rFonts w:ascii="Times New Roman;sans-serif" w:hAnsi="Times New Roman;sans-serif"/>
          <w:b/>
          <w:color w:val="000000"/>
          <w:sz w:val="18"/>
        </w:rPr>
        <w:t>4.Due Diligence</w:t>
      </w:r>
    </w:p>
    <w:p>
      <w:pPr>
        <w:pStyle w:val="TextBody"/>
        <w:bidi w:val="0"/>
        <w:spacing w:before="4" w:after="283"/>
        <w:jc w:val="left"/>
        <w:rPr/>
      </w:pPr>
      <w:r>
        <w:rPr/>
      </w:r>
    </w:p>
    <w:p>
      <w:pPr>
        <w:pStyle w:val="TextBody"/>
        <w:bidi w:val="0"/>
        <w:spacing w:lineRule="auto" w:line="240" w:before="0" w:after="0"/>
        <w:ind w:left="0" w:right="0" w:hanging="273"/>
        <w:jc w:val="left"/>
        <w:rPr>
          <w:rFonts w:ascii="Times New Roman;sans-serif" w:hAnsi="Times New Roman;sans-serif"/>
          <w:b/>
          <w:color w:val="000000"/>
          <w:sz w:val="18"/>
        </w:rPr>
      </w:pPr>
      <w:r>
        <w:rPr>
          <w:rFonts w:ascii="Times New Roman;sans-serif" w:hAnsi="Times New Roman;sans-serif"/>
          <w:b/>
          <w:color w:val="000000"/>
          <w:sz w:val="18"/>
        </w:rPr>
        <w:t>4.1Design of Due Diligence</w:t>
      </w:r>
    </w:p>
    <w:p>
      <w:pPr>
        <w:pStyle w:val="TextBody"/>
        <w:bidi w:val="0"/>
        <w:spacing w:before="4" w:after="283"/>
        <w:jc w:val="left"/>
        <w:rPr/>
      </w:pPr>
      <w:r>
        <w:rPr/>
      </w:r>
    </w:p>
    <w:p>
      <w:pPr>
        <w:pStyle w:val="TextBody"/>
        <w:bidi w:val="0"/>
        <w:spacing w:lineRule="auto" w:line="350"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designed its due diligence process to be in conformity, in all material respects, with the framework in the OECD Guidance and the related supplements. The program aligns with the five steps for due diligence that are described by the OECD Guidance, and LivaNova continues to evaluate market expectations for data collection and reporting to achieve continuous improvement opportunities.</w:t>
      </w:r>
    </w:p>
    <w:p>
      <w:pPr>
        <w:pStyle w:val="TextBody"/>
        <w:bidi w:val="0"/>
        <w:spacing w:before="9" w:after="283"/>
        <w:jc w:val="left"/>
        <w:rPr/>
      </w:pPr>
      <w:r>
        <w:rPr/>
      </w:r>
    </w:p>
    <w:p>
      <w:pPr>
        <w:pStyle w:val="TextBody"/>
        <w:bidi w:val="0"/>
        <w:spacing w:lineRule="auto" w:line="350"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Due diligence requires LivaNova to rely on data provided by direct suppliers and third-party audit programs. There is a risk of incomplete or inaccurate data as the process cannot fully be owned by LivaNova. However, through continued outreach and process validation, in collaboration with Assent, we believe that the Company’s process aligns with industry standards and market expectations for downstream companies’ due diligence.</w:t>
      </w:r>
    </w:p>
    <w:p>
      <w:pPr>
        <w:pStyle w:val="TextBody"/>
        <w:bidi w:val="0"/>
        <w:spacing w:before="6" w:after="283"/>
        <w:jc w:val="left"/>
        <w:rPr/>
      </w:pPr>
      <w:r>
        <w:rPr/>
      </w:r>
    </w:p>
    <w:p>
      <w:pPr>
        <w:pStyle w:val="TextBody"/>
        <w:bidi w:val="0"/>
        <w:spacing w:lineRule="auto" w:line="633" w:before="0" w:after="0"/>
        <w:jc w:val="left"/>
        <w:rPr>
          <w:rFonts w:ascii="Times New Roman;sans-serif" w:hAnsi="Times New Roman;sans-serif"/>
          <w:b/>
          <w:color w:val="000000"/>
          <w:sz w:val="18"/>
        </w:rPr>
      </w:pPr>
      <w:r>
        <w:rPr>
          <w:rFonts w:ascii="Times New Roman;sans-serif" w:hAnsi="Times New Roman;sans-serif"/>
          <w:b/>
          <w:color w:val="000000"/>
          <w:sz w:val="18"/>
        </w:rPr>
        <w:t>4.1.1Establish Strong Company Management and Control Systems Internal Team and Training</w:t>
      </w:r>
    </w:p>
    <w:p>
      <w:pPr>
        <w:pStyle w:val="TextBody"/>
        <w:bidi w:val="0"/>
        <w:spacing w:lineRule="auto" w:line="319" w:before="15"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has established a management team responsible for the conflict minerals program. In 2022, the Company’s management team was overseen by the Vice President of Neuromodulation Operations and a team of subject matter experts from relevant functions such as supply chain, sourcing, operations, finance and legal. The team of subject matter experts is responsible for implementing the Company’s conflict minerals compliance strategy.</w:t>
      </w:r>
    </w:p>
    <w:p>
      <w:pPr>
        <w:pStyle w:val="TextBody"/>
        <w:bidi w:val="0"/>
        <w:spacing w:before="5" w:after="283"/>
        <w:jc w:val="left"/>
        <w:rPr/>
      </w:pPr>
      <w:r>
        <w:rPr/>
      </w:r>
    </w:p>
    <w:p>
      <w:pPr>
        <w:pStyle w:val="TextBody"/>
        <w:bidi w:val="0"/>
        <w:spacing w:lineRule="auto" w:line="31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leverages Assent’s Managed Services in order to work with dedicated program specialists who support LivaNova’s conflict minerals program. LivaNova communicates regularly with the Assent team to receive updates on program status. Each member of Assent’s Customer Success team is trained in conflict minerals compliance and understands the intricacies of reporting templates such as CMRT and conflict minerals reporting (CMR), as well as Section 1502 of the Dodd-Frank Act.</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Control Systems and Company Policies</w:t>
      </w:r>
    </w:p>
    <w:p>
      <w:pPr>
        <w:pStyle w:val="TextBody"/>
        <w:bidi w:val="0"/>
        <w:spacing w:before="4" w:after="283"/>
        <w:jc w:val="left"/>
        <w:rPr/>
      </w:pPr>
      <w:r>
        <w:rPr/>
      </w:r>
    </w:p>
    <w:p>
      <w:pPr>
        <w:pStyle w:val="TextBody"/>
        <w:bidi w:val="0"/>
        <w:spacing w:lineRule="auto" w:line="324"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LivaNova’s controls include, but are not limited to, the Company’s Code of Ethics and Business Conduct which outlines certain expected behaviors for all employees. In addition, LivaNova relies on the Company’s direct suppliers to provide information on the origin of the necessary 3TGs contained in components and materials supplied to us, including sources of necessary 3TGs that are supplied to them from lower tier suppliers.</w:t>
      </w:r>
    </w:p>
    <w:p>
      <w:pPr>
        <w:pStyle w:val="TextBody"/>
        <w:bidi w:val="0"/>
        <w:spacing w:before="4"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LivaNova’s Third-Party Code of Ethics and Business Conduct (“Third-Party Code of Conduct”), which is published externally (in multiple languages) as well as in a majority of our indirect purchase order terms and conditions, defines the standards that the Company requires of all LivaNova Third Parties to comply with when doing business with us, in addition to all applicable laws, regulations and industry standards. In 2021, the Third-Party Code of Conduct was updated to incorporate a training component whereby LivaNova requested the Company’s third-party partners complete an online training relating to the Company’s expectations around the Company’s ethical standards.</w:t>
      </w:r>
    </w:p>
    <w:p>
      <w:pPr>
        <w:pStyle w:val="TextBody"/>
        <w:bidi w:val="0"/>
        <w:spacing w:before="7" w:after="283"/>
        <w:jc w:val="left"/>
        <w:rPr/>
      </w:pPr>
      <w:r>
        <w:rPr/>
      </w:r>
    </w:p>
    <w:p>
      <w:pPr>
        <w:pStyle w:val="TextBody"/>
        <w:bidi w:val="0"/>
        <w:spacing w:lineRule="auto" w:line="350"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Compliance with LivaNova’s Third-Party Code of Conduct informs an important part of LivaNova’s Third Party selection and evaluation. We require Third Parties to meet the Company’s requirements and to pass on these requirements to their respective supply chains. If an audit conducted by or on behalf of LivaNova reveals non-alignment with the Company’s Third-Party Code of Ethics and Business Conduct, LivaNova has the right to take corrective measures that, in the event of significant non-compliance, may also include immediate termination of the business relationship.</w:t>
      </w:r>
    </w:p>
    <w:p>
      <w:pPr>
        <w:pStyle w:val="TextBody"/>
        <w:bidi w:val="0"/>
        <w:spacing w:before="4" w:after="283"/>
        <w:jc w:val="left"/>
        <w:rPr/>
      </w:pPr>
      <w:r>
        <w:rPr/>
      </w:r>
    </w:p>
    <w:p>
      <w:pPr>
        <w:pStyle w:val="TextBody"/>
        <w:bidi w:val="0"/>
        <w:spacing w:lineRule="auto" w:line="350"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Also, LivaNova’s General Terms and Conditions for the Purchase of Products and Services included with the Company’s purchase orders specify that, in order to conduct business with LivaNova, a supplier may be required to complete a questionnaire designed to identify the potential presence of 3TGs in any products it sells to LivaNova, and if necessary, perform appropriate due diligence.</w:t>
      </w:r>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Supplier Engagement</w:t>
      </w:r>
    </w:p>
    <w:p>
      <w:pPr>
        <w:pStyle w:val="TextBody"/>
        <w:bidi w:val="0"/>
        <w:spacing w:before="4"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As LivaNova does not have a direct relationship with 3TGs SORs, the Company is engaged and actively cooperate with other manufacturers in the Company’s industry and other sectors. The Company relies primarily on the Company’s Tier 1 direct suppliers to provide information on the origin of the necessary 3TGs contained in components and materials supplied to us, including sources of necessary 3TGs that are supplied to them from lower tier suppliers.</w:t>
      </w:r>
    </w:p>
    <w:p>
      <w:pPr>
        <w:pStyle w:val="TextBody"/>
        <w:bidi w:val="0"/>
        <w:spacing w:before="5" w:after="283"/>
        <w:jc w:val="left"/>
        <w:rPr/>
      </w:pPr>
      <w:r>
        <w:rPr/>
      </w:r>
    </w:p>
    <w:p>
      <w:pPr>
        <w:pStyle w:val="TextBody"/>
        <w:bidi w:val="0"/>
        <w:spacing w:lineRule="auto" w:line="37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has leveraged existing communications within the Company, specifically through the Company’s procurement personnel, to encourage supplier interactions with Assent as well for them to understand the need for completion of the surveys. LivaNova continues to place a strong emphasis 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76" w:before="6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education and training. To accomplish this, Assent’s online resources are leveraged, and all in-scope suppliers have been provided with access to the library of conflict minerals training and support resources.</w:t>
      </w:r>
    </w:p>
    <w:p>
      <w:pPr>
        <w:pStyle w:val="TextBody"/>
        <w:bidi w:val="0"/>
        <w:spacing w:before="4" w:after="283"/>
        <w:jc w:val="left"/>
        <w:rPr/>
      </w:pPr>
      <w:r>
        <w:rPr/>
      </w:r>
    </w:p>
    <w:p>
      <w:pPr>
        <w:pStyle w:val="TextBody"/>
        <w:bidi w:val="0"/>
        <w:spacing w:lineRule="auto" w:line="319"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engages with suppliers directly to request a valid CMRT for the products that they supply to LivaNova. With respect to the OECD requirement to strengthen engagement with suppliers, LivaNova has developed an internal process that includes steps of supplier engagement escalation such as in-person meetings and corrective actions.</w:t>
      </w:r>
    </w:p>
    <w:p>
      <w:pPr>
        <w:pStyle w:val="TextBody"/>
        <w:bidi w:val="0"/>
        <w:spacing w:before="5" w:after="283"/>
        <w:jc w:val="left"/>
        <w:rPr/>
      </w:pPr>
      <w:r>
        <w:rPr/>
      </w:r>
    </w:p>
    <w:p>
      <w:pPr>
        <w:pStyle w:val="TextBody"/>
        <w:bidi w:val="0"/>
        <w:spacing w:lineRule="auto" w:line="379"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believes that the combination of the Company’s, Third-Party Code of Ethics and Business Conduct, and direct engagement with suppliers for conflict minerals training and requests constitute a strong supplier engagement program.</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Grievance Mechanism</w:t>
      </w:r>
    </w:p>
    <w:p>
      <w:pPr>
        <w:pStyle w:val="TextBody"/>
        <w:bidi w:val="0"/>
        <w:spacing w:before="6" w:after="283"/>
        <w:jc w:val="left"/>
        <w:rPr/>
      </w:pPr>
      <w:r>
        <w:rPr/>
      </w:r>
    </w:p>
    <w:p>
      <w:pPr>
        <w:pStyle w:val="TextBody"/>
        <w:bidi w:val="0"/>
        <w:spacing w:lineRule="auto" w:line="319"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proactively promotes ethical behavior and encourages all of its stakeholders to Speak Up and report violations of laws, regulations, and/or the Company’s policies and procedures, including the Company’s Code of Ethics and Business Conduct and the Company’s Third-Party Code of Conduct. While we encourage employees to raise issues with their managers, we also maintain an Ethics and Integrity Helpline where concerns can be reported confidentially and anonymously. All reports received are triaged to ensure timely and effective follow up.</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Records Maintenance</w:t>
      </w:r>
    </w:p>
    <w:p>
      <w:pPr>
        <w:pStyle w:val="TextBody"/>
        <w:bidi w:val="0"/>
        <w:spacing w:before="4" w:after="283"/>
        <w:jc w:val="left"/>
        <w:rPr/>
      </w:pPr>
      <w:r>
        <w:rPr/>
      </w:r>
    </w:p>
    <w:p>
      <w:pPr>
        <w:pStyle w:val="TextBody"/>
        <w:bidi w:val="0"/>
        <w:spacing w:lineRule="auto" w:line="324"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We have retained relevant documentation from the Company’s RCOI and due diligence process. Through Assent, a document retention policy to retain conflict minerals related documents for up to five years, including supplier responses to CMRTs and the sources identified within each reporting period, has been implemented.</w:t>
      </w:r>
    </w:p>
    <w:p>
      <w:pPr>
        <w:pStyle w:val="TextBody"/>
        <w:bidi w:val="0"/>
        <w:spacing w:before="10" w:after="283"/>
        <w:jc w:val="left"/>
        <w:rPr/>
      </w:pPr>
      <w:r>
        <w:rPr/>
      </w:r>
    </w:p>
    <w:p>
      <w:pPr>
        <w:pStyle w:val="TextBody"/>
        <w:bidi w:val="0"/>
        <w:spacing w:lineRule="auto" w:line="240" w:before="0" w:after="0"/>
        <w:ind w:left="0" w:right="0" w:hanging="407"/>
        <w:jc w:val="left"/>
        <w:rPr>
          <w:rFonts w:ascii="Times New Roman;sans-serif" w:hAnsi="Times New Roman;sans-serif"/>
          <w:b/>
          <w:color w:val="000000"/>
          <w:sz w:val="18"/>
        </w:rPr>
      </w:pPr>
      <w:r>
        <w:rPr>
          <w:rFonts w:ascii="Times New Roman;sans-serif" w:hAnsi="Times New Roman;sans-serif"/>
          <w:b/>
          <w:color w:val="000000"/>
          <w:sz w:val="18"/>
        </w:rPr>
        <w:t>1.1.1Identify and Assess Risk in LivaNova’s Supply Chain</w:t>
      </w:r>
    </w:p>
    <w:p>
      <w:pPr>
        <w:pStyle w:val="TextBody"/>
        <w:bidi w:val="0"/>
        <w:spacing w:before="6"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The ACM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 step process for supplier engagement and upstream due diligence investigations performed, are managed through this platform. Risks associated with supplier CMRT content are identified automatically in the ACM based on criteria established for supplier responses. These risks are addressed by Assent staff and members of the internal Conflict Minerals Team, who contact the supplier, gather pertinent data and perform an assessment of the supplier’s conflict minerals status.</w:t>
      </w:r>
    </w:p>
    <w:p>
      <w:pPr>
        <w:pStyle w:val="TextBody"/>
        <w:bidi w:val="0"/>
        <w:spacing w:before="8" w:after="283"/>
        <w:jc w:val="left"/>
        <w:rPr/>
      </w:pPr>
      <w:r>
        <w:rPr/>
      </w:r>
    </w:p>
    <w:p>
      <w:pPr>
        <w:pStyle w:val="TextBody"/>
        <w:bidi w:val="0"/>
        <w:spacing w:lineRule="auto" w:line="31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Risks at the supplier level may include non-responsive suppliers, incomplete CMRTs, or CMRTs that are submitted at the company level. LivaNova is unable to determine if all of the specified SORs were used for necessary 3TGs in the products supplied to the Company in the case of a company-level CMRT.</w:t>
      </w:r>
    </w:p>
    <w:p>
      <w:pPr>
        <w:pStyle w:val="TextBody"/>
        <w:bidi w:val="0"/>
        <w:spacing w:before="7" w:after="283"/>
        <w:jc w:val="left"/>
        <w:rPr/>
      </w:pPr>
      <w:r>
        <w:rPr/>
      </w:r>
    </w:p>
    <w:p>
      <w:pPr>
        <w:pStyle w:val="TextBody"/>
        <w:bidi w:val="0"/>
        <w:spacing w:lineRule="auto" w:line="319"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Risks were identified by assessing the due diligence practices and status of SORs identified in the supply chain by upstream suppliers that listed mineral processing facilities on their CMRT declarations. Assent compared facilities listed in the responses to the list of SORs consolidated by the Responsible Minerals Initiative (RMI) to ensure that the facilities met the recognized definition of a 3TG processing facility that was operational during the 2022 calendar year.</w:t>
      </w:r>
    </w:p>
    <w:p>
      <w:pPr>
        <w:pStyle w:val="TextBody"/>
        <w:bidi w:val="0"/>
        <w:spacing w:before="6" w:after="283"/>
        <w:jc w:val="left"/>
        <w:rPr/>
      </w:pPr>
      <w:r>
        <w:rPr/>
      </w:r>
    </w:p>
    <w:p>
      <w:pPr>
        <w:pStyle w:val="TextBody"/>
        <w:bidi w:val="0"/>
        <w:spacing w:lineRule="auto" w:line="33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Assent determined if the smelter or refiner had been audited against a standard in conformance with the OECD Guidance, such as the Responsible Minerals Assurance Process (“RMAP”). LivaNova does not have a direct relationship with SORs and does not perform direct audits of these entities within their supply chain. SORs that have completed an RMAP audit (“RMAP Conformant”) are considered to be DRC-conflict free. In cases where the SOR’s due diligence practices have not been audited against the RMAP standard or they are considered non-conformant by RMAP, follow-ups are made to suppliers reporting those facilities. SORs are then assessed for the potential for sourcing risk.</w:t>
      </w:r>
    </w:p>
    <w:p>
      <w:pPr>
        <w:pStyle w:val="TextBody"/>
        <w:bidi w:val="0"/>
        <w:spacing w:before="9"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Each facility that meets the definition of a SOR of a 3TG mineral is assessed according to red-flag indicators defined in the OECD Guidance. Assent uses numerous factors to determine the level of risk that each SOR poses to the supply chain by identifying red flags. These factors include:</w:t>
      </w:r>
    </w:p>
    <w:p>
      <w:pPr>
        <w:pStyle w:val="TextBody"/>
        <w:bidi w:val="0"/>
        <w:spacing w:before="5" w:after="283"/>
        <w:jc w:val="left"/>
        <w:rPr/>
      </w:pPr>
      <w:r>
        <w:rPr/>
      </w:r>
    </w:p>
    <w:p>
      <w:pPr>
        <w:pStyle w:val="TextBody"/>
        <w:bidi w:val="0"/>
        <w:spacing w:lineRule="auto" w:line="240" w:before="0" w:after="0"/>
        <w:ind w:left="0" w:right="0" w:hanging="322"/>
        <w:jc w:val="left"/>
        <w:rPr/>
      </w:pPr>
      <w:r>
        <w:rPr>
          <w:color w:val="000000"/>
        </w:rPr>
        <w:t>•</w:t>
      </w:r>
      <w:r>
        <w:rPr>
          <w:rFonts w:ascii="Times New Roman;sans-serif" w:hAnsi="Times New Roman;sans-serif"/>
          <w:b w:val="false"/>
          <w:color w:val="000000"/>
          <w:sz w:val="18"/>
        </w:rPr>
        <w:t>Geographic proximity to the DRC and other Covered Countries</w:t>
      </w:r>
    </w:p>
    <w:p>
      <w:pPr>
        <w:pStyle w:val="TextBody"/>
        <w:bidi w:val="0"/>
        <w:spacing w:lineRule="auto" w:line="240" w:before="23" w:after="283"/>
        <w:ind w:left="0" w:right="0" w:hanging="322"/>
        <w:jc w:val="left"/>
        <w:rPr/>
      </w:pPr>
      <w:r>
        <w:rPr>
          <w:color w:val="000000"/>
        </w:rPr>
        <w:t>•</w:t>
      </w:r>
      <w:r>
        <w:rPr>
          <w:rFonts w:ascii="Times New Roman;sans-serif" w:hAnsi="Times New Roman;sans-serif"/>
          <w:b w:val="false"/>
          <w:color w:val="000000"/>
          <w:sz w:val="18"/>
        </w:rPr>
        <w:t>Known mineral source country of origin</w:t>
      </w:r>
    </w:p>
    <w:p>
      <w:pPr>
        <w:pStyle w:val="TextBody"/>
        <w:bidi w:val="0"/>
        <w:spacing w:lineRule="auto" w:line="240" w:before="21" w:after="283"/>
        <w:ind w:left="0" w:right="0" w:hanging="322"/>
        <w:jc w:val="left"/>
        <w:rPr/>
      </w:pPr>
      <w:r>
        <w:rPr>
          <w:color w:val="000000"/>
        </w:rPr>
        <w:t>•</w:t>
      </w:r>
      <w:r>
        <w:rPr>
          <w:rFonts w:ascii="Times New Roman;sans-serif" w:hAnsi="Times New Roman;sans-serif"/>
          <w:b w:val="false"/>
          <w:color w:val="000000"/>
          <w:sz w:val="18"/>
        </w:rPr>
        <w:t>RMAP audit status</w:t>
      </w:r>
    </w:p>
    <w:p>
      <w:pPr>
        <w:pStyle w:val="TextBody"/>
        <w:bidi w:val="0"/>
        <w:spacing w:lineRule="auto" w:line="240" w:before="24" w:after="283"/>
        <w:ind w:left="0" w:right="0" w:hanging="322"/>
        <w:jc w:val="left"/>
        <w:rPr/>
      </w:pPr>
      <w:r>
        <w:rPr>
          <w:color w:val="000000"/>
        </w:rPr>
        <w:t>•</w:t>
      </w:r>
      <w:r>
        <w:rPr>
          <w:rFonts w:ascii="Times New Roman;sans-serif" w:hAnsi="Times New Roman;sans-serif"/>
          <w:b w:val="false"/>
          <w:color w:val="000000"/>
          <w:sz w:val="18"/>
        </w:rPr>
        <w:t>Credible evidence of unethical or conflict sourcing</w:t>
      </w:r>
    </w:p>
    <w:p>
      <w:pPr>
        <w:pStyle w:val="TextBody"/>
        <w:bidi w:val="0"/>
        <w:spacing w:lineRule="auto" w:line="276" w:before="21" w:after="283"/>
        <w:ind w:left="0" w:right="0" w:hanging="322"/>
        <w:jc w:val="left"/>
        <w:rPr/>
      </w:pPr>
      <w:r>
        <w:rPr>
          <w:color w:val="000000"/>
        </w:rPr>
        <w:t>•</w:t>
      </w:r>
      <w:r>
        <w:rPr>
          <w:rFonts w:ascii="Times New Roman;sans-serif" w:hAnsi="Times New Roman;sans-serif"/>
          <w:b w:val="false"/>
          <w:color w:val="000000"/>
          <w:sz w:val="18"/>
        </w:rPr>
        <w:t>Peer assessments conducted by credible third-party sources, and/or</w:t>
      </w:r>
    </w:p>
    <w:p>
      <w:pPr>
        <w:pStyle w:val="TextBody"/>
        <w:bidi w:val="0"/>
        <w:spacing w:lineRule="auto" w:line="276" w:before="0" w:after="0"/>
        <w:ind w:left="0" w:right="0" w:hanging="322"/>
        <w:jc w:val="left"/>
        <w:rPr/>
      </w:pPr>
      <w:r>
        <w:rPr>
          <w:color w:val="000000"/>
        </w:rPr>
        <w:t>•</w:t>
      </w:r>
      <w:r>
        <w:rPr>
          <w:rFonts w:ascii="Times New Roman;sans-serif" w:hAnsi="Times New Roman;sans-serif"/>
          <w:b w:val="false"/>
          <w:color w:val="000000"/>
          <w:sz w:val="18"/>
        </w:rPr>
        <w:t>Sanctions risks</w:t>
      </w:r>
    </w:p>
    <w:p>
      <w:pPr>
        <w:pStyle w:val="TextBody"/>
        <w:bidi w:val="0"/>
        <w:spacing w:before="1" w:after="283"/>
        <w:jc w:val="left"/>
        <w:rPr/>
      </w:pPr>
      <w:r>
        <w:rPr/>
      </w:r>
    </w:p>
    <w:p>
      <w:pPr>
        <w:pStyle w:val="TextBody"/>
        <w:bidi w:val="0"/>
        <w:spacing w:lineRule="auto" w:line="364"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Risk mitigation activities are initiated whenever a supplier’s CMRT reported facilities of concern. Through Assent, suppliers with submissions that included any SORs of concern were immediately provided with feedback instructing that supplier to take their own independent risk mitigation actions. Additional escalation may have been necessary to address any continued sourcing from these SORs of concern. Suppliers are given clear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64" w:before="66"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objectives within reasonable timeframes with the ultimate goal of progressive elimination of these SORs of concern from the supply chain. In addition, suppliers are guided to the educational materials on mitigating the risks identified through the data collection process.</w:t>
      </w:r>
    </w:p>
    <w:p>
      <w:pPr>
        <w:pStyle w:val="TextBody"/>
        <w:bidi w:val="0"/>
        <w:spacing w:before="6" w:after="283"/>
        <w:jc w:val="left"/>
        <w:rPr/>
      </w:pPr>
      <w:r>
        <w:rPr/>
      </w:r>
    </w:p>
    <w:p>
      <w:pPr>
        <w:pStyle w:val="TextBody"/>
        <w:bidi w:val="0"/>
        <w:spacing w:lineRule="auto" w:line="417"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pStyle w:val="TextBody"/>
        <w:bidi w:val="0"/>
        <w:spacing w:before="2" w:after="283"/>
        <w:jc w:val="left"/>
        <w:rPr/>
      </w:pPr>
      <w:r>
        <w:rPr/>
      </w:r>
    </w:p>
    <w:p>
      <w:pPr>
        <w:pStyle w:val="TextBody"/>
        <w:bidi w:val="0"/>
        <w:spacing w:lineRule="auto" w:line="240" w:before="0" w:after="0"/>
        <w:ind w:left="0" w:right="0" w:hanging="407"/>
        <w:jc w:val="left"/>
        <w:rPr>
          <w:rFonts w:ascii="Times New Roman;sans-serif" w:hAnsi="Times New Roman;sans-serif"/>
          <w:b/>
          <w:color w:val="000000"/>
          <w:sz w:val="18"/>
        </w:rPr>
      </w:pPr>
      <w:r>
        <w:rPr>
          <w:rFonts w:ascii="Times New Roman;sans-serif" w:hAnsi="Times New Roman;sans-serif"/>
          <w:b/>
          <w:color w:val="000000"/>
          <w:sz w:val="18"/>
        </w:rPr>
        <w:t>1.1.2Design and Implement a Strategy to Respond to Risks</w:t>
      </w:r>
    </w:p>
    <w:p>
      <w:pPr>
        <w:pStyle w:val="TextBody"/>
        <w:bidi w:val="0"/>
        <w:spacing w:before="6" w:after="283"/>
        <w:jc w:val="left"/>
        <w:rPr/>
      </w:pPr>
      <w:r>
        <w:rPr/>
      </w:r>
    </w:p>
    <w:p>
      <w:pPr>
        <w:pStyle w:val="TextBody"/>
        <w:bidi w:val="0"/>
        <w:spacing w:lineRule="auto" w:line="31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Together with Assent, LivaNova developed processes to assess and respond to the risks identified in the supply chain. LivaNova has a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LivaNova’s expectations.</w:t>
      </w:r>
    </w:p>
    <w:p>
      <w:pPr>
        <w:pStyle w:val="TextBody"/>
        <w:bidi w:val="0"/>
        <w:spacing w:before="8" w:after="283"/>
        <w:jc w:val="left"/>
        <w:rPr/>
      </w:pPr>
      <w:r>
        <w:rPr/>
      </w:r>
    </w:p>
    <w:p>
      <w:pPr>
        <w:pStyle w:val="TextBody"/>
        <w:bidi w:val="0"/>
        <w:spacing w:lineRule="auto" w:line="350"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Feedback on supplier submissions is given directly to suppliers, and educational resources are provided to assist suppliers in corrective action methods or to improve their internal programs. Assent also communicates directly with SORs that have not yet been determined to be RMAP Conformant to request sourcing information and encourage their involvement with the RMI program.</w:t>
      </w:r>
    </w:p>
    <w:p>
      <w:pPr>
        <w:pStyle w:val="TextBody"/>
        <w:bidi w:val="0"/>
        <w:spacing w:before="8" w:after="283"/>
        <w:jc w:val="left"/>
        <w:rPr/>
      </w:pPr>
      <w:r>
        <w:rPr/>
      </w:r>
    </w:p>
    <w:p>
      <w:pPr>
        <w:pStyle w:val="TextBody"/>
        <w:bidi w:val="0"/>
        <w:spacing w:lineRule="auto" w:line="343"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In cases where suppliers have continuously been non-responsive or are not committed to corrective action plans, LivaNova assesses if replacement of such supplier is feasible.</w:t>
      </w:r>
    </w:p>
    <w:p>
      <w:pPr>
        <w:pStyle w:val="TextBody"/>
        <w:bidi w:val="0"/>
        <w:spacing w:before="7" w:after="283"/>
        <w:jc w:val="left"/>
        <w:rPr/>
      </w:pPr>
      <w:r>
        <w:rPr/>
      </w:r>
    </w:p>
    <w:p>
      <w:pPr>
        <w:pStyle w:val="TextBody"/>
        <w:bidi w:val="0"/>
        <w:spacing w:lineRule="auto" w:line="240" w:before="0" w:after="0"/>
        <w:ind w:left="0" w:right="0" w:hanging="407"/>
        <w:jc w:val="left"/>
        <w:rPr>
          <w:rFonts w:ascii="Times New Roman;sans-serif" w:hAnsi="Times New Roman;sans-serif"/>
          <w:b/>
          <w:color w:val="000000"/>
          <w:sz w:val="18"/>
        </w:rPr>
      </w:pPr>
      <w:r>
        <w:rPr>
          <w:rFonts w:ascii="Times New Roman;sans-serif" w:hAnsi="Times New Roman;sans-serif"/>
          <w:b/>
          <w:color w:val="000000"/>
          <w:sz w:val="18"/>
        </w:rPr>
        <w:t>1.1.3Carry out Independent Third-Party Audit of Supply Chain Due Diligence at Identified Points in the Supply Chain</w:t>
      </w:r>
    </w:p>
    <w:p>
      <w:pPr>
        <w:pStyle w:val="TextBody"/>
        <w:bidi w:val="0"/>
        <w:spacing w:before="6"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does not have a direct relationship with SORs of 3TGs and as a result, LivaNova does not perform direct audits of these entities in its supply chain. LivaNova relies on the efforts of the industry associations that administer independent third-party SOR audit programs and encourages suppliers with more direct relationships with SORs to participate in comparable due diligence validation activities. Assent also directly contacts smelters and refiners that are not currently enrolled in the RMAP to encourage their participation and gather information regarding each facilities’ sourcing practices on behalf of its compliance partners.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4.1.5. Report on Supply Chain Due Diligence</w:t>
      </w:r>
    </w:p>
    <w:p>
      <w:pPr>
        <w:pStyle w:val="TextBody"/>
        <w:bidi w:val="0"/>
        <w:spacing w:before="6" w:after="283"/>
        <w:jc w:val="left"/>
        <w:rPr/>
      </w:pPr>
      <w:r>
        <w:rPr/>
      </w:r>
    </w:p>
    <w:p>
      <w:pPr>
        <w:pStyle w:val="TextBody"/>
        <w:bidi w:val="0"/>
        <w:spacing w:lineRule="auto" w:line="338" w:before="0" w:after="0"/>
        <w:ind w:left="0" w:right="0" w:firstLine="648"/>
        <w:jc w:val="both"/>
        <w:rPr/>
      </w:pPr>
      <w:r>
        <w:rPr>
          <w:rFonts w:ascii="Times New Roman;sans-serif" w:hAnsi="Times New Roman;sans-serif"/>
          <w:b w:val="false"/>
          <w:color w:val="000000"/>
          <w:sz w:val="18"/>
        </w:rPr>
        <w:t xml:space="preserve">This Conflict Minerals Report is being filed with the SEC as an exhibit to LivaNova’s specialized disclosure report on Form SD and is available on the Company’s website at </w:t>
      </w:r>
      <w:r>
        <w:rPr>
          <w:rFonts w:ascii="Times New Roman;sans-serif" w:hAnsi="Times New Roman;sans-serif"/>
          <w:b w:val="false"/>
          <w:color w:val="0462C1"/>
          <w:sz w:val="18"/>
          <w:u w:val="single"/>
        </w:rPr>
        <w:t>https://investor.livanova.com/financial-information/sec-filings</w:t>
      </w:r>
      <w:r>
        <w:rPr>
          <w:rFonts w:ascii="Times New Roman;sans-serif" w:hAnsi="Times New Roman;sans-serif"/>
          <w:b w:val="false"/>
          <w:color w:val="000000"/>
          <w:sz w:val="18"/>
        </w:rPr>
        <w:t>.</w:t>
      </w:r>
    </w:p>
    <w:p>
      <w:pPr>
        <w:pStyle w:val="TextBody"/>
        <w:bidi w:val="0"/>
        <w:spacing w:before="6" w:after="283"/>
        <w:jc w:val="left"/>
        <w:rPr/>
      </w:pPr>
      <w:r>
        <w:rPr/>
      </w:r>
    </w:p>
    <w:p>
      <w:pPr>
        <w:pStyle w:val="TextBody"/>
        <w:bidi w:val="0"/>
        <w:spacing w:lineRule="auto" w:line="324" w:before="76"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LivaNova has also considered impacts from the European Union Conflict Minerals Rule when disclosing details with regards to due diligence efforts. We continue to expand efforts to increase transparency through the Company’s data collection process and risk evaluation, as well as for disclosure by way of public reporting tools.</w:t>
      </w:r>
    </w:p>
    <w:p>
      <w:pPr>
        <w:pStyle w:val="TextBody"/>
        <w:bidi w:val="0"/>
        <w:spacing w:before="10" w:after="283"/>
        <w:jc w:val="left"/>
        <w:rPr/>
      </w:pPr>
      <w:r>
        <w:rPr/>
      </w:r>
    </w:p>
    <w:p>
      <w:pPr>
        <w:pStyle w:val="TextBody"/>
        <w:bidi w:val="0"/>
        <w:spacing w:lineRule="auto" w:line="240" w:before="0" w:after="0"/>
        <w:ind w:left="0" w:right="0" w:hanging="324"/>
        <w:jc w:val="left"/>
        <w:rPr>
          <w:rFonts w:ascii="Times New Roman;sans-serif" w:hAnsi="Times New Roman;sans-serif"/>
          <w:b/>
          <w:color w:val="000000"/>
          <w:sz w:val="18"/>
        </w:rPr>
      </w:pPr>
      <w:r>
        <w:rPr>
          <w:rFonts w:ascii="Times New Roman;sans-serif" w:hAnsi="Times New Roman;sans-serif"/>
          <w:b/>
          <w:color w:val="000000"/>
          <w:sz w:val="18"/>
        </w:rPr>
        <w:t>5.Due Diligence Results</w:t>
      </w:r>
    </w:p>
    <w:p>
      <w:pPr>
        <w:pStyle w:val="TextBody"/>
        <w:bidi w:val="0"/>
        <w:spacing w:before="7"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During the Company’s due diligence efforts, members of Assent and/or members of the LivaNova supply chain team made several follow-up inquiries to each “non-responsive” supplier who did not respond to the Company’s initial survey, by phone or email. Assent reviewed the responses against criteria developed to determine which required further engagement with the Company’s suppliers. These criteria included incomplete responses as well as inconsistencies within the data reported in the CMRT. Assent worked directly with those suppliers to provide revised responses.</w:t>
      </w:r>
    </w:p>
    <w:p>
      <w:pPr>
        <w:pStyle w:val="TextBody"/>
        <w:bidi w:val="0"/>
        <w:spacing w:before="2" w:after="283"/>
        <w:jc w:val="left"/>
        <w:rPr/>
      </w:pPr>
      <w:r>
        <w:rPr/>
      </w:r>
    </w:p>
    <w:p>
      <w:pPr>
        <w:pStyle w:val="TextBody"/>
        <w:bidi w:val="0"/>
        <w:spacing w:lineRule="auto" w:line="321"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The large majority of the received responses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necessary 3TGs that these suppliers reported were contained in components or parts supplied directly to us.</w:t>
      </w:r>
    </w:p>
    <w:p>
      <w:pPr>
        <w:pStyle w:val="TextBody"/>
        <w:bidi w:val="0"/>
        <w:spacing w:before="9" w:after="283"/>
        <w:jc w:val="left"/>
        <w:rPr/>
      </w:pPr>
      <w:r>
        <w:rPr/>
      </w:r>
    </w:p>
    <w:p>
      <w:pPr>
        <w:pStyle w:val="TextBody"/>
        <w:bidi w:val="0"/>
        <w:spacing w:lineRule="auto" w:line="333" w:before="0" w:after="0"/>
        <w:ind w:left="0" w:right="0" w:firstLine="648"/>
        <w:jc w:val="both"/>
        <w:rPr/>
      </w:pPr>
      <w:r>
        <w:rPr>
          <w:rFonts w:ascii="Times New Roman;sans-serif" w:hAnsi="Times New Roman;sans-serif"/>
          <w:b w:val="false"/>
          <w:color w:val="000000"/>
          <w:sz w:val="18"/>
        </w:rPr>
        <w:t xml:space="preserve">As noted above, LivaNova received 202 responses from the Company’s in-scope suppliers as of May 12, 2023. Based on these responses, for all responses that indicated a SOR, the Company’s third-party consultant compared the facilities listed to the list of SORs maintained by the RMI. If a supplier indicated that the facility was certified as “Conflict-Free,” Assent confirmed that the name was listed by RMI as RMAP Conformant. As of May 12, 2023, LivaNova has validated 344 SORs, and the Company is working to validate the additional SOR entries from the submitted CMRTs. </w:t>
      </w:r>
      <w:r>
        <w:rPr>
          <w:rFonts w:ascii="Times New Roman;sans-serif" w:hAnsi="Times New Roman;sans-serif"/>
          <w:b w:val="false"/>
          <w:color w:val="000000"/>
          <w:sz w:val="18"/>
          <w:u w:val="single"/>
        </w:rPr>
        <w:t xml:space="preserve">Appendix A </w:t>
      </w:r>
      <w:r>
        <w:rPr>
          <w:rFonts w:ascii="Times New Roman;sans-serif" w:hAnsi="Times New Roman;sans-serif"/>
          <w:b w:val="false"/>
          <w:color w:val="000000"/>
          <w:sz w:val="18"/>
        </w:rPr>
        <w:t xml:space="preserve">lists all validated smelters and refiners that the suppliers the Company surveyed reported as being in their supply chains. LivaNova has not listed in </w:t>
      </w:r>
      <w:r>
        <w:rPr>
          <w:rFonts w:ascii="Times New Roman;sans-serif" w:hAnsi="Times New Roman;sans-serif"/>
          <w:b w:val="false"/>
          <w:color w:val="000000"/>
          <w:sz w:val="18"/>
          <w:u w:val="single"/>
        </w:rPr>
        <w:t xml:space="preserve">Appendix A </w:t>
      </w:r>
      <w:r>
        <w:rPr>
          <w:rFonts w:ascii="Times New Roman;sans-serif" w:hAnsi="Times New Roman;sans-serif"/>
          <w:b w:val="false"/>
          <w:color w:val="000000"/>
          <w:sz w:val="18"/>
        </w:rPr>
        <w:t xml:space="preserve">any smelters or refiners that the Company has not been able to validate. </w:t>
      </w:r>
      <w:r>
        <w:rPr>
          <w:rFonts w:ascii="Times New Roman;sans-serif" w:hAnsi="Times New Roman;sans-serif"/>
          <w:b w:val="false"/>
          <w:color w:val="000000"/>
          <w:sz w:val="18"/>
          <w:u w:val="single"/>
        </w:rPr>
        <w:t xml:space="preserve">Appendix B </w:t>
      </w:r>
      <w:r>
        <w:rPr>
          <w:rFonts w:ascii="Times New Roman;sans-serif" w:hAnsi="Times New Roman;sans-serif"/>
          <w:b w:val="false"/>
          <w:color w:val="000000"/>
          <w:sz w:val="18"/>
        </w:rPr>
        <w:t xml:space="preserve">includes an aggregated list of the potential countries of origin from which the reported SORs collectively source 3TGs, based on information provided through the CMRT data collection process, from direct smelter outreach and the RMAP. It is understood that many responses may provide more data than can be directly linked to LivaNova products, therefore, </w:t>
      </w:r>
      <w:r>
        <w:rPr>
          <w:rFonts w:ascii="Times New Roman;sans-serif" w:hAnsi="Times New Roman;sans-serif"/>
          <w:b w:val="false"/>
          <w:color w:val="000000"/>
          <w:sz w:val="18"/>
          <w:u w:val="single"/>
        </w:rPr>
        <w:t xml:space="preserve">Appendix B </w:t>
      </w:r>
      <w:r>
        <w:rPr>
          <w:rFonts w:ascii="Times New Roman;sans-serif" w:hAnsi="Times New Roman;sans-serif"/>
          <w:b w:val="false"/>
          <w:color w:val="000000"/>
          <w:sz w:val="18"/>
        </w:rPr>
        <w:t>may contain more countries than those that the necessary 3TGs in the Company’s products are being sourced from.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21" w:before="66" w:after="283"/>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Based on the smelter lists provided by suppliers via the CMRTs and publicly available information, LivaNova has identified 222 SORs that are RMAP Conformant and an additional 8 that are RMAP Active (meaning they have committed to undergo an RMAP assessment, completed the relevant documents, and scheduled the on-site assessment) as defined by the RMI smelter data. The remaining 114 have been identified as Non-Conformant, Not Enrolled, or Not Applicable (i.e., operational status unknown).</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Efforts to Determine Mine or Location of Origin</w:t>
      </w:r>
    </w:p>
    <w:p>
      <w:pPr>
        <w:pStyle w:val="TextBody"/>
        <w:bidi w:val="0"/>
        <w:spacing w:before="6" w:after="283"/>
        <w:jc w:val="left"/>
        <w:rPr/>
      </w:pPr>
      <w:r>
        <w:rPr/>
      </w:r>
    </w:p>
    <w:p>
      <w:pPr>
        <w:pStyle w:val="TextBody"/>
        <w:bidi w:val="0"/>
        <w:spacing w:lineRule="auto" w:line="316" w:before="0" w:after="0"/>
        <w:ind w:left="0" w:right="0" w:firstLine="648"/>
        <w:jc w:val="both"/>
        <w:rPr>
          <w:rFonts w:ascii="Times New Roman;sans-serif" w:hAnsi="Times New Roman;sans-serif"/>
          <w:b w:val="false"/>
          <w:color w:val="000000"/>
          <w:sz w:val="18"/>
        </w:rPr>
      </w:pPr>
      <w:r>
        <w:rPr>
          <w:rFonts w:ascii="Times New Roman;sans-serif" w:hAnsi="Times New Roman;sans-serif"/>
          <w:b w:val="false"/>
          <w:color w:val="000000"/>
          <w:sz w:val="18"/>
        </w:rPr>
        <w:t>By requesting that the Company’s suppliers complete the CMRT, and, as the program progresses, requiring full completion of all necessary smelter identification information, which will enable the validation and disclosure of the SORs as well as the tracing of the 3TGs to their location of origin, LivaNova has determined that seeking information about 3TGs SORs in the Company’s supply chain represents the most reasonable effort the Company can make to determine the mines or locations of origin of the necessary 3TGs in the Company’s supply chain.</w:t>
      </w:r>
    </w:p>
    <w:p>
      <w:pPr>
        <w:pStyle w:val="TextBody"/>
        <w:bidi w:val="0"/>
        <w:spacing w:before="10" w:after="283"/>
        <w:jc w:val="left"/>
        <w:rPr/>
      </w:pPr>
      <w:r>
        <w:rPr/>
      </w:r>
    </w:p>
    <w:p>
      <w:pPr>
        <w:pStyle w:val="TextBody"/>
        <w:bidi w:val="0"/>
        <w:spacing w:lineRule="auto" w:line="240" w:before="0" w:after="0"/>
        <w:ind w:left="0" w:right="0" w:hanging="324"/>
        <w:jc w:val="left"/>
        <w:rPr>
          <w:rFonts w:ascii="Times New Roman;sans-serif" w:hAnsi="Times New Roman;sans-serif"/>
          <w:b/>
          <w:color w:val="000000"/>
          <w:sz w:val="18"/>
        </w:rPr>
      </w:pPr>
      <w:r>
        <w:rPr>
          <w:rFonts w:ascii="Times New Roman;sans-serif" w:hAnsi="Times New Roman;sans-serif"/>
          <w:b/>
          <w:color w:val="000000"/>
          <w:sz w:val="18"/>
        </w:rPr>
        <w:t>6.Planned Process Improvements to Mitigate Risks</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LivaNova intends to take the following steps to improve the Company’s conflict minerals program:</w:t>
      </w:r>
    </w:p>
    <w:p>
      <w:pPr>
        <w:pStyle w:val="TextBody"/>
        <w:bidi w:val="0"/>
        <w:spacing w:before="4" w:after="283"/>
        <w:jc w:val="left"/>
        <w:rPr/>
      </w:pPr>
      <w:r>
        <w:rPr/>
      </w:r>
    </w:p>
    <w:p>
      <w:pPr>
        <w:pStyle w:val="TextBody"/>
        <w:bidi w:val="0"/>
        <w:spacing w:lineRule="auto" w:line="240" w:before="0" w:after="0"/>
        <w:ind w:left="0" w:right="0" w:hanging="324"/>
        <w:jc w:val="left"/>
        <w:rPr/>
      </w:pPr>
      <w:r>
        <w:rPr>
          <w:color w:val="000000"/>
        </w:rPr>
        <w:t>•</w:t>
      </w:r>
      <w:r>
        <w:rPr>
          <w:rFonts w:ascii="Times New Roman;sans-serif" w:hAnsi="Times New Roman;sans-serif"/>
          <w:b w:val="false"/>
          <w:color w:val="000000"/>
          <w:sz w:val="18"/>
        </w:rPr>
        <w:t>Track and add new suppliers who provide components containing necessary 3TGs to the conflict minerals program.</w:t>
      </w:r>
    </w:p>
    <w:p>
      <w:pPr>
        <w:pStyle w:val="TextBody"/>
        <w:bidi w:val="0"/>
        <w:spacing w:before="10" w:after="283"/>
        <w:jc w:val="left"/>
        <w:rPr/>
      </w:pPr>
      <w:r>
        <w:rPr/>
      </w:r>
    </w:p>
    <w:p>
      <w:pPr>
        <w:pStyle w:val="TextBody"/>
        <w:bidi w:val="0"/>
        <w:spacing w:lineRule="auto" w:line="338" w:before="0" w:after="0"/>
        <w:ind w:left="0" w:right="0" w:hanging="324"/>
        <w:jc w:val="left"/>
        <w:rPr/>
      </w:pPr>
      <w:r>
        <w:rPr>
          <w:color w:val="000000"/>
        </w:rPr>
        <w:t>•</w:t>
      </w:r>
      <w:r>
        <w:rPr>
          <w:rFonts w:ascii="Times New Roman;sans-serif" w:hAnsi="Times New Roman;sans-serif"/>
          <w:b w:val="false"/>
          <w:color w:val="000000"/>
          <w:sz w:val="18"/>
        </w:rPr>
        <w:t>Engage with suppliers and direct them to training resources to increase the response rate and improve the content of the supplier survey responses.</w:t>
      </w:r>
    </w:p>
    <w:p>
      <w:pPr>
        <w:pStyle w:val="TextBody"/>
        <w:bidi w:val="0"/>
        <w:spacing w:before="2" w:after="283"/>
        <w:jc w:val="left"/>
        <w:rPr/>
      </w:pPr>
      <w:r>
        <w:rPr/>
      </w:r>
    </w:p>
    <w:p>
      <w:pPr>
        <w:pStyle w:val="TextBody"/>
        <w:bidi w:val="0"/>
        <w:spacing w:lineRule="auto" w:line="343" w:before="0" w:after="0"/>
        <w:ind w:left="0" w:right="0" w:hanging="324"/>
        <w:jc w:val="left"/>
        <w:rPr/>
      </w:pPr>
      <w:r>
        <w:rPr>
          <w:color w:val="000000"/>
        </w:rPr>
        <w:t>•</w:t>
      </w:r>
      <w:r>
        <w:rPr>
          <w:rFonts w:ascii="Times New Roman;sans-serif" w:hAnsi="Times New Roman;sans-serif"/>
          <w:b w:val="false"/>
          <w:color w:val="000000"/>
          <w:sz w:val="18"/>
        </w:rPr>
        <w:t>Engage any suppliers found to be supplying necessary 3TG from sources in the DRC or any adjoining country that is not definitively “DRC conflict free”, to establish an alternative source of 3TG that they can definitively identify as “DRC conflict free”.</w:t>
      </w:r>
    </w:p>
    <w:p>
      <w:pPr>
        <w:pStyle w:val="TextBody"/>
        <w:bidi w:val="0"/>
        <w:spacing w:before="0" w:after="0"/>
        <w:jc w:val="left"/>
        <w:rPr/>
      </w:pPr>
      <w:r>
        <w:rPr/>
      </w:r>
    </w:p>
    <w:p>
      <w:pPr>
        <w:pStyle w:val="TextBody"/>
        <w:bidi w:val="0"/>
        <w:spacing w:lineRule="auto" w:line="338" w:before="0" w:after="0"/>
        <w:ind w:left="0" w:right="0" w:hanging="324"/>
        <w:jc w:val="left"/>
        <w:rPr/>
      </w:pPr>
      <w:r>
        <w:rPr>
          <w:color w:val="000000"/>
        </w:rPr>
        <w:t>•</w:t>
      </w:r>
      <w:r>
        <w:rPr>
          <w:rFonts w:ascii="Times New Roman;sans-serif" w:hAnsi="Times New Roman;sans-serif"/>
          <w:b w:val="false"/>
          <w:color w:val="000000"/>
          <w:sz w:val="18"/>
        </w:rPr>
        <w:t>Continue to consider the European Union Conflict Minerals Rule within the Company’s conflict mineral program and when applicable to LivaNova, comply with the relevant requirements.</w:t>
      </w:r>
    </w:p>
    <w:p>
      <w:pPr>
        <w:pStyle w:val="TextBody"/>
        <w:bidi w:val="0"/>
        <w:spacing w:before="3" w:after="283"/>
        <w:jc w:val="left"/>
        <w:rPr/>
      </w:pPr>
      <w:r>
        <w:rPr/>
      </w:r>
    </w:p>
    <w:p>
      <w:pPr>
        <w:pStyle w:val="TextBody"/>
        <w:bidi w:val="0"/>
        <w:spacing w:lineRule="auto" w:line="338" w:before="0" w:after="0"/>
        <w:ind w:left="0" w:right="0" w:hanging="324"/>
        <w:jc w:val="left"/>
        <w:rPr/>
      </w:pPr>
      <w:r>
        <w:rPr>
          <w:color w:val="000000"/>
        </w:rPr>
        <w:t>•</w:t>
      </w:r>
      <w:r>
        <w:rPr>
          <w:rFonts w:ascii="Times New Roman;sans-serif" w:hAnsi="Times New Roman;sans-serif"/>
          <w:b w:val="false"/>
          <w:color w:val="000000"/>
          <w:sz w:val="18"/>
        </w:rPr>
        <w:t>Continue to evaluate the Company’s conflict mineral program and, if necessary, implement relevant updates, e.g., if cobalt becomes a mandatory regulation compliance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6"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Appendix A: 2022 Smelter or Refiner (SOR) List</w:t>
      </w:r>
    </w:p>
    <w:p>
      <w:pPr>
        <w:pStyle w:val="TextBody"/>
        <w:bidi w:val="0"/>
        <w:spacing w:before="9" w:after="283"/>
        <w:jc w:val="left"/>
        <w:rPr/>
      </w:pPr>
      <w:r>
        <w:rPr/>
      </w:r>
    </w:p>
    <w:p>
      <w:pPr>
        <w:pStyle w:val="TextBody"/>
        <w:bidi w:val="0"/>
        <w:spacing w:lineRule="auto" w:line="324" w:before="76"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smelters and refiners were reported by LivaNova’s suppliers as being in their supply chains. Only those validated as being legitimate are provided. The validation process involves cross-referencing incoming data from the Company’s suppliers with the Assent database, as well as the latest publicly available Responsible Minerals Initiative (RMI) smelter data.</w:t>
      </w:r>
    </w:p>
    <w:p>
      <w:pPr>
        <w:pStyle w:val="TextBody"/>
        <w:bidi w:val="0"/>
        <w:spacing w:before="5" w:after="283"/>
        <w:jc w:val="left"/>
        <w:rPr/>
      </w:pPr>
      <w:r>
        <w:rPr/>
      </w:r>
    </w:p>
    <w:tbl>
      <w:tblPr>
        <w:tblW w:w="7861" w:type="dxa"/>
        <w:jc w:val="left"/>
        <w:tblInd w:w="0" w:type="dxa"/>
        <w:tblLayout w:type="fixed"/>
        <w:tblCellMar>
          <w:top w:w="28" w:type="dxa"/>
          <w:left w:w="28" w:type="dxa"/>
          <w:bottom w:w="28" w:type="dxa"/>
          <w:right w:w="28" w:type="dxa"/>
        </w:tblCellMar>
      </w:tblPr>
      <w:tblGrid>
        <w:gridCol w:w="201"/>
        <w:gridCol w:w="177"/>
        <w:gridCol w:w="178"/>
        <w:gridCol w:w="1608"/>
        <w:gridCol w:w="1608"/>
        <w:gridCol w:w="1614"/>
        <w:gridCol w:w="486"/>
        <w:gridCol w:w="486"/>
        <w:gridCol w:w="497"/>
        <w:gridCol w:w="293"/>
        <w:gridCol w:w="293"/>
        <w:gridCol w:w="420"/>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Metal</w:t>
            </w:r>
          </w:p>
        </w:tc>
        <w:tc>
          <w:tcPr>
            <w:tcW w:w="48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Smelter Name</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6" w:after="283"/>
              <w:jc w:val="left"/>
              <w:rPr>
                <w:rFonts w:ascii="Times New Roman;sans-serif" w:hAnsi="Times New Roman;sans-serif"/>
                <w:b/>
                <w:color w:val="343940"/>
                <w:sz w:val="18"/>
              </w:rPr>
            </w:pPr>
            <w:r>
              <w:rPr>
                <w:rFonts w:ascii="Times New Roman;sans-serif" w:hAnsi="Times New Roman;sans-serif"/>
                <w:b/>
                <w:color w:val="343940"/>
                <w:sz w:val="18"/>
              </w:rPr>
              <w:t>Smelter ID</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Advanced Chemical Company</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CID000015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 Chemical Industries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CID000019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Agosi AG</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CID000035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Almalyk Mining and Metallurgical Complex (AMMC)</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Uzbekistan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CID000041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AngloGold Ashanti Corrego do Sitio Mineracao</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CID000058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Argor-Heraeus S.A.</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CID000077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Asahi Pretec Corp.</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CID000082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Asaka Riken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CID000090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Aurubis AG</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CID000113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Bangko Sentral ng Pilipinas (Central Bank of the Philippines)</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CID000128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Boliden AB</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Sweden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CID000157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 Hafner GmbH + Co. KG</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CID000176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CCR Refinery - Glencore Canada Corporation</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CID000185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Cendres + Metaux S.A.</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CID000189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Yunnan Copper Industry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CID000197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Chimet S.p.A.</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CID000233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Chugai Mining</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CID000264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DSC (Do Sung Corporation)</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CID000359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Dowa</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CID000401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Eco-System Recycling Co., Ltd. East Plant</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CID000425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JSC Novosibirsk Refinery</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CID000493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LT Metal Ltd.</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CID000689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Heimerle + Meule GmbH</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CID000694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Heraeus Metals Hong Kong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CID000707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Heraeus Germany GmbH Co. KG</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CID000711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Inner Mongolia Qiankun Gold and Silver Refinery Share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CID000801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Ishifuku Metal Industry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CID000807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Istanbul Gold Refinery</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Turkey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CID000814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 Mint</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CID000823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Jiangxi Copper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CID000855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Asahi Refining USA Inc.</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CID000920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Asahi Refining Canada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CID000924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JSC Uralelectromed</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CID000929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JX Nippon Mining &amp; Metals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CID000937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Kazzinc</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Kazakhstan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CID000957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Kennecott Utah Copper LLC</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CID000969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Kojima Chemicals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CID000981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Kyrgyzaltyn JSC</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Kyrgyzstan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CID001029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LS-NIKKO Copper Inc.</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CID001078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Materion</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CID001113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Matsuda Sangyo Co.,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CID001119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Metalor Technologies (Suzhou)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CID001147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Metalor Technologies (Hong Kong)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CID001149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Metalor Technologies (Singapore) Pte., Ltd.</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Singapore</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CID001152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Metalor Technologies S.A.</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CID001153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Metalor USA Refining Corporation</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CID001157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Metalurgica Met-Mex Penoles S.A. De C.V.</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CID001161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Mitsubishi Materials Corporation</w:t>
            </w:r>
          </w:p>
        </w:tc>
        <w:tc>
          <w:tcPr>
            <w:tcW w:w="146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CID001188</w:t>
            </w:r>
          </w:p>
        </w:tc>
      </w:tr>
      <w:tr>
        <w:trPr/>
        <w:tc>
          <w:tcPr>
            <w:tcW w:w="556"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8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Mitsui Mining and Smelting Co., Ltd.</w:t>
            </w:r>
          </w:p>
        </w:tc>
        <w:tc>
          <w:tcPr>
            <w:tcW w:w="1469"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CID001193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 w:after="283"/>
        <w:jc w:val="left"/>
        <w:rPr/>
      </w:pPr>
      <w:r>
        <w:rPr/>
      </w:r>
    </w:p>
    <w:tbl>
      <w:tblPr>
        <w:tblW w:w="9646" w:type="dxa"/>
        <w:jc w:val="left"/>
        <w:tblInd w:w="0" w:type="dxa"/>
        <w:tblLayout w:type="fixed"/>
        <w:tblCellMar>
          <w:top w:w="28" w:type="dxa"/>
          <w:left w:w="28" w:type="dxa"/>
          <w:bottom w:w="28" w:type="dxa"/>
          <w:right w:w="28" w:type="dxa"/>
        </w:tblCellMar>
      </w:tblPr>
      <w:tblGrid>
        <w:gridCol w:w="201"/>
        <w:gridCol w:w="177"/>
        <w:gridCol w:w="178"/>
        <w:gridCol w:w="2022"/>
        <w:gridCol w:w="2022"/>
        <w:gridCol w:w="2031"/>
        <w:gridCol w:w="667"/>
        <w:gridCol w:w="667"/>
        <w:gridCol w:w="675"/>
        <w:gridCol w:w="293"/>
        <w:gridCol w:w="293"/>
        <w:gridCol w:w="420"/>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Metal</w:t>
            </w:r>
          </w:p>
        </w:tc>
        <w:tc>
          <w:tcPr>
            <w:tcW w:w="607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Smelter Name</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7" w:after="283"/>
              <w:jc w:val="left"/>
              <w:rPr>
                <w:rFonts w:ascii="Times New Roman;sans-serif" w:hAnsi="Times New Roman;sans-serif"/>
                <w:b/>
                <w:color w:val="000000"/>
                <w:sz w:val="18"/>
              </w:rPr>
            </w:pPr>
            <w:r>
              <w:rPr>
                <w:rFonts w:ascii="Times New Roman;sans-serif" w:hAnsi="Times New Roman;sans-serif"/>
                <w:b/>
                <w:color w:val="000000"/>
                <w:sz w:val="18"/>
              </w:rPr>
              <w:t>Smelter ID</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Moscow Special Alloys Processing Plant</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CID001204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Nadir Metal Rafineri San. Ve Tic. A.S.</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Turkey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CID001220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Navoi Mining and Metallurgical Combinat</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Uzbekistan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CID001236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Nihon Material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CID001259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Ohura Precious Metal Industry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CID001325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OJSC "The Gulidov Krasnoyarsk Non-Ferrous Metals Plant" (OJSC Krastsvetmet)</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0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CID001326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MKS PAMP SA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CID001352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Prioksky Plant of Non-Ferrous Metals</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CID001386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PT Aneka Tambang (Persero) Tbk</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CID001397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PX Precinox S.A.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CID001498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Rand Refinery (Pty)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CID001512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 Canadian Mint</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CID001534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Samduck Precious Metals</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CID001555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SEMPSA Joyeria Plateria S.A.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Spain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CID001585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Shandong Zhaojin Gold &amp; Silver Refinery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CID001622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Sichuan Tianze Precious Metals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CID001736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SOE Shyolkovsky Factory of Secondary Precious Metals</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CID001756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Solar Applied Materials Technology Corp.</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Taiwan, Province of 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CID001761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Sumitomo Metal Mining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CID001798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Tanaka Kikinzoku Kogyo K.K.</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CID001875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Shandong Gold Smelting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CID001916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Tokuriki Honten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CID001938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Torecom</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CID001955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Umicore S.A. Business Unit Precious Metals Refining</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CID001980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Precious Metal Refining, Inc.</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CID001993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Valcambi S.A.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CID002003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Western Australian Mint (T/a The Perth Mint)</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CID002030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Yamakin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CID002100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Yokohama Metal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CID002129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Zhongyuan Gold Smelter of Zhongjin Gold Corporation</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CID002224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 Refinery of Zijin Mining Group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CID002243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SAFINA A.S.</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Czechia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CID002290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Umicore Precious Metals Thailand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Geib Refining Corporation</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CID002459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MMTC-PAMP India Pvt.,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KGHM Polska Miedz Spolka Akcyjna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CID002511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Singway Technology Co., Ltd.</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Taiwan, Province of 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CID002516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 Etihad Gold Refinery DMCC</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CID002560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Emirates Gold DMCC</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CID002561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Precious Metal Refiners</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CID002562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T.C.A S.p.A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CID002580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REMONDIS PMR B.V.</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CID002582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Zinc Co., Ltd.</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CID002605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Marsam Metals</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CID002606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TOO Tau-Ken-Altyn</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Kazakhstan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CID002615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SAAMP</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CID002761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L'Orfebre S.A.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Andorra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CID002762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9" w:after="283"/>
              <w:jc w:val="left"/>
              <w:rPr>
                <w:rFonts w:ascii="Times New Roman;sans-serif" w:hAnsi="Times New Roman;sans-serif"/>
                <w:b w:val="false"/>
                <w:color w:val="000000"/>
                <w:sz w:val="18"/>
              </w:rPr>
            </w:pPr>
            <w:r>
              <w:rPr>
                <w:rFonts w:ascii="Times New Roman;sans-serif" w:hAnsi="Times New Roman;sans-serif"/>
                <w:b w:val="false"/>
                <w:color w:val="000000"/>
                <w:sz w:val="18"/>
              </w:rPr>
              <w:t>8853 S.p.A.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CID002763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Italpreziosi</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CID002765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WIELAND Edelmetalle GmbH</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CID002778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Ogussa Osterreichische Gold- und Silber-Scheideanstalt GmbH</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CID002779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 Traders and Refiners</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CID002850</w:t>
            </w:r>
          </w:p>
        </w:tc>
      </w:tr>
      <w:tr>
        <w:trPr/>
        <w:tc>
          <w:tcPr>
            <w:tcW w:w="556"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60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GGC Gujrat Gold Centre Pvt. Ltd.</w:t>
            </w:r>
          </w:p>
        </w:tc>
        <w:tc>
          <w:tcPr>
            <w:tcW w:w="2009"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CID002852</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 w:after="283"/>
        <w:jc w:val="left"/>
        <w:rPr/>
      </w:pPr>
      <w:r>
        <w:rPr/>
      </w:r>
    </w:p>
    <w:tbl>
      <w:tblPr>
        <w:tblW w:w="8582" w:type="dxa"/>
        <w:jc w:val="left"/>
        <w:tblInd w:w="0" w:type="dxa"/>
        <w:tblLayout w:type="fixed"/>
        <w:tblCellMar>
          <w:top w:w="28" w:type="dxa"/>
          <w:left w:w="28" w:type="dxa"/>
          <w:bottom w:w="28" w:type="dxa"/>
          <w:right w:w="28" w:type="dxa"/>
        </w:tblCellMar>
      </w:tblPr>
      <w:tblGrid>
        <w:gridCol w:w="201"/>
        <w:gridCol w:w="177"/>
        <w:gridCol w:w="178"/>
        <w:gridCol w:w="1667"/>
        <w:gridCol w:w="1667"/>
        <w:gridCol w:w="1676"/>
        <w:gridCol w:w="669"/>
        <w:gridCol w:w="669"/>
        <w:gridCol w:w="672"/>
        <w:gridCol w:w="293"/>
        <w:gridCol w:w="293"/>
        <w:gridCol w:w="420"/>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Metal</w:t>
            </w:r>
          </w:p>
        </w:tc>
        <w:tc>
          <w:tcPr>
            <w:tcW w:w="5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Smelter Name</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7" w:after="283"/>
              <w:jc w:val="left"/>
              <w:rPr>
                <w:rFonts w:ascii="Times New Roman;sans-serif" w:hAnsi="Times New Roman;sans-serif"/>
                <w:b/>
                <w:color w:val="000000"/>
                <w:sz w:val="18"/>
              </w:rPr>
            </w:pPr>
            <w:r>
              <w:rPr>
                <w:rFonts w:ascii="Times New Roman;sans-serif" w:hAnsi="Times New Roman;sans-serif"/>
                <w:b/>
                <w:color w:val="000000"/>
                <w:sz w:val="18"/>
              </w:rPr>
              <w:t>Smelter ID</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Bangalore Refinery</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CID002863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SungEel HiMetal Co., Ltd.</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CID002918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Planta Recuperadora de Metales SpA</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CID002919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Safimet S.p.A</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CID002973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NH Recytech Company</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CID003189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 Metales Procesados Industriales SAS</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CID003421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Eco-System Recycling Co., Ltd. North Plant</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CID003424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Eco-System Recycling Co., Ltd. West Plant</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CID003425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Augmont Enterprises Private Limited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CID003461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Alexy Metals</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CID003500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Sancus ZFS (L’Orfebre, SA)</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CID003529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 Concentrators SA (Pty)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CID003575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WEEEREFINING</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CID003615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Atasay Kuyumculuk Sanayi Ve Ticaret A.S.</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Turkey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CID000103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Caridad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CID000180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Daye Non-Ferrous Metals Mining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CID000343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Refinery of Seemine Gold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CID000522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Guoda Safina High-Tech Environmental Refinery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CID000651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Hangzhou Fuchunjiang Smelting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CID000671</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Hunan Chenzhou Mining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CID000767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Hunan Guiyang yinxing Nonferrous Smelting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CID000773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HwaSeong CJ CO., LTD.</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CID000778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JSC Ekaterinburg Non-Ferrous Metal Processing Plant</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CID000927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Kazakhmys Smelting LLC</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Kazakhstan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CID000956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L'azurde Company for Jewelry</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CID001032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Lingbao Gold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CID001056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Lingbao Jinyuan Tonghui Refinery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CID001058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Luoyang Zijin Yinhui Gold Refinery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CID001093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Penglai Penggang Gold Industry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CID001362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Sabin Metal Corp.</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CID001546</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Samwon Metals Corp.</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CID001562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Shandong Tiancheng Biological Gold Industrial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CID001619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Super Dragon Technology Co., Ltd.</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Taiwan, Province of 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CID001810</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 Wall Precious Metals Co., Ltd. of CBPM</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CID001909</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Tongling Nonferrous Metals Group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CID001947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Morris and Watson</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CID002282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Guangdong Jinding Gold Limited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Fidelity Printers and Refiners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Zimbabwe</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CID002515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Shandong Humon Smelting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CID002525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Shenzhen Zhonghenglong Real Industry Co.,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CID002527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Kaloti Precious Metals</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CID002563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Sudan Gold Refinery</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Sudan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CID002567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Fujairah Gold FZC</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CID002584</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 Refining Company</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CID002587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Shirpur Gold Refinery Ltd.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CID002588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Abington Reldan Metals, LLC</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CID002708</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Sai Refinery</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CID002853</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Modeltech Sdn Bhd</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CID002857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Kyshtym Copper-Electrolytic Plant ZAO</w:t>
            </w:r>
          </w:p>
        </w:tc>
        <w:tc>
          <w:tcPr>
            <w:tcW w:w="2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CID002865</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Degussa Sonne / Mond Goldhandel GmbH</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CID002867</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Pease &amp; Curren</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CID002872</w:t>
            </w:r>
          </w:p>
        </w:tc>
      </w:tr>
      <w:tr>
        <w:trPr/>
        <w:tc>
          <w:tcPr>
            <w:tcW w:w="55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JALAN &amp; Company</w:t>
            </w:r>
          </w:p>
        </w:tc>
        <w:tc>
          <w:tcPr>
            <w:tcW w:w="201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CID002893</w:t>
            </w:r>
          </w:p>
        </w:tc>
      </w:tr>
      <w:tr>
        <w:trPr/>
        <w:tc>
          <w:tcPr>
            <w:tcW w:w="556"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50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Research Institute Center for Physical Sciences and Technology</w:t>
            </w:r>
          </w:p>
        </w:tc>
        <w:tc>
          <w:tcPr>
            <w:tcW w:w="2010"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Lithuania</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CID003153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left"/>
        <w:rPr/>
      </w:pPr>
      <w:r>
        <w:rPr/>
      </w:r>
    </w:p>
    <w:tbl>
      <w:tblPr>
        <w:tblW w:w="7666" w:type="dxa"/>
        <w:jc w:val="left"/>
        <w:tblInd w:w="0" w:type="dxa"/>
        <w:tblLayout w:type="fixed"/>
        <w:tblCellMar>
          <w:top w:w="28" w:type="dxa"/>
          <w:left w:w="28" w:type="dxa"/>
          <w:bottom w:w="28" w:type="dxa"/>
          <w:right w:w="28" w:type="dxa"/>
        </w:tblCellMar>
      </w:tblPr>
      <w:tblGrid>
        <w:gridCol w:w="282"/>
        <w:gridCol w:w="248"/>
        <w:gridCol w:w="251"/>
        <w:gridCol w:w="1408"/>
        <w:gridCol w:w="1408"/>
        <w:gridCol w:w="1414"/>
        <w:gridCol w:w="549"/>
        <w:gridCol w:w="549"/>
        <w:gridCol w:w="551"/>
        <w:gridCol w:w="293"/>
        <w:gridCol w:w="293"/>
        <w:gridCol w:w="420"/>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Metal</w:t>
            </w:r>
          </w:p>
        </w:tc>
        <w:tc>
          <w:tcPr>
            <w:tcW w:w="42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Smelter Name</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6" w:after="283"/>
              <w:jc w:val="left"/>
              <w:rPr>
                <w:rFonts w:ascii="Times New Roman;sans-serif" w:hAnsi="Times New Roman;sans-serif"/>
                <w:b/>
                <w:color w:val="000000"/>
                <w:sz w:val="18"/>
              </w:rPr>
            </w:pPr>
            <w:r>
              <w:rPr>
                <w:rFonts w:ascii="Times New Roman;sans-serif" w:hAnsi="Times New Roman;sans-serif"/>
                <w:b/>
                <w:color w:val="000000"/>
                <w:sz w:val="18"/>
              </w:rPr>
              <w:t>Smelter ID</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African Gold Refinery</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Uganda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CID003185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 Coast Refinery</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Ghana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CID003186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QG Refining, LLC</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CID003324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Dijllah Gold Refinery FZC</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CID003348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CGR Metalloys Pvt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CID003382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Sovereign Metals</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CID003383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Kundan Care Products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CID003463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Emerald Jewel Industry India Limited (Unit 1)</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CID003487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Emerald Jewel Industry India Limited (Unit 2)</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CID003488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Emerald Jewel Industry India Limited (Unit 3)</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CID003489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Emerald Jewel Industry India Limited (Unit 4)</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CID003490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 Rasmussen</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Norway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CID003497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Sellem Industries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Mauritania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CID003540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MD Overseas</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CID003548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Metallix Refining Inc.</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CID003557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Shenzhen CuiLu Gold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CID002750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Albino Mountinho Lda.</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Portugal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CID002760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ABC Refinery Pty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CID002920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 by Gold Colombia</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CID003641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Dongwu Gold Group</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CID003663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Gold</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Coimpa Industrial LTDA</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CID004010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F&amp;X Electro-Materials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CID000460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XIMEI RESOURCES (GUANGDONG) LIMITED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CID000616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JiuJiang JinXin Nonferrous Metals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CID000914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Jiujiang Tanbre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CID000917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 Brasil</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CID001076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Metallurgical Products India Pvt.,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CID001163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Mineracao Taboca S.A.</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CID001175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Mitsui Mining and Smelting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CID001192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NPM Silmet AS</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Estonia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CID001200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Ningxia Orient Tantalum Industry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CID001277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QuantumClean</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CID001508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Yanling Jincheng Tantalum &amp; Niobium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CID001522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Solikamsk Magnesium Works OAO</w:t>
            </w:r>
          </w:p>
        </w:tc>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CID001769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Taki Chemical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CID001869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Telex Metals</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CID001891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Ulba Metallurgical Plant JSC</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Kazakhstan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CID001969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Hengyang King Xing Lifeng New Materials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CID002492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D Block Metals, LLC</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 Metals &amp; Resource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Jiujiang Zhongao Tantalum &amp; Niobium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XinXing HaoRong Electronic Material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Jiangxi Dinghai Tantalum &amp; Niobium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CID002512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KEMET de Mexico</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CID002539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TANIOBIS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TANIOBIS GmbH</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Materion Newton Inc.</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TANIOBIS Japan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TANIOBIS Smelting GmbH &amp; Co. KG</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CID002550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Global Advanced Metals Boyertown</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CID002557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Global Advanced Metals Aizu</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CID002558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Resind Industria e Comercio Ltda.</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CID002707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Jiangxi Tuohong New Raw Material</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CID002842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RFH Yancheng Jinye New Material Technology Co., Ltd.</w:t>
            </w:r>
          </w:p>
        </w:tc>
        <w:tc>
          <w:tcPr>
            <w:tcW w:w="164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CID003583</w:t>
            </w:r>
          </w:p>
        </w:tc>
      </w:tr>
      <w:tr>
        <w:trPr/>
        <w:tc>
          <w:tcPr>
            <w:tcW w:w="781"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Tantalum</w:t>
            </w:r>
          </w:p>
        </w:tc>
        <w:tc>
          <w:tcPr>
            <w:tcW w:w="42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5D Production OU</w:t>
            </w:r>
          </w:p>
        </w:tc>
        <w:tc>
          <w:tcPr>
            <w:tcW w:w="1649"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Estonia</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CID003926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 w:after="283"/>
        <w:jc w:val="left"/>
        <w:rPr/>
      </w:pPr>
      <w:r>
        <w:rPr/>
      </w:r>
    </w:p>
    <w:tbl>
      <w:tblPr>
        <w:tblW w:w="7907" w:type="dxa"/>
        <w:jc w:val="left"/>
        <w:tblInd w:w="0" w:type="dxa"/>
        <w:tblLayout w:type="fixed"/>
        <w:tblCellMar>
          <w:top w:w="28" w:type="dxa"/>
          <w:left w:w="28" w:type="dxa"/>
          <w:bottom w:w="28" w:type="dxa"/>
          <w:right w:w="28" w:type="dxa"/>
        </w:tblCellMar>
      </w:tblPr>
      <w:tblGrid>
        <w:gridCol w:w="250"/>
        <w:gridCol w:w="220"/>
        <w:gridCol w:w="221"/>
        <w:gridCol w:w="1313"/>
        <w:gridCol w:w="1313"/>
        <w:gridCol w:w="1319"/>
        <w:gridCol w:w="752"/>
        <w:gridCol w:w="752"/>
        <w:gridCol w:w="761"/>
        <w:gridCol w:w="293"/>
        <w:gridCol w:w="293"/>
        <w:gridCol w:w="42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color w:val="343940"/>
                <w:sz w:val="18"/>
              </w:rPr>
            </w:pPr>
            <w:r>
              <w:rPr>
                <w:rFonts w:ascii="Gill Sans MT;sans-serif" w:hAnsi="Gill Sans MT;sans-serif"/>
                <w:b/>
                <w:color w:val="343940"/>
                <w:sz w:val="18"/>
              </w:rPr>
              <w:t>Metal</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Smelter Name</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Smelter ID</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Chenzhou Yunxiang Mining and Metallurgy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CID000228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Alpha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CID000292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Dowa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CID000402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 Vinto</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Bolivia (Plurinational State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CID000438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Fenix Metals</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CID000468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Gejiu Non-Ferrous Metal Processing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CID000538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Gejiu Kai Meng Industry and Trade LLC</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CID000942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China Tin Group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CID001070</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Malaysia Smelting Corporation (MSC)</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CID001105</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Metallic Resources, Inc.</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CID001142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Mineracao Taboca 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CID001173</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Minsur</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Peru</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CID001182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Mitsubishi Materials Corporation</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CID001191</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Jiangxi New Nanshan Technology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CID001231</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O.M. Manufacturing (Thailand)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CID001314</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Operaciones Metalurgicas S.A.</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Bolivia (Plurinational State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CID001337</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Artha Cipta Langgeng</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CID001399</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Mitra Stania Prima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CID001453</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Refined Bangka Tin</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CID001460</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Timah Tbk Kundur</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CID001477</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PT Timah Tbk Mentok</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CID001482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Thaisarco</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Thailand</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CID001898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White Solder Metalurgia e Mineracao Ltda.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CID002036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Tin Smelting Branch of Yunnan Tin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CID002180</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Aurubis Beerse</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CID002773</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Guangdong Hanhe Non-Ferrous Metal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CID003116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Tin Technology &amp; Refining</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CID003325</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Aries Kencana Sejahtera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CID000309</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Estanho de Rondonia 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CID000448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Gejiu Zili Mining and Metallurgy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CID000555</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Novosibirsk Tin Combine</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CID001305</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Babel Inti Perkasa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CID001402</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PT Babel Surya Alam Lestari</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CID001406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Bukit Timah</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CID001428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Prima Timah Utama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CID001458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Sariwiguna Binasentosa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CID001463</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Stanindo Inti Perkasa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CID001468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Timah Nusantara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CID001486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PT Tinindo Inter Nusa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CID001490</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Rui Da Hung</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Taiwan, Province of 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CID001539</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Gejiu Yunxin Nonferrous Electrolysis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CID001908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Yunnan Chengfeng Non-ferrous Metals Co., Ltd.</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CID002158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CV Venus Inti Perkasa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CID002455</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Magnu's Minerais Metais e Ligas Ltda.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CID002468</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Melt Metais e Ligas S.A.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CID002500</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ATD Makmur Mandiri Jaya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CID002503</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O.M. Manufacturing Philippines, Inc.</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CID002517</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Cipta Persada Mulia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CID002696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Resind Industria e Comercio Ltda.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CID002706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Super Ligas</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CID002756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Aurubis Berango</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Spain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CID002774</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Sukses Inti Makmur</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CID002816</w:t>
            </w:r>
          </w:p>
        </w:tc>
      </w:tr>
      <w:tr>
        <w:trPr/>
        <w:tc>
          <w:tcPr>
            <w:tcW w:w="69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Menara Cipta Mulia</w:t>
            </w:r>
          </w:p>
        </w:tc>
        <w:tc>
          <w:tcPr>
            <w:tcW w:w="226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CID002835</w:t>
            </w:r>
          </w:p>
        </w:tc>
      </w:tr>
      <w:tr>
        <w:trPr/>
        <w:tc>
          <w:tcPr>
            <w:tcW w:w="691"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Gill Sans MT;sans-serif" w:hAnsi="Gill Sans MT;sans-serif"/>
                <w:b w:val="false"/>
                <w:color w:val="343940"/>
                <w:sz w:val="18"/>
              </w:rPr>
            </w:pPr>
            <w:r>
              <w:rPr>
                <w:rFonts w:ascii="Gill Sans MT;sans-serif" w:hAnsi="Gill Sans MT;sans-serif"/>
                <w:b w:val="false"/>
                <w:color w:val="343940"/>
                <w:sz w:val="18"/>
              </w:rPr>
              <w:t>Tin</w:t>
            </w:r>
          </w:p>
        </w:tc>
        <w:tc>
          <w:tcPr>
            <w:tcW w:w="39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Chifeng Dajingzi Tin Industry Co., Ltd.</w:t>
            </w:r>
          </w:p>
        </w:tc>
        <w:tc>
          <w:tcPr>
            <w:tcW w:w="2265"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CID003190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 w:after="283"/>
        <w:jc w:val="left"/>
        <w:rPr/>
      </w:pPr>
      <w:r>
        <w:rPr/>
      </w:r>
    </w:p>
    <w:tbl>
      <w:tblPr>
        <w:tblW w:w="9078" w:type="dxa"/>
        <w:jc w:val="left"/>
        <w:tblInd w:w="0" w:type="dxa"/>
        <w:tblLayout w:type="fixed"/>
        <w:tblCellMar>
          <w:top w:w="28" w:type="dxa"/>
          <w:left w:w="28" w:type="dxa"/>
          <w:bottom w:w="28" w:type="dxa"/>
          <w:right w:w="28" w:type="dxa"/>
        </w:tblCellMar>
      </w:tblPr>
      <w:tblGrid>
        <w:gridCol w:w="282"/>
        <w:gridCol w:w="248"/>
        <w:gridCol w:w="251"/>
        <w:gridCol w:w="2162"/>
        <w:gridCol w:w="2162"/>
        <w:gridCol w:w="2171"/>
        <w:gridCol w:w="264"/>
        <w:gridCol w:w="264"/>
        <w:gridCol w:w="268"/>
        <w:gridCol w:w="293"/>
        <w:gridCol w:w="293"/>
        <w:gridCol w:w="420"/>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Metal</w:t>
            </w:r>
          </w:p>
        </w:tc>
        <w:tc>
          <w:tcPr>
            <w:tcW w:w="6495"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Smelter Name</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Smelter ID</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Bangka Serumpun</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CID003205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PT Rajawali Rimba Perkasa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CID003381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Luna Smelter,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Rwanda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CID003387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Yunnan Yunfan Non-ferrous Metals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CID003397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Mitra Sukses Globalindo</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CID003449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CRM Fundicao De Metais E Comercio De Equipamentos Eletronicos Do Brasil Ltda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CID003486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CRM Synergies</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Spain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CID003524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Fabrica Auricchio Industria e Comercio Ltda.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CID003582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Belitung Industri Sejahtera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CID001421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Panca Mega Persada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CID001457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Tommy Utama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CID001493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Modeltech Sdn Bhd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CID002858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Premium Tin Indonesia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CID000313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PT Bangka Tin Industry</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CID001419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VQB Mineral and Trading Group JSC</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CID002015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Tirus Putra Mandiri</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CID002478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CV Ayi Jaya</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CID002570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Electro-Mechanical Facility of the Cao Bang Minerals &amp; Metallurgy Joint Stock Company</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CID002572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Nghe Tinh Non-Ferrous Metals Joint Stock Company</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CID002573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Tuyen Quang Non-Ferrous Metals Joint Stock Company</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CID002574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 Vinh Joint Stock Mineral Processing Company</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CID002703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Bangka Prima Tin</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CID002776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Pongpipat Company Limited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Myanmar</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CID003208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Dongguan CiEXPO Environmental Engineering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CID003356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Precious Minerals and Smelting Limited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CID003409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Gejiu City Fuxiang Industry and Trade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CID003410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Putera Sarana Shakti (PT PSS)</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CID003868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DS Myanmar</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Myanmar</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CID003831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Tin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PT Rajehan Ariq</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CID002593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A.L.M.T. Corp.</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CID000004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Kennametal Huntsville</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CID000105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Guangdong Xianglu 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CID000218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Chongyi Zhangyuan 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CID000258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Global Tungsten &amp; Powders LLC</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CID000568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Hunan Chenzhou Mining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CID000766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Hunan Jintai New Material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CID000769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Japan New Metals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CID000825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Ganzhou Huaxing Tungsten Products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CID000875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Kennametal Fallon</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CID000966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Wolfram Bergbau und Hutten AG</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Austria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CID002044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Xiamen 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CID002082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Ganzhou Jiangwu Ferrotungsten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Jiangxi Yaosheng 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Jiangxi Xinsheng Tungsten Industry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Jiangxi Tonggu Non-ferrous Metallurgical &amp; Chemical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Malipo Haiyu 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Xiamen Tungsten (H.C.)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CID002320</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Jiangxi Gan Bei Tungsten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CID002321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Ganzhou Seadragon W &amp; Mo Co.,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CID002494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Asia Tungsten Products Vietnam Ltd.</w:t>
            </w:r>
          </w:p>
        </w:tc>
        <w:tc>
          <w:tcPr>
            <w:tcW w:w="796"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CID002502</w:t>
            </w:r>
          </w:p>
        </w:tc>
      </w:tr>
      <w:tr>
        <w:trPr/>
        <w:tc>
          <w:tcPr>
            <w:tcW w:w="781"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64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Hunan Shizhuyuan Nonferrous Metals Co., Ltd. Chenzhou Tungsten Products Branch</w:t>
            </w:r>
          </w:p>
        </w:tc>
        <w:tc>
          <w:tcPr>
            <w:tcW w:w="796"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 w:after="283"/>
        <w:jc w:val="left"/>
        <w:rPr/>
      </w:pPr>
      <w:r>
        <w:rPr/>
      </w:r>
    </w:p>
    <w:tbl>
      <w:tblPr>
        <w:tblW w:w="8130" w:type="dxa"/>
        <w:jc w:val="left"/>
        <w:tblInd w:w="0" w:type="dxa"/>
        <w:tblLayout w:type="fixed"/>
        <w:tblCellMar>
          <w:top w:w="28" w:type="dxa"/>
          <w:left w:w="28" w:type="dxa"/>
          <w:bottom w:w="28" w:type="dxa"/>
          <w:right w:w="28" w:type="dxa"/>
        </w:tblCellMar>
      </w:tblPr>
      <w:tblGrid>
        <w:gridCol w:w="282"/>
        <w:gridCol w:w="248"/>
        <w:gridCol w:w="251"/>
        <w:gridCol w:w="1442"/>
        <w:gridCol w:w="1442"/>
        <w:gridCol w:w="1450"/>
        <w:gridCol w:w="667"/>
        <w:gridCol w:w="667"/>
        <w:gridCol w:w="675"/>
        <w:gridCol w:w="293"/>
        <w:gridCol w:w="293"/>
        <w:gridCol w:w="420"/>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43940"/>
                <w:sz w:val="18"/>
              </w:rPr>
            </w:pPr>
            <w:r>
              <w:rPr>
                <w:rFonts w:ascii="Times New Roman;sans-serif" w:hAnsi="Times New Roman;sans-serif"/>
                <w:b/>
                <w:color w:val="343940"/>
                <w:sz w:val="18"/>
              </w:rPr>
              <w:t>Metal</w:t>
            </w:r>
          </w:p>
        </w:tc>
        <w:tc>
          <w:tcPr>
            <w:tcW w:w="433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Smelter Name</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1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7" w:after="283"/>
              <w:jc w:val="left"/>
              <w:rPr>
                <w:rFonts w:ascii="Times New Roman;sans-serif" w:hAnsi="Times New Roman;sans-serif"/>
                <w:b/>
                <w:color w:val="000000"/>
                <w:sz w:val="18"/>
              </w:rPr>
            </w:pPr>
            <w:r>
              <w:rPr>
                <w:rFonts w:ascii="Times New Roman;sans-serif" w:hAnsi="Times New Roman;sans-serif"/>
                <w:b/>
                <w:color w:val="000000"/>
                <w:sz w:val="18"/>
              </w:rPr>
              <w:t>Smelter ID</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H.C. Starck Tungsten GmbH</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TANIOBIS Smelting GmbH &amp; Co. KG</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Masan High-Tech Materials</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CID002543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Jiangwu H.C. Starck Tungsten Products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CID002551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Niagara Refining LLC</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CID002589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 Molybdenum Tungsten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CID002641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Ganzhou Haichuang Tungsten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CID002645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Hydrometallurg, JSC</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CID002649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Unecha Refractory metals plant</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CID002724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 Chuangxin Industrial Co., Inc.</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CID002827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Metais Eireli</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CID002833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Moliren Ltd.</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CID002845</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Lianyou Metals Co., Ltd.</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Taiwan, Province of 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CID003407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JSC "Kirovgrad Hard Alloys Plant"</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CID003408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NPP Tyazhmetprom LLC</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CID003416</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Hubei Green Tungsten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CID003417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Albasteel Industria e Comercio de Ligas Para Fundicao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CID003427</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Cronimet Brasil Ltda</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CID003468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Fujian Xinlu Tungsten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CID003609</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OOO “Technolom” 2</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CID003612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OOO “Technolom” 1</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CID003614</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CNMC (Guangxi) PGMA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CID000281</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Jiangxi Minmetals Gao'an Non-ferrous Metals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CID002313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Artek LLC</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CID003553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LLC Vostok</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7"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CID003643</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YUDU ANSHENG TUNGSTEN CO., LTD.</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CID003662</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HANNAE FOR T Co., Ltd.</w:t>
            </w:r>
          </w:p>
        </w:tc>
        <w:tc>
          <w:tcPr>
            <w:tcW w:w="2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CID003978</w:t>
            </w:r>
          </w:p>
        </w:tc>
      </w:tr>
      <w:tr>
        <w:trPr/>
        <w:tc>
          <w:tcPr>
            <w:tcW w:w="781"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Tungsten Vietnam Joint Stock Company</w:t>
            </w:r>
          </w:p>
        </w:tc>
        <w:tc>
          <w:tcPr>
            <w:tcW w:w="2009"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c>
          <w:tcPr>
            <w:tcW w:w="1006"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CID003993</w:t>
            </w:r>
          </w:p>
        </w:tc>
      </w:tr>
      <w:tr>
        <w:trPr/>
        <w:tc>
          <w:tcPr>
            <w:tcW w:w="781"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343940"/>
                <w:sz w:val="18"/>
              </w:rPr>
            </w:pPr>
            <w:r>
              <w:rPr>
                <w:rFonts w:ascii="Times New Roman;sans-serif" w:hAnsi="Times New Roman;sans-serif"/>
                <w:b w:val="false"/>
                <w:color w:val="343940"/>
                <w:sz w:val="18"/>
              </w:rPr>
              <w:t>Tungsten</w:t>
            </w:r>
          </w:p>
        </w:tc>
        <w:tc>
          <w:tcPr>
            <w:tcW w:w="4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DONGKUK INDUSTRIES CO., LTD.</w:t>
            </w:r>
          </w:p>
        </w:tc>
        <w:tc>
          <w:tcPr>
            <w:tcW w:w="20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 Republic Of</w:t>
            </w:r>
          </w:p>
        </w:tc>
        <w:tc>
          <w:tcPr>
            <w:tcW w:w="1006" w:type="dxa"/>
            <w:gridSpan w:val="3"/>
            <w:tcBorders>
              <w:top w:val="single" w:sz="4" w:space="0" w:color="000000"/>
              <w:left w:val="single" w:sz="4" w:space="0" w:color="000000"/>
              <w:bottom w:val="single" w:sz="4" w:space="0" w:color="000000"/>
              <w:right w:val="single" w:sz="4" w:space="0" w:color="000000"/>
            </w:tcBorders>
            <w:tcMar>
              <w:top w:w="30" w:type="dxa"/>
              <w:left w:w="12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CID004060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6"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Appendix B: 2022 Countries of Origin List</w:t>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300" w:before="0" w:after="0"/>
        <w:jc w:val="left"/>
        <w:rPr/>
      </w:pPr>
      <w:r>
        <w:rPr>
          <w:rFonts w:ascii="Times New Roman;sans-serif" w:hAnsi="Times New Roman;sans-serif"/>
          <w:b w:val="false"/>
          <w:color w:val="212121"/>
          <w:sz w:val="18"/>
        </w:rPr>
        <w:t xml:space="preserve">This list of potential countries of origin is populated based on information provided through the CMRT data collection process, from direct smelter outreach and the RMAP. It is important to note that the below list includes every potential country reported by the Company’s suppliers, regardless of whether the materials at issue used by LivaNova originated from that particular country. </w:t>
      </w:r>
      <w:r>
        <w:rPr>
          <w:rFonts w:ascii="Times New Roman;sans-serif" w:hAnsi="Times New Roman;sans-serif"/>
          <w:b w:val="false"/>
          <w:color w:val="000000"/>
          <w:sz w:val="18"/>
        </w:rPr>
        <w:t xml:space="preserve">As a result, </w:t>
      </w:r>
      <w:r>
        <w:rPr>
          <w:rFonts w:ascii="Times New Roman;sans-serif" w:hAnsi="Times New Roman;sans-serif"/>
          <w:b w:val="false"/>
          <w:color w:val="000000"/>
          <w:sz w:val="18"/>
          <w:u w:val="single"/>
        </w:rPr>
        <w:t xml:space="preserve">Appendix B </w:t>
      </w:r>
      <w:r>
        <w:rPr>
          <w:rFonts w:ascii="Times New Roman;sans-serif" w:hAnsi="Times New Roman;sans-serif"/>
          <w:b w:val="false"/>
          <w:color w:val="000000"/>
          <w:sz w:val="18"/>
        </w:rPr>
        <w:t xml:space="preserve">may contain more countries than those from which the Company’s </w:t>
      </w:r>
      <w:r>
        <w:rPr>
          <w:rFonts w:ascii="Times New Roman;sans-serif" w:hAnsi="Times New Roman;sans-serif"/>
          <w:b w:val="false"/>
          <w:color w:val="212121"/>
          <w:sz w:val="18"/>
        </w:rPr>
        <w:t xml:space="preserve">products </w:t>
      </w:r>
      <w:r>
        <w:rPr>
          <w:rFonts w:ascii="Times New Roman;sans-serif" w:hAnsi="Times New Roman;sans-serif"/>
          <w:b w:val="false"/>
          <w:color w:val="000000"/>
          <w:sz w:val="18"/>
        </w:rPr>
        <w:t>are being sourced.</w:t>
      </w:r>
    </w:p>
    <w:p>
      <w:pPr>
        <w:pStyle w:val="TextBody"/>
        <w:bidi w:val="0"/>
        <w:spacing w:before="5" w:after="283"/>
        <w:jc w:val="left"/>
        <w:rPr/>
      </w:pPr>
      <w:r>
        <w:rPr/>
      </w:r>
    </w:p>
    <w:tbl>
      <w:tblPr>
        <w:tblW w:w="5518" w:type="dxa"/>
        <w:jc w:val="left"/>
        <w:tblInd w:w="0" w:type="dxa"/>
        <w:tblLayout w:type="fixed"/>
        <w:tblCellMar>
          <w:top w:w="28" w:type="dxa"/>
          <w:left w:w="28" w:type="dxa"/>
          <w:bottom w:w="28" w:type="dxa"/>
          <w:right w:w="28" w:type="dxa"/>
        </w:tblCellMar>
      </w:tblPr>
      <w:tblGrid>
        <w:gridCol w:w="842"/>
        <w:gridCol w:w="738"/>
        <w:gridCol w:w="744"/>
        <w:gridCol w:w="499"/>
        <w:gridCol w:w="499"/>
        <w:gridCol w:w="501"/>
        <w:gridCol w:w="495"/>
        <w:gridCol w:w="495"/>
        <w:gridCol w:w="705"/>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000000"/>
              <w:left w:val="single" w:sz="4" w:space="0" w:color="000000"/>
            </w:tcBorders>
            <w:shd w:fill="C6DFEE" w:val="clear"/>
            <w:tcMar>
              <w:top w:w="30" w:type="dxa"/>
              <w:bottom w:w="0" w:type="dxa"/>
              <w:right w:w="0" w:type="dxa"/>
            </w:tcMar>
            <w:vAlign w:val="center"/>
          </w:tcPr>
          <w:p>
            <w:pPr>
              <w:pStyle w:val="TableContents"/>
              <w:bidi w:val="0"/>
              <w:spacing w:lineRule="auto" w:line="273" w:before="93" w:after="283"/>
              <w:jc w:val="left"/>
              <w:rPr>
                <w:rFonts w:ascii="Times New Roman;sans-serif" w:hAnsi="Times New Roman;sans-serif"/>
                <w:b/>
                <w:color w:val="000000"/>
                <w:sz w:val="18"/>
              </w:rPr>
            </w:pPr>
            <w:r>
              <w:rPr>
                <w:rFonts w:ascii="Times New Roman;sans-serif" w:hAnsi="Times New Roman;sans-serif"/>
                <w:b/>
                <w:color w:val="000000"/>
                <w:sz w:val="18"/>
              </w:rPr>
              <w:t>Country of Origin</w:t>
            </w:r>
          </w:p>
        </w:tc>
        <w:tc>
          <w:tcPr>
            <w:tcW w:w="1499" w:type="dxa"/>
            <w:gridSpan w:val="3"/>
            <w:tcBorders>
              <w:top w:val="single" w:sz="4" w:space="0" w:color="000000"/>
              <w:left w:val="single" w:sz="4" w:space="0" w:color="000000"/>
            </w:tcBorders>
            <w:shd w:fill="C6DFEE" w:val="clear"/>
            <w:tcMar>
              <w:top w:w="30" w:type="dxa"/>
              <w:bottom w:w="0" w:type="dxa"/>
              <w:right w:w="0" w:type="dxa"/>
            </w:tcMar>
            <w:vAlign w:val="center"/>
          </w:tcPr>
          <w:p>
            <w:pPr>
              <w:pStyle w:val="TableContents"/>
              <w:bidi w:val="0"/>
              <w:spacing w:lineRule="auto" w:line="273" w:before="93" w:after="283"/>
              <w:jc w:val="left"/>
              <w:rPr>
                <w:rFonts w:ascii="Times New Roman;sans-serif" w:hAnsi="Times New Roman;sans-serif"/>
                <w:b/>
                <w:color w:val="000000"/>
                <w:sz w:val="18"/>
              </w:rPr>
            </w:pPr>
            <w:r>
              <w:rPr>
                <w:rFonts w:ascii="Times New Roman;sans-serif" w:hAnsi="Times New Roman;sans-serif"/>
                <w:b/>
                <w:color w:val="000000"/>
                <w:sz w:val="18"/>
              </w:rPr>
              <w:t>Country of Origin</w:t>
            </w:r>
          </w:p>
        </w:tc>
        <w:tc>
          <w:tcPr>
            <w:tcW w:w="1695" w:type="dxa"/>
            <w:gridSpan w:val="3"/>
            <w:tcBorders>
              <w:top w:val="single" w:sz="4" w:space="0" w:color="000000"/>
              <w:left w:val="single" w:sz="4" w:space="0" w:color="000000"/>
              <w:right w:val="single" w:sz="4" w:space="0" w:color="000000"/>
            </w:tcBorders>
            <w:shd w:fill="C6DFEE" w:val="clear"/>
            <w:tcMar>
              <w:top w:w="30" w:type="dxa"/>
              <w:bottom w:w="0" w:type="dxa"/>
            </w:tcMar>
            <w:vAlign w:val="center"/>
          </w:tcPr>
          <w:p>
            <w:pPr>
              <w:pStyle w:val="TableContents"/>
              <w:bidi w:val="0"/>
              <w:spacing w:lineRule="auto" w:line="273" w:before="93" w:after="283"/>
              <w:jc w:val="left"/>
              <w:rPr>
                <w:rFonts w:ascii="Times New Roman;sans-serif" w:hAnsi="Times New Roman;sans-serif"/>
                <w:b/>
                <w:color w:val="000000"/>
                <w:sz w:val="18"/>
              </w:rPr>
            </w:pPr>
            <w:r>
              <w:rPr>
                <w:rFonts w:ascii="Times New Roman;sans-serif" w:hAnsi="Times New Roman;sans-serif"/>
                <w:b/>
                <w:color w:val="000000"/>
                <w:sz w:val="18"/>
              </w:rPr>
              <w:t>Country of Origin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Afghanistan</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Finland</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Niger</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Ãland Islands</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Nigeria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Albania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Norway</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94"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American Samoa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Panama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Andorra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Ghana</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Papua New Guinea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Angola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Guam</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Peru</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Argentina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Guatemala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Armenia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Guinea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Poland</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Aruba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Guyana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Portugal</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Honduras</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Russian Federation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Austria</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Hong Kong</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Rwanda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Azerbaijan</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Hungary</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Samoa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Bahamas</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Barbados</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Senegal</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Belarus</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Ireland</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Sierra Leone</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Singapore</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Benin</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Slovakia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Bermuda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Slovenia</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Bolivia (Plurinational State of)</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Jersey</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Kazakhstan</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Sudan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Bulgaria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Kenya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Spain</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Burkina Faso</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Korea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Sudan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Burundi</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Kyrgyzstan</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Suriname</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Cambodia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Liberia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Sweden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Liechtenstein</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Switzerland</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Central African Republic</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Lithuania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Taiwan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Chile</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Luxembourg</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Tajikistan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Madagascar</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Tanzania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Malaysia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Thailand</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Congo</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Mali</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Turkey</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Czechia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Mauritania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Uganda</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Democratic Republic of Congo</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Djibouti</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Mongolia</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91"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Dominica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Morocco</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w:t>
            </w:r>
          </w:p>
        </w:tc>
      </w:tr>
      <w:tr>
        <w:trPr/>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93"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Dominican Republic</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Mozambique</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Uzbekistan</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Ecuador</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Myanmar</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Vietnam</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Namibia</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Zambia</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Eritrea</w:t>
            </w:r>
          </w:p>
        </w:tc>
        <w:tc>
          <w:tcPr>
            <w:tcW w:w="1499" w:type="dxa"/>
            <w:gridSpan w:val="3"/>
            <w:tcBorders>
              <w:top w:val="single" w:sz="4" w:space="0" w:color="000000"/>
              <w:left w:val="single" w:sz="4" w:space="0" w:color="000000"/>
            </w:tcBorders>
            <w:tcMar>
              <w:top w:w="30" w:type="dxa"/>
              <w:left w:w="12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c>
          <w:tcPr>
            <w:tcW w:w="1695" w:type="dxa"/>
            <w:gridSpan w:val="3"/>
            <w:tcBorders>
              <w:top w:val="single" w:sz="4" w:space="0" w:color="000000"/>
              <w:left w:val="single" w:sz="4" w:space="0" w:color="000000"/>
              <w:right w:val="single" w:sz="4" w:space="0" w:color="000000"/>
            </w:tcBorders>
            <w:tcMar>
              <w:top w:w="30" w:type="dxa"/>
              <w:left w:w="12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Zimbabwe</w:t>
            </w:r>
          </w:p>
        </w:tc>
      </w:tr>
      <w:tr>
        <w:trPr/>
        <w:tc>
          <w:tcPr>
            <w:tcW w:w="2324" w:type="dxa"/>
            <w:gridSpan w:val="3"/>
            <w:tcBorders>
              <w:top w:val="single" w:sz="4" w:space="0" w:color="000000"/>
              <w:left w:val="single" w:sz="4" w:space="0" w:color="000000"/>
            </w:tcBorders>
            <w:tcMar>
              <w:top w:w="30" w:type="dxa"/>
              <w:left w:w="123"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Estonia</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91"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c>
          <w:tcPr>
            <w:tcW w:w="1695" w:type="dxa"/>
            <w:gridSpan w:val="3"/>
            <w:vMerge w:val="restart"/>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000000"/>
              <w:left w:val="single" w:sz="4" w:space="0" w:color="000000"/>
              <w:bottom w:val="single" w:sz="4" w:space="0" w:color="000000"/>
            </w:tcBorders>
            <w:tcMar>
              <w:top w:w="30" w:type="dxa"/>
              <w:left w:w="123"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Ethiopia</w:t>
            </w:r>
          </w:p>
        </w:tc>
        <w:tc>
          <w:tcPr>
            <w:tcW w:w="1499" w:type="dxa"/>
            <w:gridSpan w:val="3"/>
            <w:tcBorders>
              <w:top w:val="single" w:sz="4" w:space="0" w:color="000000"/>
              <w:left w:val="single" w:sz="4" w:space="0" w:color="000000"/>
              <w:bottom w:val="single" w:sz="4" w:space="0" w:color="000000"/>
              <w:right w:val="single" w:sz="4" w:space="0" w:color="000000"/>
            </w:tcBorders>
            <w:tcMar>
              <w:top w:w="30" w:type="dxa"/>
              <w:left w:w="12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Nicaragua</w:t>
            </w:r>
          </w:p>
        </w:tc>
        <w:tc>
          <w:tcPr>
            <w:tcW w:w="1695" w:type="dxa"/>
            <w:gridSpan w:val="3"/>
            <w:vMerge w:val="continue"/>
            <w:tcBorders>
              <w:top w:val="single" w:sz="4" w:space="0" w:color="000000"/>
              <w:left w:val="single" w:sz="4" w:space="0" w:color="000000"/>
            </w:tcBorders>
            <w:tcMar>
              <w:bottom w:w="0" w:type="dxa"/>
              <w:right w:w="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ill Sans M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7568</Words>
  <Characters>44891</Characters>
  <CharactersWithSpaces>50797</CharactersWithSpaces>
  <Paragraphs>1670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