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Moore Daniel Jeffrey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6"/>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03/15/2016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8"/>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X0</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03/15/2016</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4"/>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56.877</w:t>
            </w:r>
            <w:r>
              <w:rPr>
                <w:rFonts w:ascii="Arial" w:cs="Arial" w:eastAsia="Arial" w:hAnsi="Arial"/>
                <w:sz w:val="22"/>
                <w:szCs w:val="22"/>
                <w:color w:val="008000"/>
                <w:w w:val="91"/>
                <w:vertAlign w:val="superscript"/>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8"/>
                <w:szCs w:val="18"/>
                <w:color w:val="0000FF"/>
              </w:rPr>
              <w:t>65,437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vMerge w:val="restart"/>
          </w:tcPr>
          <w:p>
            <w:pPr>
              <w:jc w:val="right"/>
              <w:ind w:right="379"/>
              <w:spacing w:after="0"/>
              <w:rPr>
                <w:sz w:val="20"/>
                <w:szCs w:val="20"/>
                <w:color w:val="auto"/>
              </w:rPr>
            </w:pPr>
            <w:r>
              <w:rPr>
                <w:rFonts w:ascii="Arial" w:cs="Arial" w:eastAsia="Arial" w:hAnsi="Arial"/>
                <w:sz w:val="18"/>
                <w:szCs w:val="18"/>
                <w:color w:val="0000FF"/>
              </w:rPr>
              <w:t>2,586</w:t>
            </w:r>
          </w:p>
        </w:tc>
        <w:tc>
          <w:tcPr>
            <w:tcW w:w="28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8"/>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4"/>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Sold pursuant to 10b5-1 Plan adopted by reporting person on November 30, 2015.</w:t>
      </w:r>
    </w:p>
    <w:p>
      <w:pPr>
        <w:spacing w:after="0" w:line="41" w:lineRule="exact"/>
        <w:rPr>
          <w:rFonts w:ascii="Arial" w:cs="Arial" w:eastAsia="Arial" w:hAnsi="Arial"/>
          <w:sz w:val="14"/>
          <w:szCs w:val="14"/>
          <w:color w:val="008000"/>
        </w:rPr>
      </w:pPr>
    </w:p>
    <w:p>
      <w:pPr>
        <w:ind w:left="40" w:right="5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were sold through approximately 14 separate sales on the transaction date at prices ranging from $56.74 to $57.06. The reporting person hereby undertakes to provide upon request to the SEC, the issuer or any stockholder of the issuer, the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1360" w:type="dxa"/>
            <w:vAlign w:val="bottom"/>
          </w:tcPr>
          <w:p>
            <w:pPr>
              <w:spacing w:after="0" w:line="199" w:lineRule="exact"/>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03/17/2016</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2019-12-23T21:43:29Z</dcterms:created>
  <dcterms:modified xsi:type="dcterms:W3CDTF">2019-12-23T21:43:29Z</dcterms:modified>
</cp:coreProperties>
</file>