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512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12254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McDonald Damien</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03/01/2022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80" w:firstLine="5"/>
        <w:spacing w:after="0" w:line="234"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1500" w:type="dxa"/>
            <w:vAlign w:val="bottom"/>
          </w:tcPr>
          <w:p>
            <w:pPr>
              <w:ind w:left="980"/>
              <w:spacing w:after="0"/>
              <w:rPr>
                <w:sz w:val="20"/>
                <w:szCs w:val="20"/>
                <w:color w:val="auto"/>
              </w:rPr>
            </w:pPr>
            <w:r>
              <w:rPr>
                <w:rFonts w:ascii="Arial" w:cs="Arial" w:eastAsia="Arial" w:hAnsi="Arial"/>
                <w:sz w:val="16"/>
                <w:szCs w:val="16"/>
                <w:color w:val="0000FF"/>
              </w:rPr>
              <w:t>CEO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4"/>
          <w:szCs w:val="24"/>
          <w:color w:val="auto"/>
        </w:rPr>
      </w:pPr>
    </w:p>
    <w:p>
      <w:pPr>
        <w:sectPr>
          <w:pgSz w:w="11900" w:h="16838" w:orient="portrait"/>
          <w:cols w:equalWidth="0" w:num="3">
            <w:col w:w="3180" w:space="720"/>
            <w:col w:w="3105" w:space="720"/>
            <w:col w:w="3355"/>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W2 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8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right"/>
              <w:ind w:right="134"/>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4"/>
              <w:spacing w:after="0"/>
              <w:rPr>
                <w:sz w:val="20"/>
                <w:szCs w:val="20"/>
                <w:color w:val="auto"/>
              </w:rPr>
            </w:pPr>
            <w:r>
              <w:rPr>
                <w:rFonts w:ascii="Arial" w:cs="Arial" w:eastAsia="Arial" w:hAnsi="Arial"/>
                <w:sz w:val="16"/>
                <w:szCs w:val="16"/>
                <w:color w:val="0000FF"/>
                <w:w w:val="94"/>
              </w:rPr>
              <w:t>03/01/2022</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39"/>
              <w:spacing w:after="0"/>
              <w:rPr>
                <w:sz w:val="20"/>
                <w:szCs w:val="20"/>
                <w:color w:val="auto"/>
              </w:rPr>
            </w:pPr>
            <w:r>
              <w:rPr>
                <w:rFonts w:ascii="Arial" w:cs="Arial" w:eastAsia="Arial" w:hAnsi="Arial"/>
                <w:sz w:val="16"/>
                <w:szCs w:val="16"/>
                <w:color w:val="0000FF"/>
              </w:rPr>
              <w:t>5,167</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jc w:val="right"/>
              <w:ind w:right="342"/>
              <w:spacing w:after="0"/>
              <w:rPr>
                <w:sz w:val="20"/>
                <w:szCs w:val="20"/>
                <w:color w:val="auto"/>
              </w:rPr>
            </w:pPr>
            <w:r>
              <w:rPr>
                <w:rFonts w:ascii="Arial" w:cs="Arial" w:eastAsia="Arial" w:hAnsi="Arial"/>
                <w:sz w:val="16"/>
                <w:szCs w:val="16"/>
                <w:color w:val="0000FF"/>
              </w:rPr>
              <w:t>80,520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4"/>
              <w:spacing w:after="0"/>
              <w:rPr>
                <w:sz w:val="20"/>
                <w:szCs w:val="20"/>
                <w:color w:val="auto"/>
              </w:rPr>
            </w:pPr>
            <w:r>
              <w:rPr>
                <w:rFonts w:ascii="Arial" w:cs="Arial" w:eastAsia="Arial" w:hAnsi="Arial"/>
                <w:sz w:val="16"/>
                <w:szCs w:val="16"/>
                <w:color w:val="0000FF"/>
                <w:w w:val="94"/>
              </w:rPr>
              <w:t>03/01/2022</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2,429</w:t>
            </w:r>
            <w:r>
              <w:rPr>
                <w:rFonts w:ascii="Arial" w:cs="Arial" w:eastAsia="Arial" w:hAnsi="Arial"/>
                <w:sz w:val="21"/>
                <w:szCs w:val="21"/>
                <w:color w:val="008000"/>
                <w:vertAlign w:val="superscript"/>
              </w:rPr>
              <w:t>(2)</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77.38</w:t>
            </w:r>
          </w:p>
        </w:tc>
        <w:tc>
          <w:tcPr>
            <w:tcW w:w="1300" w:type="dxa"/>
            <w:vAlign w:val="bottom"/>
            <w:tcBorders>
              <w:bottom w:val="single" w:sz="8" w:color="2C2C2C"/>
            </w:tcBorders>
            <w:gridSpan w:val="3"/>
          </w:tcPr>
          <w:p>
            <w:pPr>
              <w:jc w:val="right"/>
              <w:ind w:right="342"/>
              <w:spacing w:after="0"/>
              <w:rPr>
                <w:sz w:val="20"/>
                <w:szCs w:val="20"/>
                <w:color w:val="auto"/>
              </w:rPr>
            </w:pPr>
            <w:r>
              <w:rPr>
                <w:rFonts w:ascii="Arial" w:cs="Arial" w:eastAsia="Arial" w:hAnsi="Arial"/>
                <w:sz w:val="16"/>
                <w:szCs w:val="16"/>
                <w:color w:val="0000FF"/>
              </w:rPr>
              <w:t>78,091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60" w:type="dxa"/>
            <w:vAlign w:val="bottom"/>
            <w:gridSpan w:val="8"/>
          </w:tcPr>
          <w:p>
            <w:pPr>
              <w:jc w:val="right"/>
              <w:ind w:right="15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Arial" w:cs="Arial" w:eastAsia="Arial" w:hAnsi="Arial"/>
                <w:sz w:val="13"/>
                <w:szCs w:val="13"/>
                <w:color w:val="0000FF"/>
              </w:rPr>
              <w:t>5,167</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5,167</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vMerge w:val="restart"/>
          </w:tcPr>
          <w:p>
            <w:pPr>
              <w:jc w:val="center"/>
              <w:ind w:left="202"/>
              <w:spacing w:after="0"/>
              <w:rPr>
                <w:sz w:val="20"/>
                <w:szCs w:val="20"/>
                <w:color w:val="auto"/>
              </w:rPr>
            </w:pPr>
            <w:r>
              <w:rPr>
                <w:rFonts w:ascii="Arial" w:cs="Arial" w:eastAsia="Arial" w:hAnsi="Arial"/>
                <w:sz w:val="25"/>
                <w:szCs w:val="25"/>
                <w:color w:val="0000FF"/>
                <w:w w:val="79"/>
                <w:vertAlign w:val="subscript"/>
              </w:rPr>
              <w:t>0</w:t>
            </w:r>
            <w:r>
              <w:rPr>
                <w:rFonts w:ascii="Arial" w:cs="Arial" w:eastAsia="Arial" w:hAnsi="Arial"/>
                <w:sz w:val="11"/>
                <w:szCs w:val="11"/>
                <w:color w:val="008000"/>
                <w:w w:val="79"/>
              </w:rPr>
              <w:t>(5)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000" w:type="dxa"/>
            <w:vAlign w:val="bottom"/>
          </w:tcPr>
          <w:p>
            <w:pPr>
              <w:jc w:val="center"/>
              <w:spacing w:after="0"/>
              <w:rPr>
                <w:sz w:val="20"/>
                <w:szCs w:val="20"/>
                <w:color w:val="auto"/>
              </w:rPr>
            </w:pPr>
            <w:r>
              <w:rPr>
                <w:rFonts w:ascii="Arial" w:cs="Arial" w:eastAsia="Arial" w:hAnsi="Arial"/>
                <w:sz w:val="13"/>
                <w:szCs w:val="13"/>
                <w:color w:val="0000FF"/>
                <w:w w:val="89"/>
              </w:rPr>
              <w:t>03/01/2022</w:t>
            </w:r>
          </w:p>
        </w:tc>
        <w:tc>
          <w:tcPr>
            <w:tcW w:w="11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jc w:val="right"/>
              <w:ind w:right="42"/>
              <w:spacing w:after="0"/>
              <w:rPr>
                <w:sz w:val="20"/>
                <w:szCs w:val="20"/>
                <w:color w:val="auto"/>
              </w:rPr>
            </w:pPr>
            <w:r>
              <w:rPr>
                <w:rFonts w:ascii="Arial" w:cs="Arial" w:eastAsia="Arial" w:hAnsi="Arial"/>
                <w:sz w:val="13"/>
                <w:szCs w:val="13"/>
                <w:color w:val="0000FF"/>
              </w:rPr>
              <w:t>10,238</w:t>
            </w:r>
          </w:p>
        </w:tc>
        <w:tc>
          <w:tcPr>
            <w:tcW w:w="400" w:type="dxa"/>
            <w:vAlign w:val="bottom"/>
          </w:tcPr>
          <w:p>
            <w:pPr>
              <w:spacing w:after="0"/>
              <w:rPr>
                <w:sz w:val="20"/>
                <w:szCs w:val="20"/>
                <w:color w:val="auto"/>
              </w:rPr>
            </w:pPr>
          </w:p>
        </w:tc>
        <w:tc>
          <w:tcPr>
            <w:tcW w:w="760" w:type="dxa"/>
            <w:vAlign w:val="bottom"/>
          </w:tcPr>
          <w:p>
            <w:pPr>
              <w:ind w:left="30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64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spacing w:after="0"/>
              <w:rPr>
                <w:sz w:val="20"/>
                <w:szCs w:val="20"/>
                <w:color w:val="auto"/>
              </w:rPr>
            </w:pPr>
            <w:r>
              <w:rPr>
                <w:rFonts w:ascii="Arial" w:cs="Arial" w:eastAsia="Arial" w:hAnsi="Arial"/>
                <w:sz w:val="16"/>
                <w:szCs w:val="16"/>
                <w:color w:val="0000FF"/>
                <w:w w:val="89"/>
              </w:rPr>
              <w:t>10,238</w:t>
            </w: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0"/>
              </w:rPr>
              <w:t>20,476</w:t>
            </w:r>
            <w:r>
              <w:rPr>
                <w:rFonts w:ascii="Arial" w:cs="Arial" w:eastAsia="Arial" w:hAnsi="Arial"/>
                <w:sz w:val="21"/>
                <w:szCs w:val="21"/>
                <w:color w:val="008000"/>
                <w:w w:val="80"/>
                <w:vertAlign w:val="superscript"/>
              </w:rPr>
              <w:t>(5)</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2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82"/>
              <w:spacing w:after="0"/>
              <w:rPr>
                <w:sz w:val="20"/>
                <w:szCs w:val="20"/>
                <w:color w:val="auto"/>
              </w:rPr>
            </w:pPr>
            <w:r>
              <w:rPr>
                <w:rFonts w:ascii="Arial" w:cs="Arial" w:eastAsia="Arial" w:hAnsi="Arial"/>
                <w:sz w:val="13"/>
                <w:szCs w:val="13"/>
                <w:color w:val="0000FF"/>
              </w:rPr>
              <w:t>5,252</w:t>
            </w:r>
          </w:p>
        </w:tc>
        <w:tc>
          <w:tcPr>
            <w:tcW w:w="4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64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5,252</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0"/>
              </w:rPr>
              <w:t>15,490</w:t>
            </w:r>
            <w:r>
              <w:rPr>
                <w:rFonts w:ascii="Arial" w:cs="Arial" w:eastAsia="Arial" w:hAnsi="Arial"/>
                <w:sz w:val="21"/>
                <w:szCs w:val="21"/>
                <w:color w:val="008000"/>
                <w:w w:val="80"/>
                <w:vertAlign w:val="superscript"/>
              </w:rPr>
              <w:t>(5)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-2239010</wp:posOffset>
            </wp:positionV>
            <wp:extent cx="28575" cy="2244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4472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performance stock units (PSUs) settled in ordinary shares of LivaNova PLC (the Company), GBP 1.00 par value.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PSU represents a contingent right to receive one ordinary share of the Company in accordance with the terms of the LivaNova PLC 2015 Incentive Award Plan (the Plan) and the award agreement.</w:t>
      </w:r>
    </w:p>
    <w:p>
      <w:pPr>
        <w:spacing w:after="0" w:line="51" w:lineRule="exact"/>
        <w:rPr>
          <w:rFonts w:ascii="Arial" w:cs="Arial" w:eastAsia="Arial" w:hAnsi="Arial"/>
          <w:sz w:val="12"/>
          <w:szCs w:val="12"/>
          <w:color w:val="008000"/>
        </w:rPr>
      </w:pPr>
    </w:p>
    <w:p>
      <w:pPr>
        <w:ind w:left="40" w:right="340" w:hanging="1"/>
        <w:spacing w:after="0" w:line="24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PSUs to vest or lapse on the filing of the Company's Annual Report on Form 10-K for the fiscal year ending December 31, 2021 based on how the Company's cumulative adjusted free cash flow for fiscal years 2019, 2020 and 2021 compares to a target determined by the Plan Administrator.</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0" w:lineRule="exact"/>
        <w:rPr>
          <w:rFonts w:ascii="Arial" w:cs="Arial" w:eastAsia="Arial" w:hAnsi="Arial"/>
          <w:sz w:val="13"/>
          <w:szCs w:val="13"/>
          <w:color w:val="008000"/>
        </w:rPr>
      </w:pPr>
    </w:p>
    <w:p>
      <w:pPr>
        <w:ind w:left="40" w:right="180" w:hanging="1"/>
        <w:spacing w:after="0" w:line="31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30, 2021, reporting person was granted 10,238 PSUs to vest or lapse on March 30, 2024 based on how the Company's cumulative adjusted free cash flow for fiscal years 2021 compares to a target determined by the Plan Administrator. The Company has determined that 200% of the underlying PSUs shall vest on March 30, 2024, subject to continued service during the vesting period and the award agreement.</w:t>
      </w:r>
    </w:p>
    <w:p>
      <w:pPr>
        <w:ind w:left="40" w:right="380" w:hanging="1"/>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10,238 PSUs to vest or lapse on March 30, 2024 based on how the Company's Return on Investment Capital (ROIC) for fiscal year 2021 compares to a target determined by the Plan Administrator. The Company has determined that 151.3% of the underlying PSUs shall vest on March 30, 2024 subject to continued service during the vesting period and the award agreement.</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Sarah K. Mohr, POA</w:t>
            </w:r>
          </w:p>
        </w:tc>
        <w:tc>
          <w:tcPr>
            <w:tcW w:w="760" w:type="dxa"/>
            <w:vAlign w:val="bottom"/>
          </w:tcPr>
          <w:p>
            <w:pPr>
              <w:spacing w:after="0"/>
              <w:rPr>
                <w:sz w:val="20"/>
                <w:szCs w:val="20"/>
                <w:color w:val="auto"/>
              </w:rPr>
            </w:pPr>
            <w:r>
              <w:rPr>
                <w:rFonts w:ascii="Arial" w:cs="Arial" w:eastAsia="Arial" w:hAnsi="Arial"/>
                <w:sz w:val="16"/>
                <w:szCs w:val="16"/>
                <w:color w:val="0000FF"/>
                <w:w w:val="92"/>
              </w:rPr>
              <w:t>03/03/2022</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2022-03-03T19:18:03Z</dcterms:created>
  <dcterms:modified xsi:type="dcterms:W3CDTF">2022-03-03T19:18:03Z</dcterms:modified>
</cp:coreProperties>
</file>