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154940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16"/>
        </w:trPr>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of Incorporation)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9"/>
                <w:szCs w:val="19"/>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ind w:left="7660"/>
        <w:spacing w:after="0"/>
        <w:tabs>
          <w:tab w:leader="none" w:pos="112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20"/>
          <w:szCs w:val="20"/>
          <w:color w:val="auto"/>
        </w:rPr>
        <w:t>o</w:t>
      </w:r>
    </w:p>
    <w:p>
      <w:pPr>
        <w:spacing w:after="0" w:line="24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3" w:lineRule="exact"/>
        <w:rPr>
          <w:sz w:val="24"/>
          <w:szCs w:val="24"/>
          <w:color w:val="auto"/>
        </w:rPr>
      </w:pPr>
    </w:p>
    <w:p>
      <w:pPr>
        <w:ind w:left="11260"/>
        <w:spacing w:after="0"/>
        <w:rPr>
          <w:sz w:val="20"/>
          <w:szCs w:val="20"/>
          <w:color w:val="auto"/>
        </w:rPr>
      </w:pPr>
      <w:r>
        <w:rPr>
          <w:rFonts w:ascii="Times New Roman" w:cs="Times New Roman" w:eastAsia="Times New Roman" w:hAnsi="Times New Roman"/>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5, 2019, LivaNova PLC (the “Company”) issued a press release announcing preliminary unaudited revenue results for the quarter ended March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383"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FF"/>
          </w:rPr>
          <w:t>LivaNova Press Release dated April 5,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80"/>
          </w:cols>
          <w:pgMar w:left="240" w:top="360" w:right="37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April 5, 2019</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00"/>
          </w:cols>
          <w:pgMar w:left="240" w:top="36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83515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FF5C39"/>
        </w:rPr>
        <w:t>LivaNova Reports Preliminary Unaudited First Quarter 2019</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Revenue Results</w:t>
      </w:r>
    </w:p>
    <w:p>
      <w:pPr>
        <w:spacing w:after="0" w:line="200" w:lineRule="exact"/>
        <w:rPr>
          <w:sz w:val="20"/>
          <w:szCs w:val="20"/>
          <w:color w:val="auto"/>
        </w:rPr>
      </w:pPr>
    </w:p>
    <w:p>
      <w:pPr>
        <w:spacing w:after="0" w:line="209" w:lineRule="exact"/>
        <w:rPr>
          <w:sz w:val="20"/>
          <w:szCs w:val="20"/>
          <w:color w:val="auto"/>
        </w:rPr>
      </w:pPr>
    </w:p>
    <w:p>
      <w:pPr>
        <w:jc w:val="both"/>
        <w:spacing w:after="0" w:line="409" w:lineRule="auto"/>
        <w:rPr>
          <w:sz w:val="20"/>
          <w:szCs w:val="20"/>
          <w:color w:val="auto"/>
        </w:rPr>
      </w:pPr>
      <w:r>
        <w:rPr>
          <w:rFonts w:ascii="Arial" w:cs="Arial" w:eastAsia="Arial" w:hAnsi="Arial"/>
          <w:sz w:val="20"/>
          <w:szCs w:val="20"/>
          <w:b w:val="1"/>
          <w:bCs w:val="1"/>
          <w:color w:val="auto"/>
        </w:rPr>
        <w:t xml:space="preserve">London, April 5, 2019 – </w:t>
      </w:r>
      <w:r>
        <w:rPr>
          <w:rFonts w:ascii="Arial" w:cs="Arial" w:eastAsia="Arial" w:hAnsi="Arial"/>
          <w:sz w:val="20"/>
          <w:szCs w:val="20"/>
          <w:color w:val="auto"/>
        </w:rPr>
        <w:t>LivaNova PLC (NASDAQ:LIVN), a market-leading medical technology company, today announced</w:t>
      </w:r>
      <w:r>
        <w:rPr>
          <w:rFonts w:ascii="Arial" w:cs="Arial" w:eastAsia="Arial" w:hAnsi="Arial"/>
          <w:sz w:val="20"/>
          <w:szCs w:val="20"/>
          <w:b w:val="1"/>
          <w:bCs w:val="1"/>
          <w:color w:val="auto"/>
        </w:rPr>
        <w:t xml:space="preserve"> </w:t>
      </w:r>
      <w:r>
        <w:rPr>
          <w:rFonts w:ascii="Arial" w:cs="Arial" w:eastAsia="Arial" w:hAnsi="Arial"/>
          <w:sz w:val="20"/>
          <w:szCs w:val="20"/>
          <w:color w:val="auto"/>
        </w:rPr>
        <w:t>preliminary unaudited revenue results for the quarter ended March 31, 2019.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Preliminary First Quarter 2019 Results</w:t>
      </w:r>
    </w:p>
    <w:p>
      <w:pPr>
        <w:spacing w:after="0" w:line="191" w:lineRule="exact"/>
        <w:rPr>
          <w:sz w:val="20"/>
          <w:szCs w:val="20"/>
          <w:color w:val="auto"/>
        </w:rPr>
      </w:pPr>
    </w:p>
    <w:p>
      <w:pPr>
        <w:jc w:val="both"/>
        <w:spacing w:after="0" w:line="442" w:lineRule="auto"/>
        <w:rPr>
          <w:sz w:val="20"/>
          <w:szCs w:val="20"/>
          <w:color w:val="auto"/>
        </w:rPr>
      </w:pPr>
      <w:r>
        <w:rPr>
          <w:rFonts w:ascii="Arial" w:cs="Arial" w:eastAsia="Arial" w:hAnsi="Arial"/>
          <w:sz w:val="20"/>
          <w:szCs w:val="20"/>
          <w:color w:val="auto"/>
        </w:rPr>
        <w:t>The Company expects worldwide sales from continuing operations for the first quarter 2019 to be approximately $251 million, flat on a reported basis and an increase of 4.0 percent on a constant-currency basis compared to the first quarter of 2018. Neuromodulation sales are anticipated to be $94 million, up 0.6 percent on a reported basis and an increase of 2.1 percent for the first quarter of 2019 compared to the same period last year. Cardiovascular sales are expected to be $155 million, down 0.5 percent on a reported basis and an increase of 5.1 percent for first quarter 2019 as compared to the same period last year. In Cardiovascular, LivaNova ended a previously disclosed third-party distribution agreement on January 1, 2019 that accounted for $8 million in sales in the first quarter of 2018 and is located in Cardiopulmonary within the Rest of World region. The following table highlights expected worldwide sales for the first quarter of 2019 by business:</w:t>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600" w:type="dxa"/>
            <w:vAlign w:val="bottom"/>
            <w:tcBorders>
              <w:top w:val="single" w:sz="8" w:color="auto"/>
              <w:left w:val="single" w:sz="8" w:color="auto"/>
              <w:right w:val="single" w:sz="8" w:color="auto"/>
            </w:tcBorders>
          </w:tcPr>
          <w:p>
            <w:pPr>
              <w:spacing w:after="0"/>
              <w:rPr>
                <w:sz w:val="18"/>
                <w:szCs w:val="18"/>
                <w:color w:val="auto"/>
              </w:rPr>
            </w:pPr>
          </w:p>
        </w:tc>
        <w:tc>
          <w:tcPr>
            <w:tcW w:w="320" w:type="dxa"/>
            <w:vAlign w:val="bottom"/>
            <w:tcBorders>
              <w:top w:val="single" w:sz="8" w:color="auto"/>
              <w:right w:val="single" w:sz="8" w:color="auto"/>
            </w:tcBorders>
          </w:tcPr>
          <w:p>
            <w:pPr>
              <w:spacing w:after="0"/>
              <w:rPr>
                <w:sz w:val="18"/>
                <w:szCs w:val="18"/>
                <w:color w:val="auto"/>
              </w:rPr>
            </w:pPr>
          </w:p>
        </w:tc>
        <w:tc>
          <w:tcPr>
            <w:tcW w:w="2380" w:type="dxa"/>
            <w:vAlign w:val="bottom"/>
            <w:tcBorders>
              <w:top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9"/>
              </w:rPr>
              <w:t>Three months ended</w:t>
            </w:r>
          </w:p>
        </w:tc>
        <w:tc>
          <w:tcPr>
            <w:tcW w:w="54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spacing w:after="0"/>
              <w:rPr>
                <w:sz w:val="18"/>
                <w:szCs w:val="18"/>
                <w:color w:val="auto"/>
              </w:rPr>
            </w:pPr>
          </w:p>
        </w:tc>
      </w:tr>
      <w:tr>
        <w:trPr>
          <w:trHeight w:val="254"/>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in millions</w:t>
            </w:r>
          </w:p>
        </w:tc>
        <w:tc>
          <w:tcPr>
            <w:tcW w:w="320" w:type="dxa"/>
            <w:vAlign w:val="bottom"/>
            <w:tcBorders>
              <w:bottom w:val="single" w:sz="8" w:color="auto"/>
              <w:right w:val="single" w:sz="8" w:color="auto"/>
            </w:tcBorders>
          </w:tcPr>
          <w:p>
            <w:pPr>
              <w:spacing w:after="0"/>
              <w:rPr>
                <w:sz w:val="22"/>
                <w:szCs w:val="22"/>
                <w:color w:val="auto"/>
              </w:rPr>
            </w:pPr>
          </w:p>
        </w:tc>
        <w:tc>
          <w:tcPr>
            <w:tcW w:w="238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99"/>
              </w:rPr>
              <w:t>March 31</w:t>
            </w:r>
          </w:p>
        </w:tc>
        <w:tc>
          <w:tcPr>
            <w:tcW w:w="54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As Reported</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Constant Currency</w:t>
            </w:r>
          </w:p>
        </w:tc>
      </w:tr>
      <w:tr>
        <w:trPr>
          <w:trHeight w:val="264"/>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Business/Product Line</w:t>
            </w:r>
          </w:p>
        </w:tc>
        <w:tc>
          <w:tcPr>
            <w:tcW w:w="3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88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176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Change</w:t>
            </w:r>
          </w:p>
        </w:tc>
      </w:tr>
      <w:tr>
        <w:trPr>
          <w:trHeight w:val="246"/>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Cardiopulmonary</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Heart Valves</w:t>
            </w:r>
          </w:p>
        </w:tc>
        <w:tc>
          <w:tcPr>
            <w:tcW w:w="3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64"/>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ACS</w:t>
            </w:r>
          </w:p>
        </w:tc>
        <w:tc>
          <w:tcPr>
            <w:tcW w:w="3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64"/>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Cardiovascular</w:t>
            </w:r>
          </w:p>
        </w:tc>
        <w:tc>
          <w:tcPr>
            <w:tcW w:w="3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3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3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3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54"/>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Net Sales</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250.5</w:t>
            </w:r>
          </w:p>
        </w:tc>
        <w:tc>
          <w:tcPr>
            <w:tcW w:w="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250.4</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r>
    </w:tbl>
    <w:p>
      <w:pPr>
        <w:spacing w:after="0" w:line="252" w:lineRule="exact"/>
        <w:rPr>
          <w:sz w:val="20"/>
          <w:szCs w:val="20"/>
          <w:color w:val="auto"/>
        </w:rPr>
      </w:pPr>
    </w:p>
    <w:p>
      <w:pPr>
        <w:ind w:left="260" w:right="500" w:hanging="252"/>
        <w:spacing w:after="0" w:line="344" w:lineRule="auto"/>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Constant-currency % change is considered a non-GAAP metric. Constant-currency growth accounts for the impact from fluctuations in the various currencies in which the Company operates as compared to reported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378" w:right="239" w:bottom="1440" w:gutter="0" w:footer="0" w:header="0"/>
        </w:sectPr>
      </w:pPr>
    </w:p>
    <w:bookmarkStart w:id="4" w:name="page5"/>
    <w:bookmarkEnd w:id="4"/>
    <w:p>
      <w:pPr>
        <w:jc w:val="both"/>
        <w:spacing w:after="0" w:line="386" w:lineRule="auto"/>
        <w:rPr>
          <w:sz w:val="20"/>
          <w:szCs w:val="20"/>
          <w:color w:val="auto"/>
        </w:rPr>
      </w:pPr>
      <w:r>
        <w:rPr>
          <w:rFonts w:ascii="Arial" w:cs="Arial" w:eastAsia="Arial" w:hAnsi="Arial"/>
          <w:sz w:val="20"/>
          <w:szCs w:val="20"/>
          <w:color w:val="auto"/>
        </w:rPr>
        <w:t>The Neuromodulation business experienced unexpected weakness in the U.S. market due to a combination of factors, including competitive dynamics and salesforce turnover. Softness in Perceval sales coupled with continued declines in overall heart valve sales negatively impacted the Cardiovascular business during the quarter.</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"While our Europe and Rest of World regions continued to grow above plan, I am disappointed by our execution in the quarter in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light of the changing competitive environment within the U.S. in our Neuromodulation and Heart Valves businesses,” said Damien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McDonald, Chief Executive Officer of LivaNova. “We believe we can address these challenges and remain committed to our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strategy to drive sales, build global capabilities and establish a strong product portfolio. We believe these efforts will serve the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needs of our customers and patients to create quality, long-term value for our shareholders."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Guidance and Financial Outlook</w:t>
      </w:r>
    </w:p>
    <w:p>
      <w:pPr>
        <w:spacing w:after="0" w:line="164" w:lineRule="exact"/>
        <w:rPr>
          <w:sz w:val="20"/>
          <w:szCs w:val="20"/>
          <w:color w:val="auto"/>
        </w:rPr>
      </w:pPr>
    </w:p>
    <w:p>
      <w:pPr>
        <w:jc w:val="both"/>
        <w:spacing w:after="0" w:line="407" w:lineRule="auto"/>
        <w:rPr>
          <w:sz w:val="20"/>
          <w:szCs w:val="20"/>
          <w:color w:val="auto"/>
        </w:rPr>
      </w:pPr>
      <w:r>
        <w:rPr>
          <w:rFonts w:ascii="Arial" w:cs="Arial" w:eastAsia="Arial" w:hAnsi="Arial"/>
          <w:sz w:val="20"/>
          <w:szCs w:val="20"/>
          <w:color w:val="auto"/>
        </w:rPr>
        <w:t>LivaNova is currently reviewing its 2019 guidance and will provide updates and report its full financial results for first quarter 2019 in connection with its earnings call on Wednesday, May 1.</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Regarding Preliminary Results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financial results presented in this release are preliminary and may change. This preliminary financial information includes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calculations or figures that have been prepared internally by management and have not been reviewed or audited by our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independent registered public accounting firm. There can be no assurance that the Company’s actual results for the periods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presented herein will not differ from the preliminary financial data presented herein and such changes could be material. This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preliminary financial data should not be viewed as a substitute for full financial statements prepared in accordance with GAAP and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is not necessarily indicative of the results to be achieved for any future periods.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272" w:lineRule="exact"/>
        <w:rPr>
          <w:sz w:val="20"/>
          <w:szCs w:val="20"/>
          <w:color w:val="auto"/>
        </w:rPr>
      </w:pPr>
    </w:p>
    <w:p>
      <w:pPr>
        <w:jc w:val="both"/>
        <w:spacing w:after="0" w:line="386" w:lineRule="auto"/>
        <w:rPr>
          <w:sz w:val="20"/>
          <w:szCs w:val="20"/>
          <w:color w:val="auto"/>
        </w:rPr>
      </w:pPr>
      <w:r>
        <w:rPr>
          <w:rFonts w:ascii="Arial" w:cs="Arial" w:eastAsia="Arial" w:hAnsi="Arial"/>
          <w:sz w:val="20"/>
          <w:szCs w:val="20"/>
          <w:color w:val="auto"/>
        </w:rPr>
        <w:t>The Company will host a live audio webcast for interested parties commencing at 1 p.m. London time (8 a.m. Eastern Time) on Wednesday, May 1 that will be accessible through the Investor Relations section of the LivaNova corporate website at www.livanova.com. To listen to the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529" w:right="239" w:bottom="1440" w:gutter="0" w:footer="0" w:header="0"/>
        </w:sectPr>
      </w:pPr>
    </w:p>
    <w:bookmarkStart w:id="5" w:name="page6"/>
    <w:bookmarkEnd w:id="5"/>
    <w:p>
      <w:pPr>
        <w:jc w:val="both"/>
        <w:spacing w:after="0" w:line="407" w:lineRule="auto"/>
        <w:rPr>
          <w:sz w:val="20"/>
          <w:szCs w:val="20"/>
          <w:color w:val="auto"/>
        </w:rPr>
      </w:pPr>
      <w:r>
        <w:rPr>
          <w:rFonts w:ascii="Arial" w:cs="Arial" w:eastAsia="Arial" w:hAnsi="Arial"/>
          <w:sz w:val="20"/>
          <w:szCs w:val="20"/>
          <w:color w:val="auto"/>
        </w:rPr>
        <w:t>conference call live by telephone, dial (844) 601-5111 (if dialing from within the U.S.) or (647) 253-8650 (if dialing from outside the U.S.). The conference ID is 7264769.</w:t>
      </w:r>
    </w:p>
    <w:p>
      <w:pPr>
        <w:spacing w:after="0" w:line="165" w:lineRule="exact"/>
        <w:rPr>
          <w:sz w:val="20"/>
          <w:szCs w:val="20"/>
          <w:color w:val="auto"/>
        </w:rPr>
      </w:pPr>
    </w:p>
    <w:p>
      <w:pPr>
        <w:ind w:right="20"/>
        <w:spacing w:after="0" w:line="477" w:lineRule="auto"/>
        <w:rPr>
          <w:sz w:val="20"/>
          <w:szCs w:val="20"/>
          <w:color w:val="auto"/>
        </w:rPr>
      </w:pPr>
      <w:r>
        <w:rPr>
          <w:rFonts w:ascii="Arial" w:cs="Arial" w:eastAsia="Arial" w:hAnsi="Arial"/>
          <w:sz w:val="20"/>
          <w:szCs w:val="20"/>
          <w:color w:val="auto"/>
        </w:rPr>
        <w:t>Within 24 hours of the webcast, a replay will be available under the "News &amp; Events / Events &amp; Presentations" section of the Investor Relations portion of the LivaNova website, where it will be archived and accessible for approximately 12 months.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229"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approximately 4,000 employees. LivaNova operates as two businesses: Cardiovascular and Neuromodulation, with operating headquarters in Mirandola (Italy) and Houston (U.S.),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more information, please visit www.livanova.com.</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229"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Unless otherwise noted, all sales growth rates in this release reflect comparable, constant-currency growth. Management believes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that referring to comparable, constant-currency growth is the most useful way to evaluate the sales performance of LivaNova and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to compare the sales performance of current periods to prior periods on a consistent basis. Constant-currency growth, a non-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GAAP financial measure, measures the change in sales between current and prior-year periods using average exchange rates in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effect during the applicable prior-year period.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529"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would be included in GAAP financial measures. For example, forward-looking net sales growth projections are estimated on a</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constant-currency basis and exclude the impact of foreign currency fluctuations. Forward-looking non-GAAP adjusted tax rate and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adjusted diluted earnings per share guidance exclude other items such as, but not limited to, changes in fair value of contingent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consideration arrangements, asset impairment charges and product remediation costs that would be included in comparable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GAAP financial measures. The most directly comparable GAAP measure for constant-currency net sales are net sales.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Furthermore, adjusted financial measures allow investors to evaluate the Company’s core performance for different periods on 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more comparable and consistent basis, and with other entities in the medical technology industry by adjusting for items that are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not related to the ongoing operations of the Company or incurred in the ordinary course of business.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229" w:lineRule="exact"/>
        <w:rPr>
          <w:sz w:val="20"/>
          <w:szCs w:val="20"/>
          <w:color w:val="auto"/>
        </w:rPr>
      </w:pPr>
    </w:p>
    <w:p>
      <w:pPr>
        <w:jc w:val="both"/>
        <w:spacing w:after="0" w:line="369" w:lineRule="auto"/>
        <w:rPr>
          <w:sz w:val="20"/>
          <w:szCs w:val="20"/>
          <w:color w:val="auto"/>
        </w:rPr>
      </w:pPr>
      <w:r>
        <w:rPr>
          <w:rFonts w:ascii="Arial" w:cs="Arial" w:eastAsia="Arial" w:hAnsi="Arial"/>
          <w:sz w:val="20"/>
          <w:szCs w:val="20"/>
          <w:color w:val="auto"/>
        </w:rPr>
        <w:t>This news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news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which are not guarantees of future performance or actions that may be taken by LivaNova and involve known and unknown risks, uncertainties and other factors that may be beyond LivaNova’s control. You should carefully consider the risks and uncertainties that affect LivaNova, including those described in the “Risk Factors” section of LivaNova’s most recent Annual Reports on Form 10-K and other documents filed from time to time with the United States Securities and Exchange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448" w:right="239" w:bottom="1440" w:gutter="0" w:footer="0" w:header="0"/>
        </w:sectPr>
      </w:pPr>
    </w:p>
    <w:bookmarkStart w:id="7" w:name="page8"/>
    <w:bookmarkEnd w:id="7"/>
    <w:p>
      <w:pPr>
        <w:jc w:val="both"/>
        <w:spacing w:after="0" w:line="374" w:lineRule="auto"/>
        <w:rPr>
          <w:sz w:val="20"/>
          <w:szCs w:val="20"/>
          <w:color w:val="auto"/>
        </w:rPr>
      </w:pPr>
      <w:r>
        <w:rPr>
          <w:rFonts w:ascii="Arial" w:cs="Arial" w:eastAsia="Arial" w:hAnsi="Arial"/>
          <w:sz w:val="20"/>
          <w:szCs w:val="20"/>
          <w:color w:val="auto"/>
        </w:rPr>
        <w:t>All information in this news release is as of the date of its release. LivaNova does not undertake or assume any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news release.</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 Investor Relations and Media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Melissa Farina, </w:t>
      </w:r>
      <w:r>
        <w:rPr>
          <w:rFonts w:ascii="Arial" w:cs="Arial" w:eastAsia="Arial" w:hAnsi="Arial"/>
          <w:sz w:val="20"/>
          <w:szCs w:val="20"/>
          <w:color w:val="auto"/>
        </w:rPr>
        <w:t>+1 (281) 228-7262</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InvestorRelations@livanova.com</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Director, Corporate Communications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Corporate.Communications@livanova.com</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529"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7495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749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2019-12-28T13:55:50Z</dcterms:created>
  <dcterms:modified xsi:type="dcterms:W3CDTF">2019-12-28T13:55:50Z</dcterms:modified>
</cp:coreProperties>
</file>