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ind w:right="2860" w:firstLine="648"/>
        <w:spacing w:after="0" w:line="257" w:lineRule="auto"/>
        <w:rPr>
          <w:sz w:val="20"/>
          <w:szCs w:val="20"/>
          <w:color w:val="auto"/>
        </w:rPr>
      </w:pPr>
      <w:r>
        <w:rPr>
          <w:rFonts w:ascii="Arial" w:cs="Arial" w:eastAsia="Arial" w:hAnsi="Arial"/>
          <w:sz w:val="18"/>
          <w:szCs w:val="18"/>
          <w:color w:val="auto"/>
        </w:rPr>
        <w:t>On December 14, 2022, the Compensation Committee of the LivaNova Board of Directors approved an increase to the base salary of the Company's Chief Financial Officer (CFO), Alex Shvartsburg, to £430,000 annually, effective January 1, 2023. (Mr. Shvartsburg’s salary was previously increased to £360,000 on April 1, 2022). The salary increase encompasses both an accelerated 2023 merit increase as well as a market calibration adjustment as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5" w:right="5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Arial" w:cs="Arial" w:eastAsia="Arial" w:hAnsi="Arial"/>
          <w:sz w:val="18"/>
          <w:szCs w:val="18"/>
          <w:color w:val="auto"/>
        </w:rPr>
        <w:t>Date: December 14,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Chief Legal Officer</w:t>
      </w:r>
    </w:p>
    <w:sectPr>
      <w:pgSz w:w="11900" w:h="16838" w:orient="portrait"/>
      <w:cols w:equalWidth="0" w:num="1">
        <w:col w:w="10940"/>
      </w:cols>
      <w:pgMar w:left="320" w:top="101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2022-12-14T15:09:39Z</dcterms:created>
  <dcterms:modified xsi:type="dcterms:W3CDTF">2022-12-14T15:09:39Z</dcterms:modified>
</cp:coreProperties>
</file>