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GBP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G5509L101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3,065,717.00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3,065,717.00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3,065,717.00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3,484,082.00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3,484,082.00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3,484,082.00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3,484,082.00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3,484,082.00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3,484,082.00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3,484,082.00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3,484,082.00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3,484,082.00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Eastbourne Terrace, London, W2 6LG, United Kingdom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GBP 1.00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G5509L101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8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49"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ectPr>
          <w:pgSz w:w="11900" w:h="16849"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Exhibit I</w:t>
      </w:r>
    </w:p>
    <w:p>
      <w:pPr>
        <w:sectPr>
          <w:pgSz w:w="11900" w:h="16849" w:orient="portrait"/>
          <w:cols w:equalWidth="0" w:num="1">
            <w:col w:w="11140"/>
          </w:cols>
          <w:pgMar w:left="360" w:top="112" w:right="399" w:bottom="0" w:gutter="0" w:footer="0" w:header="0"/>
          <w:type w:val="continuous"/>
        </w:sectPr>
      </w:pPr>
    </w:p>
    <w:bookmarkStart w:id="5" w:name="page6"/>
    <w:bookmarkEnd w:id="5"/>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04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February 6, 2026, by and among Integrated Core Strategies (US) LLC, Millennium Management LLC, Millennium Group Management LLC and Israel A. Englander.</w:t>
      </w:r>
    </w:p>
    <w:p>
      <w:pPr>
        <w:sectPr>
          <w:pgSz w:w="11900" w:h="16838" w:orient="portrait"/>
          <w:cols w:equalWidth="0" w:num="1">
            <w:col w:w="11180"/>
          </w:cols>
          <w:pgMar w:left="320" w:top="126" w:right="39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Ordinary Shares, par value £1.00 per share, of LivaNova PLC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6,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2026-02-09T15:55:35Z</dcterms:created>
  <dcterms:modified xsi:type="dcterms:W3CDTF">2026-02-09T15:55:35Z</dcterms:modified>
</cp:coreProperties>
</file>