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6572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5722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Makatsaria Vladimir</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LIVANOVA PLC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W2 6LA</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03/30/2024</w:t>
            </w:r>
          </w:p>
        </w:tc>
        <w:tc>
          <w:tcPr>
            <w:tcW w:w="2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40" w:space="7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13,407</w:t>
            </w:r>
          </w:p>
        </w:tc>
        <w:tc>
          <w:tcPr>
            <w:tcW w:w="300" w:type="dxa"/>
            <w:vAlign w:val="bottom"/>
          </w:tcPr>
          <w:p>
            <w:pPr>
              <w:spacing w:after="0"/>
              <w:rPr>
                <w:sz w:val="20"/>
                <w:szCs w:val="20"/>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13,407</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13,407</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23,909</w:t>
            </w:r>
          </w:p>
        </w:tc>
        <w:tc>
          <w:tcPr>
            <w:tcW w:w="300" w:type="dxa"/>
            <w:vAlign w:val="bottom"/>
          </w:tcPr>
          <w:p>
            <w:pPr>
              <w:spacing w:after="0"/>
              <w:rPr>
                <w:sz w:val="20"/>
                <w:szCs w:val="20"/>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23,909</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23,909</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11,954</w:t>
            </w:r>
          </w:p>
        </w:tc>
        <w:tc>
          <w:tcPr>
            <w:tcW w:w="300" w:type="dxa"/>
            <w:vAlign w:val="bottom"/>
          </w:tcPr>
          <w:p>
            <w:pPr>
              <w:spacing w:after="0"/>
              <w:rPr>
                <w:sz w:val="20"/>
                <w:szCs w:val="20"/>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11,954</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11,954</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11,954</w:t>
            </w:r>
          </w:p>
        </w:tc>
        <w:tc>
          <w:tcPr>
            <w:tcW w:w="300" w:type="dxa"/>
            <w:vAlign w:val="bottom"/>
          </w:tcPr>
          <w:p>
            <w:pPr>
              <w:spacing w:after="0"/>
              <w:rPr>
                <w:sz w:val="20"/>
                <w:szCs w:val="20"/>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11,954</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11,954</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23,909</w:t>
            </w:r>
          </w:p>
        </w:tc>
        <w:tc>
          <w:tcPr>
            <w:tcW w:w="300" w:type="dxa"/>
            <w:vAlign w:val="bottom"/>
          </w:tcPr>
          <w:p>
            <w:pPr>
              <w:spacing w:after="0"/>
              <w:rPr>
                <w:sz w:val="20"/>
                <w:szCs w:val="20"/>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23,909</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23,909</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52,268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55.94</w:t>
            </w: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52,268</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52,268</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29,309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55.94</w:t>
            </w: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29,309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29,309</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the Company in accordance with the terms of the LivaNova PLC 2022 Incentive Award Plan (the 2022 Plan) and the award agreement.</w:t>
      </w:r>
    </w:p>
    <w:p>
      <w:pPr>
        <w:spacing w:after="0" w:line="18" w:lineRule="exact"/>
        <w:rPr>
          <w:rFonts w:ascii="Times New Roman" w:cs="Times New Roman" w:eastAsia="Times New Roman" w:hAnsi="Times New Roman"/>
          <w:sz w:val="13"/>
          <w:szCs w:val="13"/>
          <w:color w:val="008000"/>
        </w:rPr>
      </w:pPr>
    </w:p>
    <w:p>
      <w:pPr>
        <w:ind w:left="40" w:right="42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occurring on March 30, 2025. The RSUs are subject to forfeiture prior to vesting in accordance with the terms of the Plan and the award agreement.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2022 Plan and the award agreement.</w:t>
      </w:r>
    </w:p>
    <w:p>
      <w:pPr>
        <w:spacing w:after="0" w:line="42" w:lineRule="exact"/>
        <w:rPr>
          <w:rFonts w:ascii="Times New Roman" w:cs="Times New Roman" w:eastAsia="Times New Roman" w:hAnsi="Times New Roman"/>
          <w:sz w:val="13"/>
          <w:szCs w:val="13"/>
          <w:color w:val="008000"/>
        </w:rPr>
      </w:pPr>
    </w:p>
    <w:p>
      <w:pPr>
        <w:ind w:left="40" w:right="1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how the Company's free cash flow (FCF) for performance period 2024-2026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2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how the Company's Return on Investment Capital (ROIC) calculated for the performance period 2024-2026 compares to a target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1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the Company's total shareholder return (TSR) for the three-year period beginning on January 1, 2024 and ending December 31, 2026 relative to the TSR of an index of companies, as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50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stock appreciation rights (SARs) subject to a four-year vesting in equal annual installments, the first vesting occurring on March 30, 2025. The SARs are subject to forfeiture prior to vesting in accordance with the terms of the Plan and the award agreement.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2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81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1264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2024-04-02T20:23:09Z</dcterms:created>
  <dcterms:modified xsi:type="dcterms:W3CDTF">2024-04-02T20:23:09Z</dcterms:modified>
</cp:coreProperties>
</file>