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Skeffington Keyna Pidcock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06/30/2020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23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48.13</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2,846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06/30/2020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80"/>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2,857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under the LivaNova Employee Stock Purchase Plan (the "ESPP") from contributions by the reporting person.</w:t>
      </w:r>
    </w:p>
    <w:p>
      <w:pPr>
        <w:spacing w:after="0" w:line="50" w:lineRule="exact"/>
        <w:rPr>
          <w:rFonts w:ascii="Arial" w:cs="Arial" w:eastAsia="Arial" w:hAnsi="Arial"/>
          <w:sz w:val="13"/>
          <w:szCs w:val="13"/>
          <w:color w:val="008000"/>
        </w:rPr>
      </w:pPr>
    </w:p>
    <w:p>
      <w:pPr>
        <w:ind w:left="40" w:right="5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Matching Shares acquired under the ESPP where LivaNova grants one Ordinary Share for every two Ordinary Shares purchased under the ESPP to participants located in certain countries. The Matching Shares are subject to a three year restriction on selling such shares and three year forfeiture period if the participant ceases to be employed by LivaNova (with certain exclusions under the ESPP).</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07/02/2020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16" w:lineRule="exact"/>
        <w:rPr>
          <w:sz w:val="20"/>
          <w:szCs w:val="20"/>
          <w:color w:val="auto"/>
        </w:rPr>
      </w:pPr>
    </w:p>
    <w:p>
      <w:pPr>
        <w:ind w:right="260" w:firstLine="640"/>
        <w:spacing w:after="0" w:line="281" w:lineRule="auto"/>
        <w:rPr>
          <w:sz w:val="20"/>
          <w:szCs w:val="20"/>
          <w:color w:val="auto"/>
        </w:rPr>
      </w:pPr>
      <w:r>
        <w:rPr>
          <w:rFonts w:ascii="Arial" w:cs="Arial" w:eastAsia="Arial" w:hAnsi="Arial"/>
          <w:sz w:val="20"/>
          <w:szCs w:val="20"/>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57" w:lineRule="exact"/>
        <w:rPr>
          <w:sz w:val="20"/>
          <w:szCs w:val="20"/>
          <w:color w:val="auto"/>
        </w:rPr>
      </w:pPr>
    </w:p>
    <w:p>
      <w:pPr>
        <w:ind w:left="1280" w:hanging="634"/>
        <w:spacing w:after="0" w:line="33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3" w:lineRule="exact"/>
        <w:rPr>
          <w:rFonts w:ascii="Arial" w:cs="Arial" w:eastAsia="Arial" w:hAnsi="Arial"/>
          <w:sz w:val="18"/>
          <w:szCs w:val="18"/>
          <w:color w:val="auto"/>
        </w:rPr>
      </w:pPr>
    </w:p>
    <w:p>
      <w:pPr>
        <w:ind w:left="1280" w:right="100" w:hanging="634"/>
        <w:spacing w:after="0" w:line="3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5" w:lineRule="exact"/>
        <w:rPr>
          <w:rFonts w:ascii="Arial" w:cs="Arial" w:eastAsia="Arial" w:hAnsi="Arial"/>
          <w:sz w:val="17"/>
          <w:szCs w:val="17"/>
          <w:color w:val="auto"/>
        </w:rPr>
      </w:pPr>
    </w:p>
    <w:p>
      <w:pPr>
        <w:ind w:left="1280" w:right="280" w:hanging="634"/>
        <w:spacing w:after="0" w:line="282" w:lineRule="auto"/>
        <w:tabs>
          <w:tab w:leader="none" w:pos="1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5" w:lineRule="exact"/>
        <w:rPr>
          <w:sz w:val="20"/>
          <w:szCs w:val="20"/>
          <w:color w:val="auto"/>
        </w:rPr>
      </w:pPr>
    </w:p>
    <w:p>
      <w:pPr>
        <w:ind w:firstLine="640"/>
        <w:spacing w:after="0" w:line="316"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right="60" w:firstLine="640"/>
        <w:spacing w:after="0" w:line="316" w:lineRule="auto"/>
        <w:rPr>
          <w:sz w:val="20"/>
          <w:szCs w:val="20"/>
          <w:color w:val="auto"/>
        </w:rPr>
      </w:pPr>
      <w:r>
        <w:rPr>
          <w:rFonts w:ascii="Arial" w:cs="Arial" w:eastAsia="Arial" w:hAnsi="Arial"/>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1" w:lineRule="exact"/>
        <w:rPr>
          <w:sz w:val="20"/>
          <w:szCs w:val="20"/>
          <w:color w:val="auto"/>
        </w:rPr>
      </w:pPr>
    </w:p>
    <w:p>
      <w:pPr>
        <w:ind w:right="140" w:firstLine="640"/>
        <w:spacing w:after="0" w:line="356"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2" w:lineRule="exact"/>
        <w:rPr>
          <w:sz w:val="20"/>
          <w:szCs w:val="20"/>
          <w:color w:val="auto"/>
        </w:rPr>
      </w:pPr>
    </w:p>
    <w:p>
      <w:pPr>
        <w:ind w:right="60" w:firstLine="640"/>
        <w:spacing w:after="0" w:line="28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-16510</wp:posOffset>
            </wp:positionV>
            <wp:extent cx="1457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0"/>
          <w:szCs w:val="20"/>
          <w:color w:val="auto"/>
        </w:rPr>
        <w:t>Keyna Skeffington</w:t>
      </w:r>
    </w:p>
    <w:sectPr>
      <w:pgSz w:w="11900" w:h="16838" w:orient="portrait"/>
      <w:cols w:equalWidth="0" w:num="1">
        <w:col w:w="10960"/>
      </w:cols>
      <w:pgMar w:left="460" w:top="35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8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2020-07-02T12:42:34Z</dcterms:created>
  <dcterms:modified xsi:type="dcterms:W3CDTF">2020-07-02T12:42:34Z</dcterms:modified>
</cp:coreProperties>
</file>