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Report (Date of earliest event reported): November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75105"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72"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2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England and Wales</w:t>
            </w:r>
          </w:p>
        </w:tc>
        <w:tc>
          <w:tcPr>
            <w:tcW w:w="5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001-37599</w:t>
            </w:r>
          </w:p>
        </w:tc>
        <w:tc>
          <w:tcPr>
            <w:tcW w:w="17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222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0"/>
              </w:rPr>
              <w:t>(State or Other Jurisdiction</w:t>
            </w:r>
          </w:p>
        </w:tc>
        <w:tc>
          <w:tcPr>
            <w:tcW w:w="54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3"/>
              </w:rPr>
              <w:t>(Commission</w:t>
            </w:r>
          </w:p>
        </w:tc>
        <w:tc>
          <w:tcPr>
            <w:tcW w:w="174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94"/>
              </w:rPr>
              <w:t>File Number)</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630"/>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 Merchant Square</w:t>
            </w:r>
          </w:p>
        </w:tc>
        <w:tc>
          <w:tcPr>
            <w:tcW w:w="174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54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4"/>
              </w:rPr>
              <w:t>North Wharf Road</w:t>
            </w:r>
          </w:p>
        </w:tc>
        <w:tc>
          <w:tcPr>
            <w:tcW w:w="17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54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3"/>
              </w:rPr>
              <w:t>London, W2 1AY</w:t>
            </w:r>
          </w:p>
        </w:tc>
        <w:tc>
          <w:tcPr>
            <w:tcW w:w="1740" w:type="dxa"/>
            <w:vAlign w:val="bottom"/>
          </w:tcPr>
          <w:p>
            <w:pPr>
              <w:spacing w:after="0"/>
              <w:rPr>
                <w:sz w:val="17"/>
                <w:szCs w:val="17"/>
                <w:color w:val="auto"/>
              </w:rPr>
            </w:pPr>
          </w:p>
        </w:tc>
      </w:tr>
      <w:tr>
        <w:trPr>
          <w:trHeight w:val="207"/>
        </w:trPr>
        <w:tc>
          <w:tcPr>
            <w:tcW w:w="2220" w:type="dxa"/>
            <w:vAlign w:val="bottom"/>
          </w:tcPr>
          <w:p>
            <w:pPr>
              <w:spacing w:after="0"/>
              <w:rPr>
                <w:sz w:val="17"/>
                <w:szCs w:val="17"/>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4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40" w:type="dxa"/>
            <w:vAlign w:val="bottom"/>
          </w:tcPr>
          <w:p>
            <w:pPr>
              <w:spacing w:after="0"/>
              <w:rPr>
                <w:sz w:val="20"/>
                <w:szCs w:val="20"/>
                <w:color w:val="auto"/>
              </w:rPr>
            </w:pPr>
          </w:p>
        </w:tc>
      </w:tr>
      <w:tr>
        <w:trPr>
          <w:trHeight w:val="377"/>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203 786 5275</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174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40" w:type="dxa"/>
            <w:vAlign w:val="bottom"/>
          </w:tcPr>
          <w:p>
            <w:pPr>
              <w:spacing w:after="0"/>
              <w:rPr>
                <w:sz w:val="20"/>
                <w:szCs w:val="20"/>
                <w:color w:val="auto"/>
              </w:rPr>
            </w:pPr>
          </w:p>
        </w:tc>
      </w:tr>
    </w:tbl>
    <w:p>
      <w:pPr>
        <w:spacing w:after="0" w:line="377"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801"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November 2, 2016, LivaNova PLC (the "Company") issued a press release announcing financial results for the second quarter ending September 30, 2016. The Company will host a business update conference call and webcast today, November 2, 2016, at 8:00 a.m. Central Time (9:00 a.m. Eastern Time, 1:00 p.m. UK Time), during which the Company will discuss the financial results. The conference call will be available to interested parties through a live audio webcast commencing at 8:00 a.m. Central Time (9:00 a.m. Eastern Time, 1:00 p.m. UK Time) and accessible through the Investor Relations section of the LivaNova corporate website at www.livanova.com. A copy of the Company's press release is furnished as Exhibit 99.1 on this Current Report on Form 8-K.</w:t>
      </w:r>
    </w:p>
    <w:p>
      <w:pPr>
        <w:spacing w:after="0" w:line="176" w:lineRule="exact"/>
        <w:rPr>
          <w:sz w:val="20"/>
          <w:szCs w:val="20"/>
          <w:color w:val="auto"/>
        </w:rPr>
      </w:pPr>
    </w:p>
    <w:p>
      <w:pPr>
        <w:ind w:right="420" w:firstLine="648"/>
        <w:spacing w:after="0" w:line="248"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LivaNova PLC dated November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78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-10160</wp:posOffset>
            </wp:positionV>
            <wp:extent cx="2085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23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602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LivaNova PLC dated November 2, 2016</w:t>
      </w:r>
    </w:p>
    <w:p>
      <w:pPr>
        <w:sectPr>
          <w:pgSz w:w="11900" w:h="16838" w:orient="portrait"/>
          <w:cols w:equalWidth="0" w:num="1">
            <w:col w:w="10179"/>
          </w:cols>
          <w:pgMar w:left="28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84404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FF5C39"/>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LivaNova Reports Third Quarter 2016 Results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London, November 2, 2016 – LivaNova PLC (NASDAQ:LIVN; LSE: LIVN) ("LivaNova" or the "Company"), a market-leading medical technology and innovation company, today reported results for the third quarter ended September 30, 2016.</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third quarter of 2016, worldwide sales were $</w:t>
      </w:r>
      <w:r>
        <w:rPr>
          <w:rFonts w:ascii="Arial" w:cs="Arial" w:eastAsia="Arial" w:hAnsi="Arial"/>
          <w:sz w:val="18"/>
          <w:szCs w:val="18"/>
          <w:b w:val="1"/>
          <w:bCs w:val="1"/>
          <w:color w:val="auto"/>
        </w:rPr>
        <w:t>295</w:t>
      </w:r>
      <w:r>
        <w:rPr>
          <w:rFonts w:ascii="Arial" w:cs="Arial" w:eastAsia="Arial" w:hAnsi="Arial"/>
          <w:sz w:val="18"/>
          <w:szCs w:val="18"/>
          <w:color w:val="auto"/>
        </w:rPr>
        <w:t xml:space="preserve"> million, an increase of </w:t>
      </w:r>
      <w:r>
        <w:rPr>
          <w:rFonts w:ascii="Arial" w:cs="Arial" w:eastAsia="Arial" w:hAnsi="Arial"/>
          <w:sz w:val="18"/>
          <w:szCs w:val="18"/>
          <w:b w:val="1"/>
          <w:bCs w:val="1"/>
          <w:color w:val="auto"/>
        </w:rPr>
        <w:t>3.2</w:t>
      </w:r>
      <w:r>
        <w:rPr>
          <w:rFonts w:ascii="Arial" w:cs="Arial" w:eastAsia="Arial" w:hAnsi="Arial"/>
          <w:sz w:val="18"/>
          <w:szCs w:val="18"/>
          <w:color w:val="auto"/>
        </w:rPr>
        <w:t xml:space="preserve"> percent on a reported basis and an increase of </w:t>
      </w:r>
      <w:r>
        <w:rPr>
          <w:rFonts w:ascii="Arial" w:cs="Arial" w:eastAsia="Arial" w:hAnsi="Arial"/>
          <w:sz w:val="18"/>
          <w:szCs w:val="18"/>
          <w:b w:val="1"/>
          <w:bCs w:val="1"/>
          <w:color w:val="auto"/>
        </w:rPr>
        <w:t>2.4</w:t>
      </w:r>
      <w:r>
        <w:rPr>
          <w:rFonts w:ascii="Arial" w:cs="Arial" w:eastAsia="Arial" w:hAnsi="Arial"/>
          <w:sz w:val="18"/>
          <w:szCs w:val="18"/>
          <w:color w:val="auto"/>
        </w:rPr>
        <w:t xml:space="preserve"> percent on a constant-currency basis</w:t>
      </w:r>
      <w:r>
        <w:rPr>
          <w:rFonts w:ascii="Arial" w:cs="Arial" w:eastAsia="Arial" w:hAnsi="Arial"/>
          <w:sz w:val="30"/>
          <w:szCs w:val="30"/>
          <w:color w:val="auto"/>
          <w:vertAlign w:val="superscript"/>
        </w:rPr>
        <w:t>1</w:t>
      </w:r>
      <w:r>
        <w:rPr>
          <w:rFonts w:ascii="Arial" w:cs="Arial" w:eastAsia="Arial" w:hAnsi="Arial"/>
          <w:sz w:val="18"/>
          <w:szCs w:val="18"/>
          <w:color w:val="auto"/>
        </w:rPr>
        <w:t>, as compared to the previous year. On a U.S. Generally Accepted Accounting Principles (GAAP) basis, third quarter 2016 loss per share was $</w:t>
      </w:r>
      <w:r>
        <w:rPr>
          <w:rFonts w:ascii="Arial" w:cs="Arial" w:eastAsia="Arial" w:hAnsi="Arial"/>
          <w:sz w:val="18"/>
          <w:szCs w:val="18"/>
          <w:b w:val="1"/>
          <w:bCs w:val="1"/>
          <w:color w:val="auto"/>
        </w:rPr>
        <w:t>0.03</w:t>
      </w:r>
      <w:r>
        <w:rPr>
          <w:rFonts w:ascii="Arial" w:cs="Arial" w:eastAsia="Arial" w:hAnsi="Arial"/>
          <w:sz w:val="18"/>
          <w:szCs w:val="18"/>
          <w:color w:val="auto"/>
        </w:rPr>
        <w:t>. Third quarter 2016 adjusted</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diluted earnings per share were $</w:t>
      </w:r>
      <w:r>
        <w:rPr>
          <w:rFonts w:ascii="Arial" w:cs="Arial" w:eastAsia="Arial" w:hAnsi="Arial"/>
          <w:sz w:val="18"/>
          <w:szCs w:val="18"/>
          <w:b w:val="1"/>
          <w:bCs w:val="1"/>
          <w:color w:val="auto"/>
        </w:rPr>
        <w:t>0.78</w:t>
      </w:r>
      <w:r>
        <w:rPr>
          <w:rFonts w:ascii="Arial" w:cs="Arial" w:eastAsia="Arial" w:hAnsi="Arial"/>
          <w:sz w:val="18"/>
          <w:szCs w:val="18"/>
          <w:color w:val="auto"/>
        </w:rPr>
        <w:t>.</w:t>
      </w:r>
    </w:p>
    <w:p>
      <w:pPr>
        <w:spacing w:after="0" w:line="165"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"While sales performance was below expectations for the quarter, earnings results were positive due to significant leverage in the income statement," said André-Michel Ballester, Chief Executive Officer. "Many of our new products continue to perform well, including - AspireSR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used for VNS Therapy, Perceval™ sutureless heart valves, INSPIRE™ oxygenators, KORA 250™ pacemakers and PLATINIUM™ defibrillators. However, we have experienced challenges in Cardiac Surgery, and as a result, we are increasing our focus on driving merger synergies, implementing restructuring activities, maintaining disciplined cost controls and reprioritizing internal research and development spending to focus our efforts on the highest growth drivers. Overall, I am extremely pleased in our ability to align operating expenses and deliver strong bottom line performance, while investing in short and long-term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869315</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right="640" w:hanging="72"/>
        <w:spacing w:after="0" w:line="180" w:lineRule="auto"/>
        <w:tabs>
          <w:tab w:leader="none" w:pos="127"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Constant currency growth measures the change in sales between the current and prior year periods using average exchange rates in effect during the applicable prior year period.</w:t>
      </w:r>
    </w:p>
    <w:p>
      <w:pPr>
        <w:ind w:left="80" w:right="360" w:hanging="72"/>
        <w:spacing w:after="0" w:line="180" w:lineRule="auto"/>
        <w:tabs>
          <w:tab w:leader="none" w:pos="127"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Adjusted measures are based on selected non-GAAP operating results and exclude certain specified items as described later in this press release and the attached schedules.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Third-Quarter 2016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selected financial results</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for the third quarter of 2016 compared to the same period in 2015: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0"/>
              </w:rPr>
              <w:t>Three Months Ended</w:t>
            </w:r>
          </w:p>
        </w:tc>
        <w:tc>
          <w:tcPr>
            <w:tcW w:w="920" w:type="dxa"/>
            <w:vAlign w:val="bottom"/>
          </w:tcPr>
          <w:p>
            <w:pPr>
              <w:spacing w:after="0"/>
              <w:rPr>
                <w:sz w:val="17"/>
                <w:szCs w:val="17"/>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September 30,</w:t>
            </w:r>
          </w:p>
        </w:tc>
        <w:tc>
          <w:tcPr>
            <w:tcW w:w="9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4"/>
                <w:szCs w:val="14"/>
                <w:color w:val="auto"/>
              </w:rPr>
            </w:pPr>
          </w:p>
        </w:tc>
        <w:tc>
          <w:tcPr>
            <w:tcW w:w="1780" w:type="dxa"/>
            <w:vAlign w:val="bottom"/>
            <w:tcBorders>
              <w:bottom w:val="single" w:sz="8" w:color="auto"/>
            </w:tcBorders>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center"/>
              <w:spacing w:after="0" w:line="170" w:lineRule="exact"/>
              <w:rPr>
                <w:sz w:val="20"/>
                <w:szCs w:val="20"/>
                <w:color w:val="auto"/>
              </w:rPr>
            </w:pPr>
            <w:r>
              <w:rPr>
                <w:rFonts w:ascii="Arial" w:cs="Arial" w:eastAsia="Arial" w:hAnsi="Arial"/>
                <w:sz w:val="18"/>
                <w:szCs w:val="18"/>
                <w:color w:val="auto"/>
                <w:w w:val="91"/>
              </w:rPr>
              <w:t>Currency %</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 millions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 Change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Cardiopulmonary</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114.8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113.0</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Heart Valves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33.7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34.2</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(1.5%)</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Cardiac Surgery</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148.5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147.2</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0.9%</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ind w:left="40"/>
              <w:spacing w:after="0" w:line="256" w:lineRule="exact"/>
              <w:rPr>
                <w:sz w:val="20"/>
                <w:szCs w:val="20"/>
                <w:color w:val="auto"/>
              </w:rPr>
            </w:pPr>
            <w:r>
              <w:rPr>
                <w:rFonts w:ascii="Arial" w:cs="Arial" w:eastAsia="Arial" w:hAnsi="Arial"/>
                <w:sz w:val="18"/>
                <w:szCs w:val="18"/>
                <w:color w:val="auto"/>
              </w:rPr>
              <w:t>CRM</w:t>
            </w:r>
            <w:r>
              <w:rPr>
                <w:rFonts w:ascii="Arial" w:cs="Arial" w:eastAsia="Arial" w:hAnsi="Arial"/>
                <w:sz w:val="29"/>
                <w:szCs w:val="29"/>
                <w:color w:val="auto"/>
                <w:vertAlign w:val="superscript"/>
              </w:rPr>
              <w:t>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56.8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53.9</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5.4%</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89.5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84.3</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6.2%</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0.5</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0.8</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295.3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286.1</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3.2%</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Numbers may not add due to rounding. Constant currency % change is considered a non-GAAP metric.</w:t>
      </w:r>
    </w:p>
    <w:p>
      <w:pPr>
        <w:spacing w:after="0" w:line="198"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For discussion purposes, all sales growth rates below reflect comparable, constant currency growth. The difference between constant currency growth and reported growth reflects the impact from currency fluctuations in the various currencies in which we operate.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2016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business franchises, sales were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Surgery</w:t>
      </w:r>
    </w:p>
    <w:p>
      <w:pPr>
        <w:spacing w:after="0" w:line="90" w:lineRule="exact"/>
        <w:rPr>
          <w:sz w:val="20"/>
          <w:szCs w:val="20"/>
          <w:color w:val="auto"/>
        </w:rPr>
      </w:pPr>
    </w:p>
    <w:p>
      <w:pPr>
        <w:jc w:val="both"/>
        <w:ind w:right="20"/>
        <w:spacing w:after="0" w:line="376" w:lineRule="auto"/>
        <w:rPr>
          <w:sz w:val="20"/>
          <w:szCs w:val="20"/>
          <w:color w:val="auto"/>
        </w:rPr>
      </w:pPr>
      <w:r>
        <w:rPr>
          <w:rFonts w:ascii="Arial" w:cs="Arial" w:eastAsia="Arial" w:hAnsi="Arial"/>
          <w:sz w:val="18"/>
          <w:szCs w:val="18"/>
          <w:color w:val="auto"/>
        </w:rPr>
        <w:t>Cardiac Surgery sales, which include cardiopulmonary products and heart valves, were $</w:t>
      </w:r>
      <w:r>
        <w:rPr>
          <w:rFonts w:ascii="Arial" w:cs="Arial" w:eastAsia="Arial" w:hAnsi="Arial"/>
          <w:sz w:val="18"/>
          <w:szCs w:val="18"/>
          <w:b w:val="1"/>
          <w:bCs w:val="1"/>
          <w:color w:val="auto"/>
        </w:rPr>
        <w:t>149</w:t>
      </w:r>
      <w:r>
        <w:rPr>
          <w:rFonts w:ascii="Arial" w:cs="Arial" w:eastAsia="Arial" w:hAnsi="Arial"/>
          <w:sz w:val="18"/>
          <w:szCs w:val="18"/>
          <w:color w:val="auto"/>
        </w:rPr>
        <w:t xml:space="preserve"> million, representing a </w:t>
      </w:r>
      <w:r>
        <w:rPr>
          <w:rFonts w:ascii="Arial" w:cs="Arial" w:eastAsia="Arial" w:hAnsi="Arial"/>
          <w:sz w:val="18"/>
          <w:szCs w:val="18"/>
          <w:b w:val="1"/>
          <w:bCs w:val="1"/>
          <w:color w:val="auto"/>
        </w:rPr>
        <w:t>0.4</w:t>
      </w:r>
      <w:r>
        <w:rPr>
          <w:rFonts w:ascii="Arial" w:cs="Arial" w:eastAsia="Arial" w:hAnsi="Arial"/>
          <w:sz w:val="18"/>
          <w:szCs w:val="18"/>
          <w:color w:val="auto"/>
        </w:rPr>
        <w:t xml:space="preserve"> percent decrease versus the comparable period in 2015. The increase in cardiopulmonary was more than offset by the decline in heart valves.</w:t>
      </w:r>
    </w:p>
    <w:p>
      <w:pPr>
        <w:spacing w:after="0" w:line="243"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Sales in cardiopulmonary products were $</w:t>
      </w:r>
      <w:r>
        <w:rPr>
          <w:rFonts w:ascii="Arial" w:cs="Arial" w:eastAsia="Arial" w:hAnsi="Arial"/>
          <w:sz w:val="18"/>
          <w:szCs w:val="18"/>
          <w:b w:val="1"/>
          <w:bCs w:val="1"/>
          <w:color w:val="auto"/>
        </w:rPr>
        <w:t>115</w:t>
      </w:r>
      <w:r>
        <w:rPr>
          <w:rFonts w:ascii="Arial" w:cs="Arial" w:eastAsia="Arial" w:hAnsi="Arial"/>
          <w:sz w:val="18"/>
          <w:szCs w:val="18"/>
          <w:color w:val="auto"/>
        </w:rPr>
        <w:t xml:space="preserve"> million, up slightly from the third quarter of 2015. A decline in the Company's 3T Heater-Cooler devices, as a result of import restrictions in the U.S. and the timing of heart-lung machine orders in Europe, were more than offset by several items including strong demand for oxygenators, particularly in emerging markets as well as Japan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40" w:hanging="129"/>
        <w:spacing w:after="0"/>
        <w:rPr>
          <w:sz w:val="20"/>
          <w:szCs w:val="20"/>
          <w:color w:val="auto"/>
        </w:rPr>
      </w:pPr>
      <w:r>
        <w:rPr>
          <w:rFonts w:ascii="Arial" w:cs="Arial" w:eastAsia="Arial" w:hAnsi="Arial"/>
          <w:sz w:val="22"/>
          <w:szCs w:val="22"/>
          <w:color w:val="auto"/>
          <w:vertAlign w:val="superscript"/>
        </w:rPr>
        <w:t>3</w:t>
      </w:r>
      <w:r>
        <w:rPr>
          <w:rFonts w:ascii="Arial" w:cs="Arial" w:eastAsia="Arial" w:hAnsi="Arial"/>
          <w:sz w:val="14"/>
          <w:szCs w:val="14"/>
          <w:color w:val="auto"/>
        </w:rPr>
        <w:t xml:space="preserve"> See the discussion of "Financial Alignment, Combined Sales &amp; Operating Results, Business Unit Structure and Constant Currency" below. The sales results presented are unaudited.</w:t>
      </w:r>
    </w:p>
    <w:p>
      <w:pPr>
        <w:spacing w:after="0" w:line="5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4</w:t>
      </w:r>
      <w:r>
        <w:rPr>
          <w:rFonts w:ascii="Arial" w:cs="Arial" w:eastAsia="Arial" w:hAnsi="Arial"/>
          <w:sz w:val="18"/>
          <w:szCs w:val="18"/>
          <w:color w:val="auto"/>
        </w:rPr>
        <w:t xml:space="preserve"> Cardiac Rhythm Management.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6" w:name="page7"/>
    <w:bookmarkEnd w:id="6"/>
    <w:p>
      <w:pPr>
        <w:jc w:val="both"/>
        <w:spacing w:after="0" w:line="360" w:lineRule="auto"/>
        <w:rPr>
          <w:sz w:val="20"/>
          <w:szCs w:val="20"/>
          <w:color w:val="auto"/>
        </w:rPr>
      </w:pPr>
      <w:r>
        <w:rPr>
          <w:rFonts w:ascii="Arial" w:cs="Arial" w:eastAsia="Arial" w:hAnsi="Arial"/>
          <w:sz w:val="18"/>
          <w:szCs w:val="18"/>
          <w:color w:val="auto"/>
        </w:rPr>
        <w:t>Heart valve sales, including tissue and mechanical heart valves, were $</w:t>
      </w:r>
      <w:r>
        <w:rPr>
          <w:rFonts w:ascii="Arial" w:cs="Arial" w:eastAsia="Arial" w:hAnsi="Arial"/>
          <w:sz w:val="18"/>
          <w:szCs w:val="18"/>
          <w:b w:val="1"/>
          <w:bCs w:val="1"/>
          <w:color w:val="auto"/>
        </w:rPr>
        <w:t>34</w:t>
      </w:r>
      <w:r>
        <w:rPr>
          <w:rFonts w:ascii="Arial" w:cs="Arial" w:eastAsia="Arial" w:hAnsi="Arial"/>
          <w:sz w:val="18"/>
          <w:szCs w:val="18"/>
          <w:color w:val="auto"/>
        </w:rPr>
        <w:t xml:space="preserve"> million, a decrease of </w:t>
      </w:r>
      <w:r>
        <w:rPr>
          <w:rFonts w:ascii="Arial" w:cs="Arial" w:eastAsia="Arial" w:hAnsi="Arial"/>
          <w:sz w:val="18"/>
          <w:szCs w:val="18"/>
          <w:b w:val="1"/>
          <w:bCs w:val="1"/>
          <w:color w:val="auto"/>
        </w:rPr>
        <w:t>2.4</w:t>
      </w:r>
      <w:r>
        <w:rPr>
          <w:rFonts w:ascii="Arial" w:cs="Arial" w:eastAsia="Arial" w:hAnsi="Arial"/>
          <w:sz w:val="18"/>
          <w:szCs w:val="18"/>
          <w:color w:val="auto"/>
        </w:rPr>
        <w:t xml:space="preserve"> percent compared to the same period the previous year. Strength in Perceval in both the U.S. and Europe was more than offset by weakness in mechanical valves, primarily in China, and traditional tissue valves globally.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Rhythm Management (CRM)</w:t>
      </w:r>
    </w:p>
    <w:p>
      <w:pPr>
        <w:spacing w:after="0" w:line="90" w:lineRule="exact"/>
        <w:rPr>
          <w:sz w:val="20"/>
          <w:szCs w:val="20"/>
          <w:color w:val="auto"/>
        </w:rPr>
      </w:pPr>
    </w:p>
    <w:p>
      <w:pPr>
        <w:jc w:val="both"/>
        <w:spacing w:after="0" w:line="412" w:lineRule="auto"/>
        <w:rPr>
          <w:sz w:val="20"/>
          <w:szCs w:val="20"/>
          <w:color w:val="auto"/>
        </w:rPr>
      </w:pPr>
      <w:r>
        <w:rPr>
          <w:rFonts w:ascii="Arial" w:cs="Arial" w:eastAsia="Arial" w:hAnsi="Arial"/>
          <w:sz w:val="17"/>
          <w:szCs w:val="17"/>
          <w:color w:val="auto"/>
        </w:rPr>
        <w:t>CRM sales for the period totaled $</w:t>
      </w:r>
      <w:r>
        <w:rPr>
          <w:rFonts w:ascii="Arial" w:cs="Arial" w:eastAsia="Arial" w:hAnsi="Arial"/>
          <w:sz w:val="17"/>
          <w:szCs w:val="17"/>
          <w:b w:val="1"/>
          <w:bCs w:val="1"/>
          <w:color w:val="auto"/>
        </w:rPr>
        <w:t>57</w:t>
      </w:r>
      <w:r>
        <w:rPr>
          <w:rFonts w:ascii="Arial" w:cs="Arial" w:eastAsia="Arial" w:hAnsi="Arial"/>
          <w:sz w:val="17"/>
          <w:szCs w:val="17"/>
          <w:color w:val="auto"/>
        </w:rPr>
        <w:t xml:space="preserve"> million, an increase of </w:t>
      </w:r>
      <w:r>
        <w:rPr>
          <w:rFonts w:ascii="Arial" w:cs="Arial" w:eastAsia="Arial" w:hAnsi="Arial"/>
          <w:sz w:val="17"/>
          <w:szCs w:val="17"/>
          <w:b w:val="1"/>
          <w:bCs w:val="1"/>
          <w:color w:val="auto"/>
        </w:rPr>
        <w:t>3.6</w:t>
      </w:r>
      <w:r>
        <w:rPr>
          <w:rFonts w:ascii="Arial" w:cs="Arial" w:eastAsia="Arial" w:hAnsi="Arial"/>
          <w:sz w:val="17"/>
          <w:szCs w:val="17"/>
          <w:color w:val="auto"/>
        </w:rPr>
        <w:t xml:space="preserve"> percent as compared to the third quarter of 2015. The increase was primarily due to positive performance of the Company's newest high-voltage device PLATINIUM and favorable year-over-year results with its KORA 250 pacemaker.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Neuromodulation</w:t>
      </w:r>
    </w:p>
    <w:p>
      <w:pPr>
        <w:spacing w:after="0" w:line="90" w:lineRule="exact"/>
        <w:rPr>
          <w:sz w:val="20"/>
          <w:szCs w:val="20"/>
          <w:color w:val="auto"/>
        </w:rPr>
      </w:pPr>
    </w:p>
    <w:p>
      <w:pPr>
        <w:jc w:val="both"/>
        <w:spacing w:after="0" w:line="376" w:lineRule="auto"/>
        <w:rPr>
          <w:sz w:val="20"/>
          <w:szCs w:val="20"/>
          <w:color w:val="auto"/>
        </w:rPr>
      </w:pPr>
      <w:r>
        <w:rPr>
          <w:rFonts w:ascii="Arial" w:cs="Arial" w:eastAsia="Arial" w:hAnsi="Arial"/>
          <w:sz w:val="18"/>
          <w:szCs w:val="18"/>
          <w:color w:val="auto"/>
        </w:rPr>
        <w:t>Neuromodulation sales were $</w:t>
      </w:r>
      <w:r>
        <w:rPr>
          <w:rFonts w:ascii="Arial" w:cs="Arial" w:eastAsia="Arial" w:hAnsi="Arial"/>
          <w:sz w:val="18"/>
          <w:szCs w:val="18"/>
          <w:b w:val="1"/>
          <w:bCs w:val="1"/>
          <w:color w:val="auto"/>
        </w:rPr>
        <w:t>90</w:t>
      </w:r>
      <w:r>
        <w:rPr>
          <w:rFonts w:ascii="Arial" w:cs="Arial" w:eastAsia="Arial" w:hAnsi="Arial"/>
          <w:sz w:val="18"/>
          <w:szCs w:val="18"/>
          <w:color w:val="auto"/>
        </w:rPr>
        <w:t xml:space="preserve"> million in the third quarter, an increase of </w:t>
      </w:r>
      <w:r>
        <w:rPr>
          <w:rFonts w:ascii="Arial" w:cs="Arial" w:eastAsia="Arial" w:hAnsi="Arial"/>
          <w:sz w:val="18"/>
          <w:szCs w:val="18"/>
          <w:b w:val="1"/>
          <w:bCs w:val="1"/>
          <w:color w:val="auto"/>
        </w:rPr>
        <w:t>6.8</w:t>
      </w:r>
      <w:r>
        <w:rPr>
          <w:rFonts w:ascii="Arial" w:cs="Arial" w:eastAsia="Arial" w:hAnsi="Arial"/>
          <w:sz w:val="18"/>
          <w:szCs w:val="18"/>
          <w:color w:val="auto"/>
        </w:rPr>
        <w:t xml:space="preserve"> percent over the prior year period, driven primarily by continued adoption of the Company's newest VNS Therapy device AspireSR and strong new patient growth in the U.S.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Performance</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On a U.S. GAAP basis, third quarter 2016 income from operations was $</w:t>
      </w:r>
      <w:r>
        <w:rPr>
          <w:rFonts w:ascii="Arial" w:cs="Arial" w:eastAsia="Arial" w:hAnsi="Arial"/>
          <w:sz w:val="18"/>
          <w:szCs w:val="18"/>
          <w:b w:val="1"/>
          <w:bCs w:val="1"/>
          <w:color w:val="auto"/>
        </w:rPr>
        <w:t>23</w:t>
      </w:r>
      <w:r>
        <w:rPr>
          <w:rFonts w:ascii="Arial" w:cs="Arial" w:eastAsia="Arial" w:hAnsi="Arial"/>
          <w:sz w:val="18"/>
          <w:szCs w:val="18"/>
          <w:color w:val="auto"/>
        </w:rPr>
        <w:t xml:space="preserve"> million compared to </w:t>
      </w:r>
      <w:r>
        <w:rPr>
          <w:rFonts w:ascii="Arial" w:cs="Arial" w:eastAsia="Arial" w:hAnsi="Arial"/>
          <w:sz w:val="18"/>
          <w:szCs w:val="18"/>
          <w:b w:val="1"/>
          <w:bCs w:val="1"/>
          <w:color w:val="auto"/>
        </w:rPr>
        <w:t>$22</w:t>
      </w:r>
      <w:r>
        <w:rPr>
          <w:rFonts w:ascii="Arial" w:cs="Arial" w:eastAsia="Arial" w:hAnsi="Arial"/>
          <w:sz w:val="18"/>
          <w:szCs w:val="18"/>
          <w:color w:val="auto"/>
        </w:rPr>
        <w:t xml:space="preserve"> million in the second quarter of 2016. Adjusted income from operations</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for the third quarter of 2016 was $</w:t>
      </w:r>
      <w:r>
        <w:rPr>
          <w:rFonts w:ascii="Arial" w:cs="Arial" w:eastAsia="Arial" w:hAnsi="Arial"/>
          <w:sz w:val="18"/>
          <w:szCs w:val="18"/>
          <w:b w:val="1"/>
          <w:bCs w:val="1"/>
          <w:color w:val="auto"/>
        </w:rPr>
        <w:t>55</w:t>
      </w:r>
      <w:r>
        <w:rPr>
          <w:rFonts w:ascii="Arial" w:cs="Arial" w:eastAsia="Arial" w:hAnsi="Arial"/>
          <w:sz w:val="18"/>
          <w:szCs w:val="18"/>
          <w:color w:val="auto"/>
        </w:rPr>
        <w:t xml:space="preserve"> million, an increase of </w:t>
      </w:r>
      <w:r>
        <w:rPr>
          <w:rFonts w:ascii="Arial" w:cs="Arial" w:eastAsia="Arial" w:hAnsi="Arial"/>
          <w:sz w:val="18"/>
          <w:szCs w:val="18"/>
          <w:b w:val="1"/>
          <w:bCs w:val="1"/>
          <w:color w:val="auto"/>
        </w:rPr>
        <w:t>38</w:t>
      </w:r>
      <w:r>
        <w:rPr>
          <w:rFonts w:ascii="Arial" w:cs="Arial" w:eastAsia="Arial" w:hAnsi="Arial"/>
          <w:sz w:val="18"/>
          <w:szCs w:val="18"/>
          <w:color w:val="auto"/>
        </w:rPr>
        <w:t xml:space="preserve"> percent as compared to the third quarter of 2015. This is primarily attributed to a positive mix of sales during the quarter which improved gross margin, sound cost control, delivery of planned synergies and the impact of previously announced restructuring efforts.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Projections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modifying its sales guidance and narrowing the range for earnings per share guidance for full year 2016.</w:t>
      </w:r>
    </w:p>
    <w:p>
      <w:pPr>
        <w:spacing w:after="0" w:line="289" w:lineRule="exact"/>
        <w:rPr>
          <w:sz w:val="20"/>
          <w:szCs w:val="20"/>
          <w:color w:val="auto"/>
        </w:rPr>
      </w:pPr>
    </w:p>
    <w:p>
      <w:pPr>
        <w:jc w:val="both"/>
        <w:spacing w:after="0" w:line="376" w:lineRule="auto"/>
        <w:rPr>
          <w:sz w:val="20"/>
          <w:szCs w:val="20"/>
          <w:color w:val="auto"/>
        </w:rPr>
      </w:pPr>
      <w:r>
        <w:rPr>
          <w:rFonts w:ascii="Arial" w:cs="Arial" w:eastAsia="Arial" w:hAnsi="Arial"/>
          <w:sz w:val="18"/>
          <w:szCs w:val="18"/>
          <w:color w:val="auto"/>
        </w:rPr>
        <w:t xml:space="preserve">The Company now expects revenue growth on a constant-currency basis to be in the </w:t>
      </w:r>
      <w:r>
        <w:rPr>
          <w:rFonts w:ascii="Arial" w:cs="Arial" w:eastAsia="Arial" w:hAnsi="Arial"/>
          <w:sz w:val="18"/>
          <w:szCs w:val="18"/>
          <w:b w:val="1"/>
          <w:bCs w:val="1"/>
          <w:color w:val="auto"/>
        </w:rPr>
        <w:t>1 to 2</w:t>
      </w:r>
      <w:r>
        <w:rPr>
          <w:rFonts w:ascii="Arial" w:cs="Arial" w:eastAsia="Arial" w:hAnsi="Arial"/>
          <w:sz w:val="18"/>
          <w:szCs w:val="18"/>
          <w:color w:val="auto"/>
        </w:rPr>
        <w:t xml:space="preserve"> percent range, and is narrowing the projected range for adjusted diluted earnings per share (EPS) to $</w:t>
      </w:r>
      <w:r>
        <w:rPr>
          <w:rFonts w:ascii="Arial" w:cs="Arial" w:eastAsia="Arial" w:hAnsi="Arial"/>
          <w:sz w:val="18"/>
          <w:szCs w:val="18"/>
          <w:b w:val="1"/>
          <w:bCs w:val="1"/>
          <w:color w:val="auto"/>
        </w:rPr>
        <w:t>2.95 to $3.05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646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0" w:right="520" w:hanging="132"/>
        <w:spacing w:after="0" w:line="215" w:lineRule="auto"/>
        <w:tabs>
          <w:tab w:leader="none" w:pos="13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Adjusted measures exclude certain specified items as described later in this press release and the attached schedules. Adjusted measures are based on selected non-GAAP operating results highlights in the 2015 Annual and Fourth Quarter Financial Results published on February 24,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Webcast and Conference Call Instructions</w:t>
      </w:r>
    </w:p>
    <w:p>
      <w:pPr>
        <w:spacing w:after="0" w:line="94" w:lineRule="exact"/>
        <w:rPr>
          <w:sz w:val="20"/>
          <w:szCs w:val="20"/>
          <w:color w:val="auto"/>
        </w:rPr>
      </w:pPr>
    </w:p>
    <w:p>
      <w:pPr>
        <w:jc w:val="both"/>
        <w:ind w:right="20"/>
        <w:spacing w:after="0" w:line="353" w:lineRule="auto"/>
        <w:rPr>
          <w:sz w:val="20"/>
          <w:szCs w:val="20"/>
          <w:color w:val="auto"/>
        </w:rPr>
      </w:pPr>
      <w:r>
        <w:rPr>
          <w:rFonts w:ascii="Arial" w:cs="Arial" w:eastAsia="Arial" w:hAnsi="Arial"/>
          <w:sz w:val="18"/>
          <w:szCs w:val="18"/>
          <w:color w:val="auto"/>
        </w:rPr>
        <w:t>The conference call will be available to interested parties through a live audio webcast commencing at 8:00 a.m. Central time (9:00 a.m. Eastern time, 1:00 p.m. UK time) and accessible through the Investor Relations section of the LivaNova corporate website at www.livanova.com. To listen to the conference call live by telephone, dial (844) 239-5285 (if dialing from within the U.S.) or (512) 961-6524 (if dialing from outside the U.S.). The conference ID is 87431578.</w:t>
      </w:r>
    </w:p>
    <w:p>
      <w:pPr>
        <w:spacing w:after="0" w:line="268"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Within 24 hours of the webcast, a replay will be available under the "Events &amp; Presentations" section of the Investor Relations portion of the LivaNova website, where it will be archived and accessible for approximately 12 months.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FF5C39"/>
        </w:rPr>
        <w:t>About LivaNova</w:t>
      </w:r>
    </w:p>
    <w:p>
      <w:pPr>
        <w:spacing w:after="0" w:line="90"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LivaNova PLC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4,600 employees worldwide and is headquartered in London, U.K.</w:t>
      </w:r>
    </w:p>
    <w:p>
      <w:pPr>
        <w:spacing w:after="0" w:line="173"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LivaNova is listed on NASDAQ and is admitted to the standard listing segment of the Official List of the UK's Financial Conduct Authority and to trading on the London Stock Exchange (LSE) under the ticker symbol "LIVN".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FF5C39"/>
        </w:rPr>
        <w:t>Financial Alignment, Combined Sales &amp; Operating Results, Business Franchise Structure and Constant Currency</w:t>
      </w:r>
    </w:p>
    <w:p>
      <w:pPr>
        <w:spacing w:after="0" w:line="90" w:lineRule="exact"/>
        <w:rPr>
          <w:sz w:val="20"/>
          <w:szCs w:val="20"/>
          <w:color w:val="auto"/>
        </w:rPr>
      </w:pPr>
    </w:p>
    <w:p>
      <w:pPr>
        <w:jc w:val="both"/>
        <w:spacing w:after="0" w:line="358" w:lineRule="auto"/>
        <w:rPr>
          <w:sz w:val="20"/>
          <w:szCs w:val="20"/>
          <w:color w:val="auto"/>
        </w:rPr>
      </w:pPr>
      <w:r>
        <w:rPr>
          <w:rFonts w:ascii="Arial" w:cs="Arial" w:eastAsia="Arial" w:hAnsi="Arial"/>
          <w:sz w:val="18"/>
          <w:szCs w:val="18"/>
          <w:color w:val="auto"/>
        </w:rPr>
        <w:t>Cyberonics, the predecessor company to LivaNova, previously reported on a 52/53 week fiscal year calendar ending in April. With the formal change in the fiscal calendar to a fiscal year ended December 31, the historical Neuromodulation business franchise sales have been aligned to correspond as closely as possible to calendar quarters.</w:t>
      </w:r>
    </w:p>
    <w:p>
      <w:pPr>
        <w:spacing w:after="0" w:line="168"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Although LivaNova was a shell company with no business operations until the closing date of the merger on October 19, 2015, the sales results disclosed for periods up to and beyond that date are being provided on a combined basis, a non-GAAP formulation that combines the results of legacy Sorin and Cyberonics for the periods completed prior to the merger and periods that include results both before and after the closing of the merger. The Company believes that presenting the results of Sorin and Cyberonics in such a manner offers a meaningful representation to investors of the combined company's sales for these periods.</w:t>
      </w:r>
    </w:p>
    <w:p>
      <w:pPr>
        <w:spacing w:after="0" w:line="269"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Non-GAAP operating results, unaudited, have been included for 2015. These results have been prepared by management and adjusted for non-GAAP items as if the merger had occurred on January 1, 2015 but should not be considered as an alternative to Proforma Income Statements to be provided in accordance with SEC filings. Certain adjustments to legacy Sorin operating results have occurred in order to present the results in U.S. dollars and to align these results as closely as possible to the presentation of LivaNova financial results. Company management uses these measurements as aids in monitoring the Company's ongoing financial performance from quarter to quarter and year to year on a regular basis and for benchmarking against other medical technology companies. Management believes that the presentation of these results provides a meaningful representation of the combined company's operating results for the periods presented.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 w:name="page9"/>
    <w:bookmarkEnd w:id="8"/>
    <w:p>
      <w:pPr>
        <w:jc w:val="both"/>
        <w:ind w:right="20"/>
        <w:spacing w:after="0" w:line="371" w:lineRule="auto"/>
        <w:rPr>
          <w:sz w:val="20"/>
          <w:szCs w:val="20"/>
          <w:color w:val="auto"/>
        </w:rPr>
      </w:pPr>
      <w:r>
        <w:rPr>
          <w:rFonts w:ascii="Arial" w:cs="Arial" w:eastAsia="Arial" w:hAnsi="Arial"/>
          <w:sz w:val="18"/>
          <w:szCs w:val="18"/>
          <w:color w:val="auto"/>
        </w:rPr>
        <w:t>The sales and operating results for legacy Cyberonics for the quarters ended March 31, June 30 and September 30 were aligned to provide comparative information. The actual periods ended on March 27, June 26 and September 25 respectively.</w:t>
      </w:r>
    </w:p>
    <w:p>
      <w:pPr>
        <w:spacing w:after="0" w:line="157" w:lineRule="exact"/>
        <w:rPr>
          <w:sz w:val="20"/>
          <w:szCs w:val="20"/>
          <w:color w:val="auto"/>
        </w:rPr>
      </w:pPr>
    </w:p>
    <w:p>
      <w:pPr>
        <w:jc w:val="both"/>
        <w:spacing w:after="0" w:line="358" w:lineRule="auto"/>
        <w:rPr>
          <w:sz w:val="20"/>
          <w:szCs w:val="20"/>
          <w:color w:val="auto"/>
        </w:rPr>
      </w:pPr>
      <w:r>
        <w:rPr>
          <w:rFonts w:ascii="Arial" w:cs="Arial" w:eastAsia="Arial" w:hAnsi="Arial"/>
          <w:sz w:val="18"/>
          <w:szCs w:val="18"/>
          <w:color w:val="auto"/>
        </w:rPr>
        <w:t>LivaNova (as the successor to Sorin and Cyberonics on a combined basis) operates under a Business Franchise structure with Cardiac Surgery, CRM and Neuromodulation accounting for substantially all of the sales during the periods referred to herein. The combined company also operates a New Ventures group, dedicated to developing new technologies.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FF5C39"/>
        </w:rPr>
        <w:t>Use of Non-GAAP Financial Measures</w:t>
      </w:r>
    </w:p>
    <w:p>
      <w:pPr>
        <w:spacing w:after="0" w:line="90"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In this press release, management has disclosed financial measurements that present financial information not necessarily in accordance with Generally Accepted Accounting Principles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similarly-titled measures used by other companies. These non-GAAP financial measures should be considered along with, but not as alternatives to, the operating performance measure as prescribed by GAAP.</w:t>
      </w:r>
    </w:p>
    <w:p>
      <w:pPr>
        <w:spacing w:after="0" w:line="193"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FF5C39"/>
        </w:rPr>
        <w:t>Safe harbor statement</w:t>
      </w:r>
    </w:p>
    <w:p>
      <w:pPr>
        <w:spacing w:after="0" w:line="90" w:lineRule="exact"/>
        <w:rPr>
          <w:sz w:val="20"/>
          <w:szCs w:val="20"/>
          <w:color w:val="auto"/>
        </w:rPr>
      </w:pPr>
    </w:p>
    <w:p>
      <w:pPr>
        <w:jc w:val="both"/>
        <w:spacing w:after="0" w:line="389" w:lineRule="auto"/>
        <w:rPr>
          <w:sz w:val="20"/>
          <w:szCs w:val="20"/>
          <w:color w:val="auto"/>
        </w:rPr>
      </w:pPr>
      <w:r>
        <w:rPr>
          <w:rFonts w:ascii="Arial" w:cs="Arial" w:eastAsia="Arial" w:hAnsi="Arial"/>
          <w:sz w:val="16"/>
          <w:szCs w:val="16"/>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developing novel opportunities in neuromodulation, heart failure, sleep apnea and percutaneous mitral valve, creating new innovative solutions that benefit patients, healthcare professionals, and healthcare systems, and building significant shareholder value. Important factors that may cause actual results to differ include, but are not limited to: (i) risks that the legacy businesses of Cyberonics, Inc. and Sorin S.p.A. (together, the "combined companies") will not be integrated successfully or that the combined companies will not realize estimated cost savings, value of certain tax assets, synergies and growth, or that such benefits may take longer to realize than expected; (ii) the inability of LivaNova to meet expectations regarding the timing, completion and accounting of tax treatments; (iii) risks relating to unanticipated costs of integration, including operating costs, customer loss or business disruption being greater than expected; (iv) organizational and governance structure; (v) reductions in customer spending, a slowdown in customer payments and changes in customer demand for products and services; (vi) unanticipated changes relating to competitive factors in the industries in which LivaNova operates; (vii) the ability to hire and retain key personnel; (viii) the ability to attract new customers and retain existing customers in the manner anticipated; (ix) the reliance on and integration of information technology systems; (x) changes in legislation or governmental regulations affecting LivaNova; (xi) international, national or local economic, social or political conditions that could adversely affect LivaNova, its partners or its customers; (xii) conditions in the credit markets; (xiii) business and other financial risks inherent to the industries in which LivaNova operates; (xiv) risks associated with assumptions made in connection with critical accounting estimates and legal proceedings; (xv) LivaNova's international operations, which are subject to the risks of currency fluctuations and foreign exchange controls; (xvi)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ectPr>
          <w:pgSz w:w="11900" w:h="16838" w:orient="portrait"/>
          <w:cols w:equalWidth="0" w:num="1">
            <w:col w:w="11420"/>
          </w:cols>
          <w:pgMar w:left="240" w:top="166" w:right="239" w:bottom="106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6" w:right="239" w:bottom="1060" w:gutter="0" w:footer="0" w:header="0"/>
          <w:type w:val="continuous"/>
        </w:sectPr>
      </w:pPr>
    </w:p>
    <w:bookmarkStart w:id="9" w:name="page10"/>
    <w:bookmarkEnd w:id="9"/>
    <w:p>
      <w:pPr>
        <w:jc w:val="both"/>
        <w:spacing w:after="0" w:line="375" w:lineRule="auto"/>
        <w:rPr>
          <w:sz w:val="20"/>
          <w:szCs w:val="20"/>
          <w:color w:val="auto"/>
        </w:rPr>
      </w:pPr>
      <w:r>
        <w:rPr>
          <w:rFonts w:ascii="Arial" w:cs="Arial" w:eastAsia="Arial" w:hAnsi="Arial"/>
          <w:sz w:val="17"/>
          <w:szCs w:val="17"/>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visit www.livanova.com</w:t>
      </w:r>
      <w:r>
        <w:rPr>
          <w:rFonts w:ascii="Arial" w:cs="Arial" w:eastAsia="Arial" w:hAnsi="Arial"/>
          <w:sz w:val="18"/>
          <w:szCs w:val="18"/>
          <w:color w:val="auto"/>
        </w:rPr>
        <w:t>,</w:t>
      </w:r>
      <w:r>
        <w:rPr>
          <w:rFonts w:ascii="Arial" w:cs="Arial" w:eastAsia="Arial" w:hAnsi="Arial"/>
          <w:sz w:val="18"/>
          <w:szCs w:val="18"/>
          <w:b w:val="1"/>
          <w:bCs w:val="1"/>
          <w:color w:val="auto"/>
        </w:rPr>
        <w:t xml:space="preserve"> or contact: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w:t>
      </w:r>
    </w:p>
    <w:p>
      <w:pPr>
        <w:spacing w:after="0" w:line="234" w:lineRule="auto"/>
        <w:rPr>
          <w:sz w:val="20"/>
          <w:szCs w:val="20"/>
          <w:color w:val="auto"/>
        </w:rPr>
      </w:pPr>
      <w:r>
        <w:rPr>
          <w:rFonts w:ascii="Arial" w:cs="Arial" w:eastAsia="Arial" w:hAnsi="Arial"/>
          <w:sz w:val="18"/>
          <w:szCs w:val="18"/>
          <w:b w:val="1"/>
          <w:bCs w:val="1"/>
          <w:color w:val="auto"/>
        </w:rPr>
        <w:t>Karen King</w:t>
      </w:r>
    </w:p>
    <w:p>
      <w:pPr>
        <w:spacing w:after="0" w:line="235" w:lineRule="auto"/>
        <w:rPr>
          <w:sz w:val="20"/>
          <w:szCs w:val="20"/>
          <w:color w:val="auto"/>
        </w:rPr>
      </w:pPr>
      <w:r>
        <w:rPr>
          <w:rFonts w:ascii="Arial" w:cs="Arial" w:eastAsia="Arial" w:hAnsi="Arial"/>
          <w:sz w:val="18"/>
          <w:szCs w:val="18"/>
          <w:color w:val="auto"/>
        </w:rPr>
        <w:t>Vice President, Investor Relations &amp; Corporate Communications</w:t>
      </w:r>
    </w:p>
    <w:p>
      <w:pPr>
        <w:spacing w:after="0" w:line="235" w:lineRule="auto"/>
        <w:rPr>
          <w:sz w:val="20"/>
          <w:szCs w:val="20"/>
          <w:color w:val="auto"/>
        </w:rPr>
      </w:pPr>
      <w:r>
        <w:rPr>
          <w:rFonts w:ascii="Arial" w:cs="Arial" w:eastAsia="Arial" w:hAnsi="Arial"/>
          <w:sz w:val="18"/>
          <w:szCs w:val="18"/>
          <w:color w:val="auto"/>
        </w:rPr>
        <w:t>Phone: +1 (281) 228-7262</w:t>
      </w:r>
    </w:p>
    <w:p>
      <w:pPr>
        <w:spacing w:after="0" w:line="235" w:lineRule="auto"/>
        <w:rPr>
          <w:sz w:val="20"/>
          <w:szCs w:val="20"/>
          <w:color w:val="auto"/>
        </w:rPr>
      </w:pPr>
      <w:r>
        <w:rPr>
          <w:rFonts w:ascii="Arial" w:cs="Arial" w:eastAsia="Arial" w:hAnsi="Arial"/>
          <w:sz w:val="18"/>
          <w:szCs w:val="18"/>
          <w:color w:val="auto"/>
        </w:rPr>
        <w:t>Fax: +1 (281) 218-9332</w:t>
      </w:r>
    </w:p>
    <w:p>
      <w:pPr>
        <w:spacing w:after="0"/>
        <w:rPr>
          <w:sz w:val="20"/>
          <w:szCs w:val="20"/>
          <w:color w:val="auto"/>
        </w:rPr>
      </w:pPr>
      <w:r>
        <w:rPr>
          <w:rFonts w:ascii="Arial" w:cs="Arial" w:eastAsia="Arial" w:hAnsi="Arial"/>
          <w:sz w:val="18"/>
          <w:szCs w:val="18"/>
          <w:color w:val="auto"/>
        </w:rPr>
        <w:t>e-mail: corporate.communications@livanova.com</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LIVANOVA PLC</w:t>
      </w:r>
    </w:p>
    <w:p>
      <w:pPr>
        <w:spacing w:after="0" w:line="187" w:lineRule="auto"/>
        <w:rPr>
          <w:sz w:val="20"/>
          <w:szCs w:val="20"/>
          <w:color w:val="auto"/>
        </w:rPr>
      </w:pPr>
      <w:r>
        <w:rPr>
          <w:rFonts w:ascii="Arial" w:cs="Arial" w:eastAsia="Arial" w:hAnsi="Arial"/>
          <w:sz w:val="18"/>
          <w:szCs w:val="18"/>
          <w:b w:val="1"/>
          <w:bCs w:val="1"/>
          <w:color w:val="auto"/>
        </w:rPr>
        <w:t>QUARTERLY SALES TREND BY BUSINESS UNIT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Millions, CONSTANT CURRENCY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1Q15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2Q15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3Q15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4Q15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FY15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rPr>
              <w:t>1Q16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2Q16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3Q16</w:t>
            </w:r>
          </w:p>
        </w:tc>
        <w:tc>
          <w:tcPr>
            <w:tcW w:w="220" w:type="dxa"/>
            <w:vAlign w:val="bottom"/>
          </w:tcPr>
          <w:p>
            <w:pPr>
              <w:spacing w:after="0"/>
              <w:rPr>
                <w:sz w:val="17"/>
                <w:szCs w:val="17"/>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3Q16 vs.</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3Q15</w:t>
            </w:r>
          </w:p>
        </w:tc>
        <w:tc>
          <w:tcPr>
            <w:tcW w:w="0" w:type="dxa"/>
            <w:vAlign w:val="bottom"/>
          </w:tcPr>
          <w:p>
            <w:pPr>
              <w:spacing w:after="0"/>
              <w:rPr>
                <w:sz w:val="1"/>
                <w:szCs w:val="1"/>
                <w:color w:val="auto"/>
              </w:rPr>
            </w:pPr>
          </w:p>
        </w:tc>
      </w:tr>
      <w:tr>
        <w:trPr>
          <w:trHeight w:val="270"/>
        </w:trPr>
        <w:tc>
          <w:tcPr>
            <w:tcW w:w="196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gridSpan w:val="2"/>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gridSpan w:val="2"/>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gridSpan w:val="2"/>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gridSpan w:val="2"/>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Cardio Pulmonary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113.3</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7"/>
        </w:trPr>
        <w:tc>
          <w:tcPr>
            <w:tcW w:w="1960" w:type="dxa"/>
            <w:vAlign w:val="bottom"/>
          </w:tcPr>
          <w:p>
            <w:pPr>
              <w:ind w:left="300"/>
              <w:spacing w:after="0"/>
              <w:rPr>
                <w:sz w:val="20"/>
                <w:szCs w:val="20"/>
                <w:color w:val="auto"/>
              </w:rPr>
            </w:pPr>
            <w:r>
              <w:rPr>
                <w:rFonts w:ascii="Arial" w:cs="Arial" w:eastAsia="Arial" w:hAnsi="Arial"/>
                <w:sz w:val="18"/>
                <w:szCs w:val="18"/>
                <w:color w:val="auto"/>
              </w:rPr>
              <w:t>Heart Valves</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ind w:left="40"/>
              <w:spacing w:after="0"/>
              <w:rPr>
                <w:sz w:val="20"/>
                <w:szCs w:val="20"/>
                <w:color w:val="auto"/>
              </w:rPr>
            </w:pPr>
            <w:r>
              <w:rPr>
                <w:rFonts w:ascii="Arial" w:cs="Arial" w:eastAsia="Arial" w:hAnsi="Arial"/>
                <w:sz w:val="18"/>
                <w:szCs w:val="18"/>
                <w:color w:val="auto"/>
              </w:rPr>
              <w:t>Cardiac Surgery Total</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142.2</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147.2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146.8</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160.7</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146.6</w:t>
            </w:r>
          </w:p>
        </w:tc>
        <w:tc>
          <w:tcPr>
            <w:tcW w:w="22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CRM</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19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84.3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90.0</w:t>
            </w:r>
          </w:p>
        </w:tc>
        <w:tc>
          <w:tcPr>
            <w:tcW w:w="220" w:type="dxa"/>
            <w:vAlign w:val="bottom"/>
          </w:tcPr>
          <w:p>
            <w:pPr>
              <w:spacing w:after="0"/>
              <w:rPr>
                <w:sz w:val="23"/>
                <w:szCs w:val="23"/>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9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20" w:type="dxa"/>
            <w:vAlign w:val="bottom"/>
            <w:gridSpan w:val="2"/>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283.4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317.1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286.1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318.0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1,204.6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292.9</w:t>
            </w:r>
          </w:p>
        </w:tc>
        <w:tc>
          <w:tcPr>
            <w:tcW w:w="220" w:type="dxa"/>
            <w:vAlign w:val="bottom"/>
          </w:tcPr>
          <w:p>
            <w:pPr>
              <w:spacing w:after="0"/>
              <w:rPr>
                <w:sz w:val="23"/>
                <w:szCs w:val="23"/>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3"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SALES TREND BY BUSINESS UNIT</w:t>
      </w:r>
    </w:p>
    <w:p>
      <w:pPr>
        <w:spacing w:after="0"/>
        <w:rPr>
          <w:sz w:val="20"/>
          <w:szCs w:val="20"/>
          <w:color w:val="auto"/>
        </w:rPr>
      </w:pPr>
      <w:r>
        <w:rPr>
          <w:rFonts w:ascii="Arial" w:cs="Arial" w:eastAsia="Arial" w:hAnsi="Arial"/>
          <w:sz w:val="18"/>
          <w:szCs w:val="18"/>
          <w:b w:val="1"/>
          <w:bCs w:val="1"/>
          <w:color w:val="auto"/>
        </w:rPr>
        <w:t>U.S. dollar in Millions, REPORTED</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1Q15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2Q15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3Q15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4Q15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FY15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1Q16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2Q16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3Q16</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2"/>
        </w:trPr>
        <w:tc>
          <w:tcPr>
            <w:tcW w:w="2000" w:type="dxa"/>
            <w:vAlign w:val="bottom"/>
          </w:tcPr>
          <w:p>
            <w:pPr>
              <w:ind w:left="260"/>
              <w:spacing w:after="0"/>
              <w:rPr>
                <w:sz w:val="20"/>
                <w:szCs w:val="20"/>
                <w:color w:val="auto"/>
              </w:rPr>
            </w:pPr>
            <w:r>
              <w:rPr>
                <w:rFonts w:ascii="Arial" w:cs="Arial" w:eastAsia="Arial" w:hAnsi="Arial"/>
                <w:sz w:val="18"/>
                <w:szCs w:val="18"/>
                <w:color w:val="auto"/>
              </w:rPr>
              <w:t>Cardio Pulmonary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113.0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476.4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114.8</w:t>
            </w:r>
          </w:p>
        </w:tc>
        <w:tc>
          <w:tcPr>
            <w:tcW w:w="0" w:type="dxa"/>
            <w:vAlign w:val="bottom"/>
          </w:tcPr>
          <w:p>
            <w:pPr>
              <w:spacing w:after="0"/>
              <w:rPr>
                <w:sz w:val="1"/>
                <w:szCs w:val="1"/>
                <w:color w:val="auto"/>
              </w:rPr>
            </w:pPr>
          </w:p>
        </w:tc>
      </w:tr>
      <w:tr>
        <w:trPr>
          <w:trHeight w:val="295"/>
        </w:trPr>
        <w:tc>
          <w:tcPr>
            <w:tcW w:w="2000" w:type="dxa"/>
            <w:vAlign w:val="bottom"/>
          </w:tcPr>
          <w:p>
            <w:pPr>
              <w:ind w:left="260"/>
              <w:spacing w:after="0"/>
              <w:rPr>
                <w:sz w:val="20"/>
                <w:szCs w:val="20"/>
                <w:color w:val="auto"/>
              </w:rPr>
            </w:pPr>
            <w:r>
              <w:rPr>
                <w:rFonts w:ascii="Arial" w:cs="Arial" w:eastAsia="Arial" w:hAnsi="Arial"/>
                <w:sz w:val="18"/>
                <w:szCs w:val="18"/>
                <w:color w:val="auto"/>
              </w:rPr>
              <w:t>Heart Valves</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522"/>
        </w:trPr>
        <w:tc>
          <w:tcPr>
            <w:tcW w:w="2000" w:type="dxa"/>
            <w:vAlign w:val="bottom"/>
          </w:tcPr>
          <w:p>
            <w:pPr>
              <w:spacing w:after="0"/>
              <w:rPr>
                <w:sz w:val="20"/>
                <w:szCs w:val="20"/>
                <w:color w:val="auto"/>
              </w:rPr>
            </w:pPr>
            <w:r>
              <w:rPr>
                <w:rFonts w:ascii="Arial" w:cs="Arial" w:eastAsia="Arial" w:hAnsi="Arial"/>
                <w:sz w:val="18"/>
                <w:szCs w:val="18"/>
                <w:color w:val="auto"/>
              </w:rPr>
              <w:t>Cardiac Surgery Total</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147.2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616.6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148.5</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CRM</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53.9</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56.8</w:t>
            </w:r>
          </w:p>
        </w:tc>
        <w:tc>
          <w:tcPr>
            <w:tcW w:w="0" w:type="dxa"/>
            <w:vAlign w:val="bottom"/>
          </w:tcPr>
          <w:p>
            <w:pPr>
              <w:spacing w:after="0"/>
              <w:rPr>
                <w:sz w:val="1"/>
                <w:szCs w:val="1"/>
                <w:color w:val="auto"/>
              </w:rPr>
            </w:pPr>
          </w:p>
        </w:tc>
      </w:tr>
      <w:tr>
        <w:trPr>
          <w:trHeight w:val="288"/>
        </w:trPr>
        <w:tc>
          <w:tcPr>
            <w:tcW w:w="2000" w:type="dxa"/>
            <w:vAlign w:val="bottom"/>
          </w:tcPr>
          <w:p>
            <w:pPr>
              <w:spacing w:after="0"/>
              <w:rPr>
                <w:sz w:val="20"/>
                <w:szCs w:val="20"/>
                <w:color w:val="auto"/>
              </w:rPr>
            </w:pPr>
            <w:r>
              <w:rPr>
                <w:rFonts w:ascii="Arial" w:cs="Arial" w:eastAsia="Arial" w:hAnsi="Arial"/>
                <w:sz w:val="18"/>
                <w:szCs w:val="18"/>
                <w:color w:val="auto"/>
              </w:rPr>
              <w:t>Neuromodulation</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84.3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89.5</w:t>
            </w:r>
          </w:p>
        </w:tc>
        <w:tc>
          <w:tcPr>
            <w:tcW w:w="0" w:type="dxa"/>
            <w:vAlign w:val="bottom"/>
          </w:tcPr>
          <w:p>
            <w:pPr>
              <w:spacing w:after="0"/>
              <w:rPr>
                <w:sz w:val="1"/>
                <w:szCs w:val="1"/>
                <w:color w:val="auto"/>
              </w:rPr>
            </w:pPr>
          </w:p>
        </w:tc>
      </w:tr>
      <w:tr>
        <w:trPr>
          <w:trHeight w:val="547"/>
        </w:trPr>
        <w:tc>
          <w:tcPr>
            <w:tcW w:w="20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540"/>
        </w:trPr>
        <w:tc>
          <w:tcPr>
            <w:tcW w:w="2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283.4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286.1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318.0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1,204.6</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287.0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321.0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295.3</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-1783080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pacing w:after="0" w:line="200" w:lineRule="exact"/>
        <w:rPr>
          <w:sz w:val="20"/>
          <w:szCs w:val="20"/>
          <w:color w:val="auto"/>
        </w:rPr>
      </w:pPr>
    </w:p>
    <w:p>
      <w:pPr>
        <w:spacing w:after="0" w:line="31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3Q16 vs.</w:t>
      </w:r>
    </w:p>
    <w:p>
      <w:pPr>
        <w:jc w:val="center"/>
        <w:ind w:right="240"/>
        <w:spacing w:after="0"/>
        <w:rPr>
          <w:sz w:val="20"/>
          <w:szCs w:val="20"/>
          <w:color w:val="auto"/>
        </w:rPr>
      </w:pPr>
      <w:r>
        <w:rPr>
          <w:rFonts w:ascii="Arial" w:cs="Arial" w:eastAsia="Arial" w:hAnsi="Arial"/>
          <w:sz w:val="18"/>
          <w:szCs w:val="18"/>
          <w:b w:val="1"/>
          <w:bCs w:val="1"/>
          <w:color w:val="auto"/>
        </w:rPr>
        <w:t>3Q15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4445</wp:posOffset>
            </wp:positionV>
            <wp:extent cx="7289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1.6%</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22225</wp:posOffset>
            </wp:positionV>
            <wp:extent cx="7289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3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0.9%</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5.4%</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6.2%</w:t>
      </w:r>
    </w:p>
    <w:p>
      <w:pPr>
        <w:spacing w:after="0" w:line="33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14605</wp:posOffset>
            </wp:positionV>
            <wp:extent cx="7289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14605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40640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2">
            <w:col w:w="10060" w:space="460"/>
            <w:col w:w="900"/>
          </w:cols>
          <w:pgMar w:left="240" w:top="393"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LIVANOVA PLC</w:t>
      </w:r>
    </w:p>
    <w:p>
      <w:pPr>
        <w:spacing w:after="0" w:line="187" w:lineRule="auto"/>
        <w:rPr>
          <w:sz w:val="20"/>
          <w:szCs w:val="20"/>
          <w:color w:val="auto"/>
        </w:rPr>
      </w:pPr>
      <w:r>
        <w:rPr>
          <w:rFonts w:ascii="Arial" w:cs="Arial" w:eastAsia="Arial" w:hAnsi="Arial"/>
          <w:sz w:val="18"/>
          <w:szCs w:val="18"/>
          <w:b w:val="1"/>
          <w:bCs w:val="1"/>
          <w:color w:val="auto"/>
        </w:rPr>
        <w:t>QUARTERLY SALES TREND BY REGION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Millions, CONSTANT CURRENCY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1Q15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2Q15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3Q15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4Q15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FY15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1Q16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2Q16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3Q16</w:t>
            </w:r>
          </w:p>
        </w:tc>
        <w:tc>
          <w:tcPr>
            <w:tcW w:w="3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3Q16 vs.</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3Q15</w:t>
            </w:r>
          </w:p>
        </w:tc>
        <w:tc>
          <w:tcPr>
            <w:tcW w:w="0" w:type="dxa"/>
            <w:vAlign w:val="bottom"/>
          </w:tcPr>
          <w:p>
            <w:pPr>
              <w:spacing w:after="0"/>
              <w:rPr>
                <w:sz w:val="1"/>
                <w:szCs w:val="1"/>
                <w:color w:val="auto"/>
              </w:rPr>
            </w:pPr>
          </w:p>
        </w:tc>
      </w:tr>
      <w:tr>
        <w:trPr>
          <w:trHeight w:val="162"/>
        </w:trPr>
        <w:tc>
          <w:tcPr>
            <w:tcW w:w="1660" w:type="dxa"/>
            <w:vAlign w:val="bottom"/>
          </w:tcPr>
          <w:p>
            <w:pPr>
              <w:ind w:left="40"/>
              <w:spacing w:after="0" w:line="162" w:lineRule="exact"/>
              <w:rPr>
                <w:sz w:val="20"/>
                <w:szCs w:val="20"/>
                <w:color w:val="auto"/>
              </w:rPr>
            </w:pPr>
            <w:r>
              <w:rPr>
                <w:rFonts w:ascii="Arial" w:cs="Arial" w:eastAsia="Arial" w:hAnsi="Arial"/>
                <w:sz w:val="18"/>
                <w:szCs w:val="18"/>
                <w:b w:val="1"/>
                <w:bCs w:val="1"/>
                <w:color w:val="auto"/>
              </w:rPr>
              <w:t>Cardio</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Pulmonary</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125.9</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113.0</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113.4</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113.3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Heart Valve</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33.4</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Cardiac Surgery</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162.3</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147.2</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146.8</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146.6</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CRM</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75.6</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53.9</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62.9</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84.3</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81.6</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3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32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111.2</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95.2</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92.5</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79.9</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317.1</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286.1</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318.0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1,204.6</w:t>
            </w:r>
          </w:p>
        </w:tc>
        <w:tc>
          <w:tcPr>
            <w:tcW w:w="100" w:type="dxa"/>
            <w:vAlign w:val="bottom"/>
          </w:tcPr>
          <w:p>
            <w:pPr>
              <w:spacing w:after="0"/>
              <w:rPr>
                <w:sz w:val="23"/>
                <w:szCs w:val="2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291.8</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319.3</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292.9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ectPr>
          <w:pgSz w:w="11900" w:h="16838" w:orient="portrait"/>
          <w:cols w:equalWidth="0" w:num="1">
            <w:col w:w="11420"/>
          </w:cols>
          <w:pgMar w:left="240" w:top="69"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LIVANOVA PLC</w:t>
      </w:r>
    </w:p>
    <w:p>
      <w:pPr>
        <w:spacing w:after="0" w:line="187" w:lineRule="auto"/>
        <w:rPr>
          <w:sz w:val="20"/>
          <w:szCs w:val="20"/>
          <w:color w:val="auto"/>
        </w:rPr>
      </w:pPr>
      <w:r>
        <w:rPr>
          <w:rFonts w:ascii="Arial" w:cs="Arial" w:eastAsia="Arial" w:hAnsi="Arial"/>
          <w:sz w:val="18"/>
          <w:szCs w:val="18"/>
          <w:b w:val="1"/>
          <w:bCs w:val="1"/>
          <w:color w:val="auto"/>
        </w:rPr>
        <w:t>QUARTERLY SALES TREND BY REGION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Millions, REPORTED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1Q15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2Q15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3Q15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4Q15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FY15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1Q16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2Q16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3Q16</w:t>
            </w:r>
          </w:p>
        </w:tc>
        <w:tc>
          <w:tcPr>
            <w:tcW w:w="42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3Q16 vs.</w:t>
            </w: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3Q15</w:t>
            </w:r>
          </w:p>
        </w:tc>
        <w:tc>
          <w:tcPr>
            <w:tcW w:w="0" w:type="dxa"/>
            <w:vAlign w:val="bottom"/>
          </w:tcPr>
          <w:p>
            <w:pPr>
              <w:spacing w:after="0"/>
              <w:rPr>
                <w:sz w:val="1"/>
                <w:szCs w:val="1"/>
                <w:color w:val="auto"/>
              </w:rPr>
            </w:pPr>
          </w:p>
        </w:tc>
      </w:tr>
      <w:tr>
        <w:trPr>
          <w:trHeight w:val="162"/>
        </w:trPr>
        <w:tc>
          <w:tcPr>
            <w:tcW w:w="1540" w:type="dxa"/>
            <w:vAlign w:val="bottom"/>
          </w:tcPr>
          <w:p>
            <w:pPr>
              <w:ind w:left="40"/>
              <w:spacing w:after="0" w:line="162" w:lineRule="exact"/>
              <w:rPr>
                <w:sz w:val="20"/>
                <w:szCs w:val="20"/>
                <w:color w:val="auto"/>
              </w:rPr>
            </w:pPr>
            <w:r>
              <w:rPr>
                <w:rFonts w:ascii="Arial" w:cs="Arial" w:eastAsia="Arial" w:hAnsi="Arial"/>
                <w:sz w:val="18"/>
                <w:szCs w:val="18"/>
                <w:b w:val="1"/>
                <w:bCs w:val="1"/>
                <w:color w:val="auto"/>
              </w:rPr>
              <w:t>Cardio</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Pulmonary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1640" w:type="dxa"/>
            <w:vAlign w:val="bottom"/>
            <w:gridSpan w:val="3"/>
            <w:shd w:val="clear" w:color="auto" w:fill="CCEEFF"/>
          </w:tcPr>
          <w:p>
            <w:pPr>
              <w:jc w:val="right"/>
              <w:ind w:right="340"/>
              <w:spacing w:after="0" w:line="269" w:lineRule="exact"/>
              <w:rPr>
                <w:sz w:val="20"/>
                <w:szCs w:val="20"/>
                <w:color w:val="auto"/>
              </w:rPr>
            </w:pPr>
            <w:r>
              <w:rPr>
                <w:rFonts w:ascii="Arial" w:cs="Arial" w:eastAsia="Arial" w:hAnsi="Arial"/>
                <w:sz w:val="16"/>
                <w:szCs w:val="16"/>
                <w:color w:val="auto"/>
              </w:rPr>
              <w:t xml:space="preserve">(1.1%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31.7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1640" w:type="dxa"/>
            <w:vAlign w:val="bottom"/>
            <w:gridSpan w:val="3"/>
          </w:tcPr>
          <w:p>
            <w:pPr>
              <w:jc w:val="right"/>
              <w:ind w:right="340"/>
              <w:spacing w:after="0" w:line="269" w:lineRule="exact"/>
              <w:rPr>
                <w:sz w:val="20"/>
                <w:szCs w:val="20"/>
                <w:color w:val="auto"/>
              </w:rPr>
            </w:pPr>
            <w:r>
              <w:rPr>
                <w:rFonts w:ascii="Arial" w:cs="Arial" w:eastAsia="Arial" w:hAnsi="Arial"/>
                <w:sz w:val="16"/>
                <w:szCs w:val="16"/>
                <w:color w:val="auto"/>
              </w:rPr>
              <w:t xml:space="preserve">(10.6%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41.0</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41.5</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4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113.0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130.0</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110.9</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124.0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114.8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Heart Valve</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10.3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640" w:type="dxa"/>
            <w:vAlign w:val="bottom"/>
            <w:gridSpan w:val="3"/>
          </w:tcPr>
          <w:p>
            <w:pPr>
              <w:jc w:val="right"/>
              <w:ind w:right="340"/>
              <w:spacing w:after="0" w:line="269" w:lineRule="exact"/>
              <w:rPr>
                <w:sz w:val="20"/>
                <w:szCs w:val="20"/>
                <w:color w:val="auto"/>
              </w:rPr>
            </w:pPr>
            <w:r>
              <w:rPr>
                <w:rFonts w:ascii="Arial" w:cs="Arial" w:eastAsia="Arial" w:hAnsi="Arial"/>
                <w:sz w:val="16"/>
                <w:szCs w:val="16"/>
                <w:color w:val="auto"/>
              </w:rPr>
              <w:t xml:space="preserve">(5.4%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4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40"/>
              <w:spacing w:after="0" w:line="269" w:lineRule="exact"/>
              <w:rPr>
                <w:sz w:val="20"/>
                <w:szCs w:val="20"/>
                <w:color w:val="auto"/>
              </w:rPr>
            </w:pPr>
            <w:r>
              <w:rPr>
                <w:rFonts w:ascii="Arial" w:cs="Arial" w:eastAsia="Arial" w:hAnsi="Arial"/>
                <w:sz w:val="16"/>
                <w:szCs w:val="16"/>
                <w:color w:val="auto"/>
              </w:rPr>
              <w:t xml:space="preserve">(7.1%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34.2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420" w:type="dxa"/>
            <w:vAlign w:val="bottom"/>
          </w:tcPr>
          <w:p>
            <w:pPr>
              <w:spacing w:after="0"/>
              <w:rPr>
                <w:sz w:val="23"/>
                <w:szCs w:val="23"/>
                <w:color w:val="auto"/>
              </w:rPr>
            </w:pPr>
          </w:p>
        </w:tc>
        <w:tc>
          <w:tcPr>
            <w:tcW w:w="1220" w:type="dxa"/>
            <w:vAlign w:val="bottom"/>
            <w:gridSpan w:val="2"/>
          </w:tcPr>
          <w:p>
            <w:pPr>
              <w:jc w:val="right"/>
              <w:ind w:right="340"/>
              <w:spacing w:after="0" w:line="250" w:lineRule="exact"/>
              <w:rPr>
                <w:sz w:val="20"/>
                <w:szCs w:val="20"/>
                <w:color w:val="auto"/>
              </w:rPr>
            </w:pPr>
            <w:r>
              <w:rPr>
                <w:rFonts w:ascii="Arial" w:cs="Arial" w:eastAsia="Arial" w:hAnsi="Arial"/>
                <w:sz w:val="15"/>
                <w:szCs w:val="15"/>
                <w:color w:val="auto"/>
              </w:rPr>
              <w:t xml:space="preserve">(1.5%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Cardiac Surgery</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45.9</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41.9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1640" w:type="dxa"/>
            <w:vAlign w:val="bottom"/>
            <w:gridSpan w:val="3"/>
          </w:tcPr>
          <w:p>
            <w:pPr>
              <w:jc w:val="right"/>
              <w:ind w:right="340"/>
              <w:spacing w:after="0" w:line="269" w:lineRule="exact"/>
              <w:rPr>
                <w:sz w:val="20"/>
                <w:szCs w:val="20"/>
                <w:color w:val="auto"/>
              </w:rPr>
            </w:pPr>
            <w:r>
              <w:rPr>
                <w:rFonts w:ascii="Arial" w:cs="Arial" w:eastAsia="Arial" w:hAnsi="Arial"/>
                <w:sz w:val="16"/>
                <w:szCs w:val="16"/>
                <w:color w:val="auto"/>
              </w:rPr>
              <w:t xml:space="preserve">(9.4%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56.2</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59.3</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c>
          <w:tcPr>
            <w:tcW w:w="4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147.2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164.9</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143.4</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161.1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CRM</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640" w:type="dxa"/>
            <w:vAlign w:val="bottom"/>
            <w:gridSpan w:val="3"/>
            <w:shd w:val="clear" w:color="auto" w:fill="CCEEFF"/>
          </w:tcPr>
          <w:p>
            <w:pPr>
              <w:jc w:val="right"/>
              <w:ind w:right="340"/>
              <w:spacing w:after="0" w:line="269" w:lineRule="exact"/>
              <w:rPr>
                <w:sz w:val="20"/>
                <w:szCs w:val="20"/>
                <w:color w:val="auto"/>
              </w:rPr>
            </w:pPr>
            <w:r>
              <w:rPr>
                <w:rFonts w:ascii="Arial" w:cs="Arial" w:eastAsia="Arial" w:hAnsi="Arial"/>
                <w:sz w:val="16"/>
                <w:szCs w:val="16"/>
                <w:color w:val="auto"/>
              </w:rPr>
              <w:t xml:space="preserve">(44.7%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44.8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44.7</w:t>
            </w:r>
          </w:p>
        </w:tc>
        <w:tc>
          <w:tcPr>
            <w:tcW w:w="1640" w:type="dxa"/>
            <w:vAlign w:val="bottom"/>
            <w:gridSpan w:val="3"/>
          </w:tcPr>
          <w:p>
            <w:pPr>
              <w:jc w:val="right"/>
              <w:ind w:right="340"/>
              <w:spacing w:after="0" w:line="269" w:lineRule="exact"/>
              <w:rPr>
                <w:sz w:val="20"/>
                <w:szCs w:val="20"/>
                <w:color w:val="auto"/>
              </w:rPr>
            </w:pPr>
            <w:r>
              <w:rPr>
                <w:rFonts w:ascii="Arial" w:cs="Arial" w:eastAsia="Arial" w:hAnsi="Arial"/>
                <w:sz w:val="16"/>
                <w:szCs w:val="16"/>
                <w:color w:val="auto"/>
              </w:rPr>
              <w:t xml:space="preserve">(0.1%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4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53.9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w w:val="99"/>
              </w:rPr>
              <w:t>Neuromodulation</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70.9</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8.4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4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84.3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89.5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4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420" w:type="dxa"/>
            <w:vAlign w:val="bottom"/>
          </w:tcPr>
          <w:p>
            <w:pPr>
              <w:spacing w:after="0"/>
              <w:rPr>
                <w:sz w:val="23"/>
                <w:szCs w:val="23"/>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4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40"/>
              <w:spacing w:after="0" w:line="269" w:lineRule="exact"/>
              <w:rPr>
                <w:sz w:val="20"/>
                <w:szCs w:val="20"/>
                <w:color w:val="auto"/>
              </w:rPr>
            </w:pPr>
            <w:r>
              <w:rPr>
                <w:rFonts w:ascii="Arial" w:cs="Arial" w:eastAsia="Arial" w:hAnsi="Arial"/>
                <w:sz w:val="16"/>
                <w:szCs w:val="16"/>
                <w:color w:val="auto"/>
              </w:rPr>
              <w:t xml:space="preserve">(37.8%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0.8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420" w:type="dxa"/>
            <w:vAlign w:val="bottom"/>
          </w:tcPr>
          <w:p>
            <w:pPr>
              <w:spacing w:after="0"/>
              <w:rPr>
                <w:sz w:val="23"/>
                <w:szCs w:val="23"/>
                <w:color w:val="auto"/>
              </w:rPr>
            </w:pPr>
          </w:p>
        </w:tc>
        <w:tc>
          <w:tcPr>
            <w:tcW w:w="1220" w:type="dxa"/>
            <w:vAlign w:val="bottom"/>
            <w:gridSpan w:val="2"/>
          </w:tcPr>
          <w:p>
            <w:pPr>
              <w:jc w:val="right"/>
              <w:ind w:right="340"/>
              <w:spacing w:after="0" w:line="250" w:lineRule="exact"/>
              <w:rPr>
                <w:sz w:val="20"/>
                <w:szCs w:val="20"/>
                <w:color w:val="auto"/>
              </w:rPr>
            </w:pPr>
            <w:r>
              <w:rPr>
                <w:rFonts w:ascii="Arial" w:cs="Arial" w:eastAsia="Arial" w:hAnsi="Arial"/>
                <w:sz w:val="15"/>
                <w:szCs w:val="15"/>
                <w:color w:val="auto"/>
              </w:rPr>
              <w:t xml:space="preserve">(41.7%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120.8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106.1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95.2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106.4</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1640" w:type="dxa"/>
            <w:vAlign w:val="bottom"/>
            <w:gridSpan w:val="3"/>
          </w:tcPr>
          <w:p>
            <w:pPr>
              <w:jc w:val="right"/>
              <w:ind w:right="340"/>
              <w:spacing w:after="0" w:line="269" w:lineRule="exact"/>
              <w:rPr>
                <w:sz w:val="20"/>
                <w:szCs w:val="20"/>
                <w:color w:val="auto"/>
              </w:rPr>
            </w:pPr>
            <w:r>
              <w:rPr>
                <w:rFonts w:ascii="Arial" w:cs="Arial" w:eastAsia="Arial" w:hAnsi="Arial"/>
                <w:sz w:val="16"/>
                <w:szCs w:val="16"/>
                <w:color w:val="auto"/>
              </w:rPr>
              <w:t xml:space="preserve">(4.1%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75.7</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70.2</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4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283.4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317.1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286.1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318.0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6"/>
              </w:rPr>
              <w:t>1,204.6</w:t>
            </w:r>
          </w:p>
        </w:tc>
        <w:tc>
          <w:tcPr>
            <w:tcW w:w="100" w:type="dxa"/>
            <w:vAlign w:val="bottom"/>
          </w:tcPr>
          <w:p>
            <w:pPr>
              <w:spacing w:after="0"/>
              <w:rPr>
                <w:sz w:val="23"/>
                <w:szCs w:val="2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287.0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321.0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295.3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ectPr>
          <w:pgSz w:w="11900" w:h="16838" w:orient="portrait"/>
          <w:cols w:equalWidth="0" w:num="1">
            <w:col w:w="11420"/>
          </w:cols>
          <w:pgMar w:left="240" w:top="69"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 w:right="239" w:bottom="1440"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18"/>
          <w:szCs w:val="18"/>
          <w:b w:val="1"/>
          <w:bCs w:val="1"/>
          <w:color w:val="auto"/>
        </w:rPr>
        <w:t>LIVANOVA PLC</w:t>
      </w:r>
    </w:p>
    <w:p>
      <w:pPr>
        <w:ind w:left="80"/>
        <w:spacing w:after="0" w:line="187" w:lineRule="auto"/>
        <w:rPr>
          <w:sz w:val="20"/>
          <w:szCs w:val="20"/>
          <w:color w:val="auto"/>
        </w:rPr>
      </w:pPr>
      <w:r>
        <w:rPr>
          <w:rFonts w:ascii="Arial" w:cs="Arial" w:eastAsia="Arial" w:hAnsi="Arial"/>
          <w:sz w:val="18"/>
          <w:szCs w:val="18"/>
          <w:b w:val="1"/>
          <w:bCs w:val="1"/>
          <w:color w:val="auto"/>
        </w:rPr>
        <w:t>QUARTERLY SALES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U.S. dollar in Millions</w:t>
      </w:r>
    </w:p>
    <w:p>
      <w:pPr>
        <w:spacing w:after="0" w:line="140" w:lineRule="exact"/>
        <w:rPr>
          <w:sz w:val="20"/>
          <w:szCs w:val="20"/>
          <w:color w:val="auto"/>
        </w:rPr>
      </w:pPr>
    </w:p>
    <w:p>
      <w:pPr>
        <w:jc w:val="center"/>
        <w:ind w:right="3879"/>
        <w:spacing w:after="0"/>
        <w:rPr>
          <w:sz w:val="20"/>
          <w:szCs w:val="20"/>
          <w:color w:val="auto"/>
        </w:rPr>
      </w:pPr>
      <w:r>
        <w:rPr>
          <w:rFonts w:ascii="Arial" w:cs="Arial" w:eastAsia="Arial" w:hAnsi="Arial"/>
          <w:sz w:val="18"/>
          <w:szCs w:val="18"/>
          <w:b w:val="1"/>
          <w:bCs w:val="1"/>
          <w:color w:val="auto"/>
        </w:rPr>
        <w:t>Three Months Ended September</w:t>
      </w:r>
    </w:p>
    <w:p>
      <w:pPr>
        <w:jc w:val="center"/>
        <w:ind w:right="3879"/>
        <w:spacing w:after="0"/>
        <w:rPr>
          <w:sz w:val="20"/>
          <w:szCs w:val="20"/>
          <w:color w:val="auto"/>
        </w:rPr>
      </w:pPr>
      <w:r>
        <w:rPr>
          <w:rFonts w:ascii="Arial" w:cs="Arial" w:eastAsia="Arial" w:hAnsi="Arial"/>
          <w:sz w:val="18"/>
          <w:szCs w:val="18"/>
          <w:b w:val="1"/>
          <w:bCs w:val="1"/>
          <w:color w:val="auto"/>
        </w:rPr>
        <w:t>30, 2016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91"/>
              </w:rPr>
              <w:t>% Change</w:t>
            </w:r>
          </w:p>
        </w:tc>
        <w:tc>
          <w:tcPr>
            <w:tcW w:w="380" w:type="dxa"/>
            <w:vAlign w:val="bottom"/>
          </w:tcPr>
          <w:p>
            <w:pPr>
              <w:spacing w:after="0"/>
              <w:rPr>
                <w:sz w:val="14"/>
                <w:szCs w:val="14"/>
                <w:color w:val="auto"/>
              </w:rPr>
            </w:pPr>
          </w:p>
        </w:tc>
        <w:tc>
          <w:tcPr>
            <w:tcW w:w="1420" w:type="dxa"/>
            <w:vAlign w:val="bottom"/>
          </w:tcPr>
          <w:p>
            <w:pPr>
              <w:jc w:val="center"/>
              <w:ind w:right="130"/>
              <w:spacing w:after="0" w:line="170" w:lineRule="exact"/>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9"/>
              </w:rPr>
              <w:t>at</w:t>
            </w:r>
          </w:p>
        </w:tc>
        <w:tc>
          <w:tcPr>
            <w:tcW w:w="380" w:type="dxa"/>
            <w:vAlign w:val="bottom"/>
          </w:tcPr>
          <w:p>
            <w:pPr>
              <w:spacing w:after="0"/>
              <w:rPr>
                <w:sz w:val="14"/>
                <w:szCs w:val="14"/>
                <w:color w:val="auto"/>
              </w:rPr>
            </w:pPr>
          </w:p>
        </w:tc>
        <w:tc>
          <w:tcPr>
            <w:tcW w:w="1420" w:type="dxa"/>
            <w:vAlign w:val="bottom"/>
          </w:tcPr>
          <w:p>
            <w:pPr>
              <w:jc w:val="center"/>
              <w:ind w:right="130"/>
              <w:spacing w:after="0" w:line="162" w:lineRule="exact"/>
              <w:rPr>
                <w:sz w:val="20"/>
                <w:szCs w:val="20"/>
                <w:color w:val="auto"/>
              </w:rPr>
            </w:pPr>
            <w:r>
              <w:rPr>
                <w:rFonts w:ascii="Arial" w:cs="Arial" w:eastAsia="Arial" w:hAnsi="Arial"/>
                <w:sz w:val="18"/>
                <w:szCs w:val="18"/>
                <w:b w:val="1"/>
                <w:bCs w:val="1"/>
                <w:color w:val="auto"/>
                <w:w w:val="99"/>
              </w:rPr>
              <w:t>at</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4"/>
              </w:rPr>
              <w:t>Actual</w:t>
            </w:r>
          </w:p>
        </w:tc>
        <w:tc>
          <w:tcPr>
            <w:tcW w:w="380" w:type="dxa"/>
            <w:vAlign w:val="bottom"/>
          </w:tcPr>
          <w:p>
            <w:pPr>
              <w:spacing w:after="0"/>
              <w:rPr>
                <w:sz w:val="14"/>
                <w:szCs w:val="14"/>
                <w:color w:val="auto"/>
              </w:rPr>
            </w:pPr>
          </w:p>
        </w:tc>
        <w:tc>
          <w:tcPr>
            <w:tcW w:w="1420" w:type="dxa"/>
            <w:vAlign w:val="bottom"/>
          </w:tcPr>
          <w:p>
            <w:pPr>
              <w:jc w:val="center"/>
              <w:ind w:right="150"/>
              <w:spacing w:after="0" w:line="162" w:lineRule="exact"/>
              <w:rPr>
                <w:sz w:val="20"/>
                <w:szCs w:val="20"/>
                <w:color w:val="auto"/>
              </w:rPr>
            </w:pPr>
            <w:r>
              <w:rPr>
                <w:rFonts w:ascii="Arial" w:cs="Arial" w:eastAsia="Arial" w:hAnsi="Arial"/>
                <w:sz w:val="18"/>
                <w:szCs w:val="18"/>
                <w:b w:val="1"/>
                <w:bCs w:val="1"/>
                <w:color w:val="auto"/>
                <w:w w:val="89"/>
              </w:rPr>
              <w:t>Constant</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1"/>
              </w:rPr>
              <w:t>Currency</w:t>
            </w:r>
          </w:p>
        </w:tc>
        <w:tc>
          <w:tcPr>
            <w:tcW w:w="380" w:type="dxa"/>
            <w:vAlign w:val="bottom"/>
          </w:tcPr>
          <w:p>
            <w:pPr>
              <w:spacing w:after="0"/>
              <w:rPr>
                <w:sz w:val="14"/>
                <w:szCs w:val="14"/>
                <w:color w:val="auto"/>
              </w:rPr>
            </w:pPr>
          </w:p>
        </w:tc>
        <w:tc>
          <w:tcPr>
            <w:tcW w:w="1420" w:type="dxa"/>
            <w:vAlign w:val="bottom"/>
          </w:tcPr>
          <w:p>
            <w:pPr>
              <w:jc w:val="center"/>
              <w:ind w:right="130"/>
              <w:spacing w:after="0" w:line="162" w:lineRule="exact"/>
              <w:rPr>
                <w:sz w:val="20"/>
                <w:szCs w:val="20"/>
                <w:color w:val="auto"/>
              </w:rPr>
            </w:pPr>
            <w:r>
              <w:rPr>
                <w:rFonts w:ascii="Arial" w:cs="Arial" w:eastAsia="Arial" w:hAnsi="Arial"/>
                <w:sz w:val="18"/>
                <w:szCs w:val="18"/>
                <w:b w:val="1"/>
                <w:bCs w:val="1"/>
                <w:color w:val="auto"/>
                <w:w w:val="91"/>
              </w:rPr>
              <w:t>Currency</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Rates</w:t>
            </w:r>
          </w:p>
        </w:tc>
        <w:tc>
          <w:tcPr>
            <w:tcW w:w="380" w:type="dxa"/>
            <w:vAlign w:val="bottom"/>
          </w:tcPr>
          <w:p>
            <w:pPr>
              <w:spacing w:after="0"/>
              <w:rPr>
                <w:sz w:val="19"/>
                <w:szCs w:val="19"/>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Rates</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b w:val="1"/>
                <w:bCs w:val="1"/>
                <w:color w:val="auto"/>
              </w:rPr>
              <w:t>Cardio Pulmonary</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39.4</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47.2</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41.5</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13.6%</w:t>
            </w:r>
          </w:p>
        </w:tc>
        <w:tc>
          <w:tcPr>
            <w:tcW w:w="18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114.8</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Heart Valve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1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21.2%</w:t>
            </w:r>
          </w:p>
        </w:tc>
        <w:tc>
          <w:tcPr>
            <w:tcW w:w="18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Cardiac Surgery</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1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38.0</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41.9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63.7</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59.3</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8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148.5</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147.2</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0.9%</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 xml:space="preserve">(0.4%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CRM</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1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44.8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91.8%</w:t>
            </w:r>
          </w:p>
        </w:tc>
        <w:tc>
          <w:tcPr>
            <w:tcW w:w="18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53.9</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5.4%</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Neuromodulation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74.9</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70.9</w:t>
            </w:r>
          </w:p>
        </w:tc>
        <w:tc>
          <w:tcPr>
            <w:tcW w:w="1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18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24.8%</w:t>
            </w:r>
          </w:p>
        </w:tc>
        <w:tc>
          <w:tcPr>
            <w:tcW w:w="18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89.5</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84.3</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6.2%</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23"/>
                <w:szCs w:val="23"/>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23"/>
                <w:szCs w:val="23"/>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(41.7%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123.8</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120.8</w:t>
            </w:r>
          </w:p>
        </w:tc>
        <w:tc>
          <w:tcPr>
            <w:tcW w:w="1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8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91.2</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95.2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80.2</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70.2</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14.3%</w:t>
            </w:r>
          </w:p>
        </w:tc>
        <w:tc>
          <w:tcPr>
            <w:tcW w:w="18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295.3</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286.1</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3.2%</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sales results presented are unaudited. Numbers may not add due to rounding.</w:t>
      </w:r>
    </w:p>
    <w:p>
      <w:pPr>
        <w:sectPr>
          <w:pgSz w:w="11900" w:h="16838" w:orient="portrait"/>
          <w:cols w:equalWidth="0" w:num="1">
            <w:col w:w="10219"/>
          </w:cols>
          <w:pgMar w:left="240" w:top="231" w:right="1440" w:bottom="956" w:gutter="0" w:footer="0" w:header="0"/>
        </w:sectPr>
      </w:pPr>
    </w:p>
    <w:p>
      <w:pPr>
        <w:spacing w:after="0" w:line="200" w:lineRule="exact"/>
        <w:rPr>
          <w:sz w:val="20"/>
          <w:szCs w:val="20"/>
          <w:color w:val="auto"/>
        </w:rPr>
      </w:pPr>
    </w:p>
    <w:p>
      <w:pPr>
        <w:spacing w:after="0" w:line="35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31" w:right="1440" w:bottom="956"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18"/>
          <w:szCs w:val="18"/>
          <w:b w:val="1"/>
          <w:bCs w:val="1"/>
          <w:color w:val="auto"/>
        </w:rPr>
        <w:t>LIVANOVA PLC</w:t>
      </w:r>
    </w:p>
    <w:p>
      <w:pPr>
        <w:ind w:left="80"/>
        <w:spacing w:after="0" w:line="187" w:lineRule="auto"/>
        <w:rPr>
          <w:sz w:val="20"/>
          <w:szCs w:val="20"/>
          <w:color w:val="auto"/>
        </w:rPr>
      </w:pPr>
      <w:r>
        <w:rPr>
          <w:rFonts w:ascii="Arial" w:cs="Arial" w:eastAsia="Arial" w:hAnsi="Arial"/>
          <w:sz w:val="18"/>
          <w:szCs w:val="18"/>
          <w:b w:val="1"/>
          <w:bCs w:val="1"/>
          <w:color w:val="auto"/>
        </w:rPr>
        <w:t>QUARTERLY SALES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U.S. dollar in Millions</w:t>
      </w:r>
    </w:p>
    <w:p>
      <w:pPr>
        <w:spacing w:after="0" w:line="140" w:lineRule="exact"/>
        <w:rPr>
          <w:sz w:val="20"/>
          <w:szCs w:val="20"/>
          <w:color w:val="auto"/>
        </w:rPr>
      </w:pPr>
    </w:p>
    <w:p>
      <w:pPr>
        <w:jc w:val="center"/>
        <w:ind w:right="3879"/>
        <w:spacing w:after="0"/>
        <w:rPr>
          <w:sz w:val="20"/>
          <w:szCs w:val="20"/>
          <w:color w:val="auto"/>
        </w:rPr>
      </w:pPr>
      <w:r>
        <w:rPr>
          <w:rFonts w:ascii="Arial" w:cs="Arial" w:eastAsia="Arial" w:hAnsi="Arial"/>
          <w:sz w:val="18"/>
          <w:szCs w:val="18"/>
          <w:b w:val="1"/>
          <w:bCs w:val="1"/>
          <w:color w:val="auto"/>
        </w:rPr>
        <w:t>Nine Months Ended September 30,</w:t>
      </w:r>
    </w:p>
    <w:p>
      <w:pPr>
        <w:jc w:val="center"/>
        <w:ind w:right="3879"/>
        <w:spacing w:after="0"/>
        <w:rPr>
          <w:sz w:val="20"/>
          <w:szCs w:val="20"/>
          <w:color w:val="auto"/>
        </w:rPr>
      </w:pPr>
      <w:r>
        <w:rPr>
          <w:rFonts w:ascii="Arial" w:cs="Arial" w:eastAsia="Arial" w:hAnsi="Arial"/>
          <w:sz w:val="18"/>
          <w:szCs w:val="18"/>
          <w:b w:val="1"/>
          <w:bCs w:val="1"/>
          <w:color w:val="auto"/>
        </w:rPr>
        <w:t>2016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91"/>
              </w:rPr>
              <w:t>% Change</w:t>
            </w:r>
          </w:p>
        </w:tc>
        <w:tc>
          <w:tcPr>
            <w:tcW w:w="380" w:type="dxa"/>
            <w:vAlign w:val="bottom"/>
          </w:tcPr>
          <w:p>
            <w:pPr>
              <w:spacing w:after="0"/>
              <w:rPr>
                <w:sz w:val="14"/>
                <w:szCs w:val="14"/>
                <w:color w:val="auto"/>
              </w:rPr>
            </w:pPr>
          </w:p>
        </w:tc>
        <w:tc>
          <w:tcPr>
            <w:tcW w:w="1420" w:type="dxa"/>
            <w:vAlign w:val="bottom"/>
          </w:tcPr>
          <w:p>
            <w:pPr>
              <w:jc w:val="center"/>
              <w:ind w:right="130"/>
              <w:spacing w:after="0" w:line="170" w:lineRule="exact"/>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9"/>
              </w:rPr>
              <w:t>at</w:t>
            </w:r>
          </w:p>
        </w:tc>
        <w:tc>
          <w:tcPr>
            <w:tcW w:w="380" w:type="dxa"/>
            <w:vAlign w:val="bottom"/>
          </w:tcPr>
          <w:p>
            <w:pPr>
              <w:spacing w:after="0"/>
              <w:rPr>
                <w:sz w:val="14"/>
                <w:szCs w:val="14"/>
                <w:color w:val="auto"/>
              </w:rPr>
            </w:pPr>
          </w:p>
        </w:tc>
        <w:tc>
          <w:tcPr>
            <w:tcW w:w="1420" w:type="dxa"/>
            <w:vAlign w:val="bottom"/>
          </w:tcPr>
          <w:p>
            <w:pPr>
              <w:jc w:val="center"/>
              <w:ind w:right="130"/>
              <w:spacing w:after="0" w:line="162" w:lineRule="exact"/>
              <w:rPr>
                <w:sz w:val="20"/>
                <w:szCs w:val="20"/>
                <w:color w:val="auto"/>
              </w:rPr>
            </w:pPr>
            <w:r>
              <w:rPr>
                <w:rFonts w:ascii="Arial" w:cs="Arial" w:eastAsia="Arial" w:hAnsi="Arial"/>
                <w:sz w:val="18"/>
                <w:szCs w:val="18"/>
                <w:b w:val="1"/>
                <w:bCs w:val="1"/>
                <w:color w:val="auto"/>
                <w:w w:val="99"/>
              </w:rPr>
              <w:t>at</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4"/>
              </w:rPr>
              <w:t>Actual</w:t>
            </w:r>
          </w:p>
        </w:tc>
        <w:tc>
          <w:tcPr>
            <w:tcW w:w="380" w:type="dxa"/>
            <w:vAlign w:val="bottom"/>
          </w:tcPr>
          <w:p>
            <w:pPr>
              <w:spacing w:after="0"/>
              <w:rPr>
                <w:sz w:val="14"/>
                <w:szCs w:val="14"/>
                <w:color w:val="auto"/>
              </w:rPr>
            </w:pPr>
          </w:p>
        </w:tc>
        <w:tc>
          <w:tcPr>
            <w:tcW w:w="1420" w:type="dxa"/>
            <w:vAlign w:val="bottom"/>
          </w:tcPr>
          <w:p>
            <w:pPr>
              <w:jc w:val="center"/>
              <w:ind w:right="150"/>
              <w:spacing w:after="0" w:line="162" w:lineRule="exact"/>
              <w:rPr>
                <w:sz w:val="20"/>
                <w:szCs w:val="20"/>
                <w:color w:val="auto"/>
              </w:rPr>
            </w:pPr>
            <w:r>
              <w:rPr>
                <w:rFonts w:ascii="Arial" w:cs="Arial" w:eastAsia="Arial" w:hAnsi="Arial"/>
                <w:sz w:val="18"/>
                <w:szCs w:val="18"/>
                <w:b w:val="1"/>
                <w:bCs w:val="1"/>
                <w:color w:val="auto"/>
                <w:w w:val="89"/>
              </w:rPr>
              <w:t>Constant</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1"/>
              </w:rPr>
              <w:t>Currency</w:t>
            </w:r>
          </w:p>
        </w:tc>
        <w:tc>
          <w:tcPr>
            <w:tcW w:w="380" w:type="dxa"/>
            <w:vAlign w:val="bottom"/>
          </w:tcPr>
          <w:p>
            <w:pPr>
              <w:spacing w:after="0"/>
              <w:rPr>
                <w:sz w:val="14"/>
                <w:szCs w:val="14"/>
                <w:color w:val="auto"/>
              </w:rPr>
            </w:pPr>
          </w:p>
        </w:tc>
        <w:tc>
          <w:tcPr>
            <w:tcW w:w="1420" w:type="dxa"/>
            <w:vAlign w:val="bottom"/>
          </w:tcPr>
          <w:p>
            <w:pPr>
              <w:jc w:val="center"/>
              <w:ind w:right="130"/>
              <w:spacing w:after="0" w:line="162" w:lineRule="exact"/>
              <w:rPr>
                <w:sz w:val="20"/>
                <w:szCs w:val="20"/>
                <w:color w:val="auto"/>
              </w:rPr>
            </w:pPr>
            <w:r>
              <w:rPr>
                <w:rFonts w:ascii="Arial" w:cs="Arial" w:eastAsia="Arial" w:hAnsi="Arial"/>
                <w:sz w:val="18"/>
                <w:szCs w:val="18"/>
                <w:b w:val="1"/>
                <w:bCs w:val="1"/>
                <w:color w:val="auto"/>
                <w:w w:val="91"/>
              </w:rPr>
              <w:t>Currency</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Rates</w:t>
            </w:r>
          </w:p>
        </w:tc>
        <w:tc>
          <w:tcPr>
            <w:tcW w:w="380" w:type="dxa"/>
            <w:vAlign w:val="bottom"/>
          </w:tcPr>
          <w:p>
            <w:pPr>
              <w:spacing w:after="0"/>
              <w:rPr>
                <w:sz w:val="19"/>
                <w:szCs w:val="19"/>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Rates</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b w:val="1"/>
                <w:bCs w:val="1"/>
                <w:color w:val="auto"/>
              </w:rPr>
              <w:t>Cardio Pulmonary</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113.1</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94.7</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102.3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142.0</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128.4</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8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349.7</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346.4</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Heart Valve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1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8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48.8</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103.3</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Cardiac Surgery</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134.0</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128.2</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138.3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190.8</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178.2</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18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453.0</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451.7</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0.3%</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CRM</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1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149.1</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148.0</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0.7%</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31.4</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188.1</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199.8</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(5.9%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(6.5% )</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Neuromodulation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220.9</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192.0</w:t>
            </w:r>
          </w:p>
        </w:tc>
        <w:tc>
          <w:tcPr>
            <w:tcW w:w="1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15.1%</w:t>
            </w:r>
          </w:p>
        </w:tc>
        <w:tc>
          <w:tcPr>
            <w:tcW w:w="18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18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260.9</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232.8</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12.1%</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124.2%</w:t>
            </w:r>
          </w:p>
        </w:tc>
        <w:tc>
          <w:tcPr>
            <w:tcW w:w="380" w:type="dxa"/>
            <w:vAlign w:val="bottom"/>
          </w:tcPr>
          <w:p>
            <w:pPr>
              <w:spacing w:after="0"/>
              <w:rPr>
                <w:sz w:val="23"/>
                <w:szCs w:val="23"/>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1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(43.2%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(41.5%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1"/>
        </w:trPr>
        <w:tc>
          <w:tcPr>
            <w:tcW w:w="1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362.4</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339.6</w:t>
            </w:r>
          </w:p>
        </w:tc>
        <w:tc>
          <w:tcPr>
            <w:tcW w:w="1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18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301.7</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312.4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239.2</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234.7</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8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903.3</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886.6</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1.9%</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sales results presented are unaudited. Numbers may not add due to rounding.</w:t>
      </w:r>
    </w:p>
    <w:p>
      <w:pPr>
        <w:sectPr>
          <w:pgSz w:w="11900" w:h="16838" w:orient="portrait"/>
          <w:cols w:equalWidth="0" w:num="1">
            <w:col w:w="10219"/>
          </w:cols>
          <w:pgMar w:left="240" w:top="231" w:right="1440" w:bottom="5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31" w:right="1440" w:bottom="551"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 (LOSS)</w:t>
      </w:r>
    </w:p>
    <w:p>
      <w:pPr>
        <w:spacing w:after="0"/>
        <w:rPr>
          <w:sz w:val="20"/>
          <w:szCs w:val="20"/>
          <w:color w:val="auto"/>
        </w:rPr>
      </w:pPr>
      <w:r>
        <w:rPr>
          <w:rFonts w:ascii="Arial" w:cs="Arial" w:eastAsia="Arial" w:hAnsi="Arial"/>
          <w:sz w:val="18"/>
          <w:szCs w:val="18"/>
          <w:b w:val="1"/>
          <w:bCs w:val="1"/>
          <w:color w:val="auto"/>
        </w:rPr>
        <w:t>U.S. dollars in Millions, except share and per share amounts</w:t>
      </w:r>
    </w:p>
    <w:p>
      <w:pPr>
        <w:spacing w:after="0" w:line="7" w:lineRule="exact"/>
        <w:rPr>
          <w:sz w:val="20"/>
          <w:szCs w:val="20"/>
          <w:color w:val="auto"/>
        </w:rPr>
      </w:pPr>
    </w:p>
    <w:p>
      <w:pPr>
        <w:jc w:val="center"/>
        <w:ind w:left="2560"/>
        <w:spacing w:after="0"/>
        <w:rPr>
          <w:sz w:val="20"/>
          <w:szCs w:val="20"/>
          <w:color w:val="auto"/>
        </w:rPr>
      </w:pPr>
      <w:r>
        <w:rPr>
          <w:rFonts w:ascii="Arial" w:cs="Arial" w:eastAsia="Arial" w:hAnsi="Arial"/>
          <w:sz w:val="18"/>
          <w:szCs w:val="18"/>
          <w:b w:val="1"/>
          <w:bCs w:val="1"/>
          <w:color w:val="auto"/>
        </w:rPr>
        <w:t>Three Months</w:t>
      </w:r>
    </w:p>
    <w:p>
      <w:pPr>
        <w:spacing w:after="0" w:line="11" w:lineRule="exact"/>
        <w:rPr>
          <w:sz w:val="20"/>
          <w:szCs w:val="20"/>
          <w:color w:val="auto"/>
        </w:rPr>
      </w:pPr>
    </w:p>
    <w:p>
      <w:pPr>
        <w:jc w:val="center"/>
        <w:ind w:left="2560"/>
        <w:spacing w:after="0"/>
        <w:rPr>
          <w:sz w:val="20"/>
          <w:szCs w:val="20"/>
          <w:color w:val="auto"/>
        </w:rPr>
      </w:pPr>
      <w:r>
        <w:rPr>
          <w:rFonts w:ascii="Arial" w:cs="Arial" w:eastAsia="Arial" w:hAnsi="Arial"/>
          <w:sz w:val="16"/>
          <w:szCs w:val="16"/>
          <w:b w:val="1"/>
          <w:bCs w:val="1"/>
          <w:color w:val="auto"/>
        </w:rPr>
        <w:t>Ended September 30,</w:t>
      </w:r>
    </w:p>
    <w:p>
      <w:pPr>
        <w:spacing w:after="0" w:line="19" w:lineRule="exact"/>
        <w:rPr>
          <w:sz w:val="20"/>
          <w:szCs w:val="20"/>
          <w:color w:val="auto"/>
        </w:rPr>
      </w:pPr>
    </w:p>
    <w:p>
      <w:pPr>
        <w:jc w:val="center"/>
        <w:ind w:left="256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06857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ectPr>
          <w:pgSz w:w="11900" w:h="16838" w:orient="portrait"/>
          <w:cols w:equalWidth="0" w:num="1">
            <w:col w:w="11200"/>
          </w:cols>
          <w:pgMar w:left="240" w:top="121" w:right="459" w:bottom="24" w:gutter="0" w:footer="0" w:header="0"/>
        </w:sectPr>
      </w:pP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sales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506857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Merger and integration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Restructuring expense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of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Litigation related expenses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506857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pacing w:after="0" w:line="70" w:lineRule="exact"/>
        <w:rPr>
          <w:sz w:val="20"/>
          <w:szCs w:val="20"/>
          <w:color w:val="auto"/>
        </w:rPr>
      </w:pPr>
    </w:p>
    <w:p>
      <w:pPr>
        <w:ind w:left="40" w:right="1000" w:firstLine="405"/>
        <w:spacing w:after="0" w:line="371" w:lineRule="auto"/>
        <w:rPr>
          <w:sz w:val="20"/>
          <w:szCs w:val="20"/>
          <w:color w:val="auto"/>
        </w:rPr>
      </w:pPr>
      <w:r>
        <w:rPr>
          <w:rFonts w:ascii="Arial" w:cs="Arial" w:eastAsia="Arial" w:hAnsi="Arial"/>
          <w:sz w:val="18"/>
          <w:szCs w:val="18"/>
          <w:color w:val="auto"/>
        </w:rPr>
        <w:t>Foreign exchange and other – (gain) loss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06857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 from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(benefit)</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313" w:lineRule="exact"/>
        <w:rPr>
          <w:sz w:val="20"/>
          <w:szCs w:val="20"/>
          <w:color w:val="auto"/>
        </w:rPr>
      </w:pPr>
    </w:p>
    <w:p>
      <w:pPr>
        <w:ind w:left="440" w:right="40" w:hanging="404"/>
        <w:spacing w:after="0" w:line="313" w:lineRule="auto"/>
        <w:rPr>
          <w:sz w:val="20"/>
          <w:szCs w:val="20"/>
          <w:color w:val="auto"/>
        </w:rPr>
      </w:pPr>
      <w:r>
        <w:rPr>
          <w:rFonts w:ascii="Arial" w:cs="Arial" w:eastAsia="Arial" w:hAnsi="Arial"/>
          <w:sz w:val="18"/>
          <w:szCs w:val="18"/>
          <w:color w:val="auto"/>
        </w:rPr>
        <w:t>Weighted average common shares outstanding (in Millions)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506857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Gross Profit</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06857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ind w:left="40"/>
        <w:spacing w:after="0" w:line="187" w:lineRule="auto"/>
        <w:rPr>
          <w:sz w:val="20"/>
          <w:szCs w:val="20"/>
          <w:color w:val="auto"/>
        </w:rPr>
      </w:pPr>
      <w:r>
        <w:rPr>
          <w:rFonts w:ascii="Arial" w:cs="Arial" w:eastAsia="Arial" w:hAnsi="Arial"/>
          <w:sz w:val="18"/>
          <w:szCs w:val="18"/>
          <w:color w:val="auto"/>
        </w:rPr>
        <w:t>Adjusted SG&amp;A</w:t>
      </w:r>
      <w:r>
        <w:rPr>
          <w:rFonts w:ascii="Arial" w:cs="Arial" w:eastAsia="Arial" w:hAnsi="Arial"/>
          <w:sz w:val="30"/>
          <w:szCs w:val="30"/>
          <w:color w:val="auto"/>
          <w:vertAlign w:val="superscript"/>
        </w:rPr>
        <w:t>(1)</w:t>
      </w:r>
    </w:p>
    <w:p>
      <w:pPr>
        <w:ind w:left="40"/>
        <w:spacing w:after="0" w:line="188" w:lineRule="auto"/>
        <w:rPr>
          <w:sz w:val="20"/>
          <w:szCs w:val="20"/>
          <w:color w:val="auto"/>
        </w:rPr>
      </w:pPr>
      <w:r>
        <w:rPr>
          <w:rFonts w:ascii="Arial" w:cs="Arial" w:eastAsia="Arial" w:hAnsi="Arial"/>
          <w:sz w:val="18"/>
          <w:szCs w:val="18"/>
          <w:color w:val="auto"/>
        </w:rPr>
        <w:t>Adjusted R&amp;D</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06857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ind w:left="40"/>
        <w:spacing w:after="0" w:line="188" w:lineRule="auto"/>
        <w:rPr>
          <w:sz w:val="20"/>
          <w:szCs w:val="20"/>
          <w:color w:val="auto"/>
        </w:rPr>
      </w:pPr>
      <w:r>
        <w:rPr>
          <w:rFonts w:ascii="Arial" w:cs="Arial" w:eastAsia="Arial" w:hAnsi="Arial"/>
          <w:sz w:val="18"/>
          <w:szCs w:val="18"/>
          <w:color w:val="auto"/>
        </w:rPr>
        <w:t>Adjusted Income from Operations</w:t>
      </w:r>
      <w:r>
        <w:rPr>
          <w:rFonts w:ascii="Arial" w:cs="Arial" w:eastAsia="Arial" w:hAnsi="Arial"/>
          <w:sz w:val="30"/>
          <w:szCs w:val="30"/>
          <w:color w:val="auto"/>
          <w:vertAlign w:val="superscript"/>
        </w:rPr>
        <w:t>(1)</w:t>
      </w:r>
    </w:p>
    <w:p>
      <w:pPr>
        <w:ind w:left="40"/>
        <w:spacing w:after="0" w:line="188" w:lineRule="auto"/>
        <w:rPr>
          <w:sz w:val="20"/>
          <w:szCs w:val="20"/>
          <w:color w:val="auto"/>
        </w:rPr>
      </w:pPr>
      <w:r>
        <w:rPr>
          <w:rFonts w:ascii="Arial" w:cs="Arial" w:eastAsia="Arial" w:hAnsi="Arial"/>
          <w:sz w:val="18"/>
          <w:szCs w:val="18"/>
          <w:color w:val="auto"/>
        </w:rPr>
        <w:t>Adjusted Net Income</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06857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30"/>
          <w:szCs w:val="30"/>
          <w:color w:val="auto"/>
          <w:vertAlign w:val="superscript"/>
        </w:rPr>
        <w:t>(1)</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Statistics (as a % of net sales, except for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06857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GAAP Three</w:t>
            </w:r>
          </w:p>
        </w:tc>
      </w:tr>
      <w:tr>
        <w:trPr>
          <w:trHeight w:val="229"/>
        </w:trPr>
        <w:tc>
          <w:tcPr>
            <w:tcW w:w="1940" w:type="dxa"/>
            <w:vAlign w:val="bottom"/>
          </w:tcPr>
          <w:p>
            <w:pPr>
              <w:spacing w:after="0"/>
              <w:rPr>
                <w:sz w:val="19"/>
                <w:szCs w:val="19"/>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Months Ended</w:t>
            </w:r>
          </w:p>
        </w:tc>
      </w:tr>
      <w:tr>
        <w:trPr>
          <w:trHeight w:val="251"/>
        </w:trPr>
        <w:tc>
          <w:tcPr>
            <w:tcW w:w="194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30,</w:t>
            </w:r>
          </w:p>
        </w:tc>
      </w:tr>
      <w:tr>
        <w:trPr>
          <w:trHeight w:val="250"/>
        </w:trPr>
        <w:tc>
          <w:tcPr>
            <w:tcW w:w="1940" w:type="dxa"/>
            <w:vAlign w:val="bottom"/>
          </w:tcPr>
          <w:p>
            <w:pPr>
              <w:spacing w:after="0"/>
              <w:rPr>
                <w:sz w:val="21"/>
                <w:szCs w:val="21"/>
                <w:color w:val="auto"/>
              </w:rPr>
            </w:pPr>
          </w:p>
        </w:tc>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Gross Profit</w:t>
            </w:r>
          </w:p>
        </w:tc>
        <w:tc>
          <w:tcPr>
            <w:tcW w:w="1860" w:type="dxa"/>
            <w:vAlign w:val="bottom"/>
          </w:tcPr>
          <w:p>
            <w:pPr>
              <w:jc w:val="right"/>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21"/>
                <w:szCs w:val="21"/>
                <w:color w:val="auto"/>
              </w:rPr>
            </w:pP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SG&amp;A</w:t>
            </w:r>
          </w:p>
        </w:tc>
        <w:tc>
          <w:tcPr>
            <w:tcW w:w="1860" w:type="dxa"/>
            <w:vAlign w:val="bottom"/>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23"/>
                <w:szCs w:val="23"/>
                <w:color w:val="auto"/>
              </w:rPr>
            </w:pP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R&amp;D</w:t>
            </w:r>
          </w:p>
        </w:tc>
        <w:tc>
          <w:tcPr>
            <w:tcW w:w="186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3"/>
                <w:szCs w:val="23"/>
                <w:color w:val="auto"/>
              </w:rPr>
            </w:pPr>
          </w:p>
        </w:tc>
      </w:tr>
      <w:tr>
        <w:trPr>
          <w:trHeight w:val="229"/>
        </w:trPr>
        <w:tc>
          <w:tcPr>
            <w:tcW w:w="1940" w:type="dxa"/>
            <w:vAlign w:val="bottom"/>
          </w:tcPr>
          <w:p>
            <w:pPr>
              <w:spacing w:after="0"/>
              <w:rPr>
                <w:sz w:val="20"/>
                <w:szCs w:val="20"/>
                <w:color w:val="auto"/>
              </w:rPr>
            </w:pPr>
            <w:r>
              <w:rPr>
                <w:rFonts w:ascii="Arial" w:cs="Arial" w:eastAsia="Arial" w:hAnsi="Arial"/>
                <w:sz w:val="18"/>
                <w:szCs w:val="18"/>
                <w:color w:val="auto"/>
                <w:w w:val="99"/>
              </w:rPr>
              <w:t>Income from Operations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(loss)</w:t>
            </w:r>
          </w:p>
        </w:tc>
        <w:tc>
          <w:tcPr>
            <w:tcW w:w="186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0"/>
                <w:szCs w:val="20"/>
                <w:color w:val="auto"/>
              </w:rPr>
            </w:pP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Income Tax Rate</w:t>
            </w:r>
          </w:p>
        </w:tc>
        <w:tc>
          <w:tcPr>
            <w:tcW w:w="186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-1337310</wp:posOffset>
            </wp:positionV>
            <wp:extent cx="5068570"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6857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506857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685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5068570"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6857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506857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1080" w:type="dxa"/>
        <w:tblCellMar>
          <w:top w:w="0" w:type="dxa"/>
          <w:left w:w="0" w:type="dxa"/>
          <w:bottom w:w="0" w:type="dxa"/>
          <w:right w:w="0" w:type="dxa"/>
        </w:tblCellMar>
      </w:tblPr>
      <w:tr>
        <w:trPr>
          <w:trHeight w:val="230"/>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20"/>
                <w:szCs w:val="20"/>
                <w:color w:val="auto"/>
              </w:rPr>
            </w:pPr>
          </w:p>
        </w:tc>
      </w:tr>
      <w:tr>
        <w:trPr>
          <w:trHeight w:val="291"/>
        </w:trPr>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auto"/>
            </w:tcBorders>
          </w:tcPr>
          <w:p>
            <w:pPr>
              <w:spacing w:after="0"/>
              <w:rPr>
                <w:sz w:val="24"/>
                <w:szCs w:val="24"/>
                <w:color w:val="auto"/>
              </w:rPr>
            </w:pPr>
          </w:p>
        </w:tc>
      </w:tr>
      <w:tr>
        <w:trPr>
          <w:trHeight w:val="277"/>
        </w:trPr>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auto"/>
            </w:tcBorders>
          </w:tcPr>
          <w:p>
            <w:pPr>
              <w:spacing w:after="0"/>
              <w:rPr>
                <w:sz w:val="24"/>
                <w:szCs w:val="24"/>
                <w:color w:val="auto"/>
              </w:rPr>
            </w:pPr>
          </w:p>
        </w:tc>
      </w:tr>
      <w:tr>
        <w:trPr>
          <w:trHeight w:val="797"/>
        </w:trPr>
        <w:tc>
          <w:tcPr>
            <w:tcW w:w="8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4"/>
                <w:szCs w:val="24"/>
                <w:color w:val="auto"/>
              </w:rPr>
            </w:pPr>
          </w:p>
        </w:tc>
      </w:tr>
      <w:tr>
        <w:trPr>
          <w:trHeight w:val="270"/>
        </w:trPr>
        <w:tc>
          <w:tcPr>
            <w:tcW w:w="8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r>
      <w:tr>
        <w:trPr>
          <w:trHeight w:val="291"/>
        </w:trPr>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tcPr>
          <w:p>
            <w:pPr>
              <w:spacing w:after="0"/>
              <w:rPr>
                <w:sz w:val="24"/>
                <w:szCs w:val="24"/>
                <w:color w:val="auto"/>
              </w:rPr>
            </w:pPr>
          </w:p>
        </w:tc>
      </w:tr>
      <w:tr>
        <w:trPr>
          <w:trHeight w:val="277"/>
        </w:trPr>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auto"/>
            </w:tcBorders>
          </w:tcPr>
          <w:p>
            <w:pPr>
              <w:spacing w:after="0"/>
              <w:rPr>
                <w:sz w:val="24"/>
                <w:szCs w:val="24"/>
                <w:color w:val="auto"/>
              </w:rPr>
            </w:pPr>
          </w:p>
        </w:tc>
      </w:tr>
      <w:tr>
        <w:trPr>
          <w:trHeight w:val="277"/>
        </w:trPr>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auto"/>
            </w:tcBorders>
          </w:tcPr>
          <w:p>
            <w:pPr>
              <w:spacing w:after="0"/>
              <w:rPr>
                <w:sz w:val="24"/>
                <w:szCs w:val="24"/>
                <w:color w:val="auto"/>
              </w:rPr>
            </w:pPr>
          </w:p>
        </w:tc>
      </w:tr>
      <w:tr>
        <w:trPr>
          <w:trHeight w:val="797"/>
        </w:trPr>
        <w:tc>
          <w:tcPr>
            <w:tcW w:w="8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r>
      <w:tr>
        <w:trPr>
          <w:trHeight w:val="291"/>
        </w:trPr>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auto"/>
            </w:tcBorders>
          </w:tcPr>
          <w:p>
            <w:pPr>
              <w:spacing w:after="0"/>
              <w:rPr>
                <w:sz w:val="24"/>
                <w:szCs w:val="24"/>
                <w:color w:val="auto"/>
              </w:rPr>
            </w:pPr>
          </w:p>
        </w:tc>
      </w:tr>
      <w:tr>
        <w:trPr>
          <w:trHeight w:val="527"/>
        </w:trPr>
        <w:tc>
          <w:tcPr>
            <w:tcW w:w="8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r>
      <w:tr>
        <w:trPr>
          <w:trHeight w:val="291"/>
        </w:trPr>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auto"/>
            </w:tcBorders>
          </w:tcPr>
          <w:p>
            <w:pPr>
              <w:spacing w:after="0"/>
              <w:rPr>
                <w:sz w:val="24"/>
                <w:szCs w:val="24"/>
                <w:color w:val="auto"/>
              </w:rPr>
            </w:pPr>
          </w:p>
        </w:tc>
      </w:tr>
      <w:tr>
        <w:trPr>
          <w:trHeight w:val="250"/>
        </w:trPr>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790"/>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(0.03 )</w:t>
            </w:r>
          </w:p>
        </w:tc>
      </w:tr>
      <w:tr>
        <w:trPr>
          <w:trHeight w:val="270"/>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(0.03 )</w:t>
            </w:r>
          </w:p>
        </w:tc>
      </w:tr>
      <w:tr>
        <w:trPr>
          <w:trHeight w:val="810"/>
        </w:trPr>
        <w:tc>
          <w:tcPr>
            <w:tcW w:w="8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4"/>
                <w:szCs w:val="24"/>
                <w:color w:val="auto"/>
              </w:rPr>
            </w:pPr>
          </w:p>
        </w:tc>
      </w:tr>
      <w:tr>
        <w:trPr>
          <w:trHeight w:val="270"/>
        </w:trPr>
        <w:tc>
          <w:tcPr>
            <w:tcW w:w="8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3"/>
                <w:szCs w:val="23"/>
                <w:color w:val="auto"/>
              </w:rPr>
            </w:pPr>
          </w:p>
        </w:tc>
      </w:tr>
      <w:tr>
        <w:trPr>
          <w:trHeight w:val="540"/>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24"/>
                <w:szCs w:val="24"/>
                <w:color w:val="auto"/>
              </w:rPr>
            </w:pPr>
          </w:p>
        </w:tc>
      </w:tr>
      <w:tr>
        <w:trPr>
          <w:trHeight w:val="270"/>
        </w:trPr>
        <w:tc>
          <w:tcPr>
            <w:tcW w:w="8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3"/>
                <w:szCs w:val="23"/>
                <w:color w:val="auto"/>
              </w:rPr>
            </w:pPr>
          </w:p>
        </w:tc>
      </w:tr>
      <w:tr>
        <w:trPr>
          <w:trHeight w:val="270"/>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80"/>
        <w:spacing w:after="0"/>
        <w:rPr>
          <w:sz w:val="20"/>
          <w:szCs w:val="20"/>
          <w:color w:val="auto"/>
        </w:rPr>
      </w:pPr>
      <w:r>
        <w:rPr>
          <w:rFonts w:ascii="Arial" w:cs="Arial" w:eastAsia="Arial" w:hAnsi="Arial"/>
          <w:sz w:val="16"/>
          <w:szCs w:val="16"/>
          <w:color w:val="auto"/>
        </w:rPr>
        <w:t>Adjusted</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Three Months Ended</w:t>
      </w:r>
    </w:p>
    <w:p>
      <w:pPr>
        <w:jc w:val="center"/>
        <w:ind w:right="408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13335</wp:posOffset>
            </wp:positionV>
            <wp:extent cx="21526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2650" cy="17145"/>
                    </a:xfrm>
                    <a:prstGeom prst="rect">
                      <a:avLst/>
                    </a:prstGeom>
                    <a:noFill/>
                  </pic:spPr>
                </pic:pic>
              </a:graphicData>
            </a:graphic>
          </wp:anchor>
        </w:drawing>
      </w:r>
    </w:p>
    <w:p>
      <w:pPr>
        <w:spacing w:after="0" w:line="4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380" w:type="dxa"/>
            <w:vAlign w:val="bottom"/>
          </w:tcPr>
          <w:p>
            <w:pPr>
              <w:jc w:val="right"/>
              <w:ind w:right="930"/>
              <w:spacing w:after="0"/>
              <w:rPr>
                <w:sz w:val="20"/>
                <w:szCs w:val="20"/>
                <w:color w:val="auto"/>
              </w:rPr>
            </w:pPr>
            <w:r>
              <w:rPr>
                <w:rFonts w:ascii="Arial" w:cs="Arial" w:eastAsia="Arial" w:hAnsi="Arial"/>
                <w:sz w:val="18"/>
                <w:szCs w:val="18"/>
                <w:color w:val="auto"/>
                <w:w w:val="84"/>
              </w:rPr>
              <w:t>2016</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24"/>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64.5%</w:t>
            </w:r>
          </w:p>
        </w:tc>
        <w:tc>
          <w:tcPr>
            <w:tcW w:w="124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70"/>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35.2%</w:t>
            </w:r>
          </w:p>
        </w:tc>
        <w:tc>
          <w:tcPr>
            <w:tcW w:w="12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0"/>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10.6%</w:t>
            </w:r>
          </w:p>
        </w:tc>
        <w:tc>
          <w:tcPr>
            <w:tcW w:w="12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59"/>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18.7%</w:t>
            </w:r>
          </w:p>
        </w:tc>
        <w:tc>
          <w:tcPr>
            <w:tcW w:w="12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13.0%</w:t>
            </w: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0"/>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25.5%</w:t>
            </w: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11" w:lineRule="exact"/>
        <w:rPr>
          <w:sz w:val="20"/>
          <w:szCs w:val="20"/>
          <w:color w:val="auto"/>
        </w:rPr>
      </w:pPr>
    </w:p>
    <w:p>
      <w:pPr>
        <w:sectPr>
          <w:pgSz w:w="11900" w:h="16838" w:orient="portrait"/>
          <w:cols w:equalWidth="0" w:num="2">
            <w:col w:w="4380" w:space="340"/>
            <w:col w:w="6480"/>
          </w:cols>
          <w:pgMar w:left="240" w:top="121" w:right="459" w:bottom="24" w:gutter="0" w:footer="0" w:header="0"/>
          <w:type w:val="continuous"/>
        </w:sectPr>
      </w:pPr>
    </w:p>
    <w:p>
      <w:pPr>
        <w:spacing w:after="0" w:line="249" w:lineRule="auto"/>
        <w:rPr>
          <w:sz w:val="20"/>
          <w:szCs w:val="20"/>
          <w:color w:val="auto"/>
        </w:rPr>
      </w:pPr>
      <w:r>
        <w:rPr>
          <w:rFonts w:ascii="Arial" w:cs="Arial" w:eastAsia="Arial" w:hAnsi="Arial"/>
          <w:sz w:val="15"/>
          <w:szCs w:val="15"/>
          <w:color w:val="auto"/>
        </w:rPr>
        <w:t>(1)Adjusted financial measures are Non-GAAP measures and exclude specified items as described and reconciled to compare GAAP financial measures in the Reconciliation of GAAP to non-GAAP Financial Measures contained in the press release.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 n/a is not applicable; there is no applicable adjusted net income or tax rate reported for 3Q15.</w:t>
      </w:r>
    </w:p>
    <w:p>
      <w:pPr>
        <w:sectPr>
          <w:pgSz w:w="11900" w:h="16838" w:orient="portrait"/>
          <w:cols w:equalWidth="0" w:num="1">
            <w:col w:w="11200"/>
          </w:cols>
          <w:pgMar w:left="240" w:top="121" w:right="459" w:bottom="24" w:gutter="0" w:footer="0" w:header="0"/>
          <w:type w:val="continuous"/>
        </w:sect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21" w:right="459" w:bottom="24"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 (LOSS)</w:t>
      </w:r>
    </w:p>
    <w:p>
      <w:pPr>
        <w:spacing w:after="0"/>
        <w:rPr>
          <w:sz w:val="20"/>
          <w:szCs w:val="20"/>
          <w:color w:val="auto"/>
        </w:rPr>
      </w:pPr>
      <w:r>
        <w:rPr>
          <w:rFonts w:ascii="Arial" w:cs="Arial" w:eastAsia="Arial" w:hAnsi="Arial"/>
          <w:sz w:val="18"/>
          <w:szCs w:val="18"/>
          <w:b w:val="1"/>
          <w:bCs w:val="1"/>
          <w:color w:val="auto"/>
        </w:rPr>
        <w:t>U.S. dollars in Millions, except share and per share amounts</w:t>
      </w:r>
    </w:p>
    <w:p>
      <w:pPr>
        <w:spacing w:after="0" w:line="7" w:lineRule="exact"/>
        <w:rPr>
          <w:sz w:val="20"/>
          <w:szCs w:val="20"/>
          <w:color w:val="auto"/>
        </w:rPr>
      </w:pPr>
    </w:p>
    <w:p>
      <w:pPr>
        <w:jc w:val="center"/>
        <w:ind w:left="2560"/>
        <w:spacing w:after="0"/>
        <w:rPr>
          <w:sz w:val="20"/>
          <w:szCs w:val="20"/>
          <w:color w:val="auto"/>
        </w:rPr>
      </w:pPr>
      <w:r>
        <w:rPr>
          <w:rFonts w:ascii="Arial" w:cs="Arial" w:eastAsia="Arial" w:hAnsi="Arial"/>
          <w:sz w:val="18"/>
          <w:szCs w:val="18"/>
          <w:b w:val="1"/>
          <w:bCs w:val="1"/>
          <w:color w:val="auto"/>
        </w:rPr>
        <w:t>Nine Months</w:t>
      </w:r>
    </w:p>
    <w:p>
      <w:pPr>
        <w:spacing w:after="0" w:line="11" w:lineRule="exact"/>
        <w:rPr>
          <w:sz w:val="20"/>
          <w:szCs w:val="20"/>
          <w:color w:val="auto"/>
        </w:rPr>
      </w:pPr>
    </w:p>
    <w:p>
      <w:pPr>
        <w:jc w:val="center"/>
        <w:ind w:left="2560"/>
        <w:spacing w:after="0"/>
        <w:rPr>
          <w:sz w:val="20"/>
          <w:szCs w:val="20"/>
          <w:color w:val="auto"/>
        </w:rPr>
      </w:pPr>
      <w:r>
        <w:rPr>
          <w:rFonts w:ascii="Arial" w:cs="Arial" w:eastAsia="Arial" w:hAnsi="Arial"/>
          <w:sz w:val="16"/>
          <w:szCs w:val="16"/>
          <w:b w:val="1"/>
          <w:bCs w:val="1"/>
          <w:color w:val="auto"/>
        </w:rPr>
        <w:t>Ended September 30,</w:t>
      </w:r>
    </w:p>
    <w:p>
      <w:pPr>
        <w:spacing w:after="0" w:line="19" w:lineRule="exact"/>
        <w:rPr>
          <w:sz w:val="20"/>
          <w:szCs w:val="20"/>
          <w:color w:val="auto"/>
        </w:rPr>
      </w:pPr>
    </w:p>
    <w:p>
      <w:pPr>
        <w:jc w:val="center"/>
        <w:ind w:left="256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06857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ectPr>
          <w:pgSz w:w="11900" w:h="16838" w:orient="portrait"/>
          <w:cols w:equalWidth="0" w:num="1">
            <w:col w:w="11200"/>
          </w:cols>
          <w:pgMar w:left="240" w:top="121" w:right="459" w:bottom="24" w:gutter="0" w:footer="0" w:header="0"/>
        </w:sectPr>
      </w:pP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sales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Merger and integration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Restructuring expense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of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Litigation related expenses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(loss) from operations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68570" cy="188595"/>
                    </a:xfrm>
                    <a:prstGeom prst="rect">
                      <a:avLst/>
                    </a:prstGeom>
                    <a:noFill/>
                  </pic:spPr>
                </pic:pic>
              </a:graphicData>
            </a:graphic>
          </wp:anchor>
        </w:drawing>
      </w:r>
    </w:p>
    <w:p>
      <w:pPr>
        <w:spacing w:after="0" w:line="70" w:lineRule="exact"/>
        <w:rPr>
          <w:sz w:val="20"/>
          <w:szCs w:val="20"/>
          <w:color w:val="auto"/>
        </w:rPr>
      </w:pPr>
    </w:p>
    <w:p>
      <w:pPr>
        <w:ind w:left="40" w:right="1000" w:firstLine="405"/>
        <w:spacing w:after="0" w:line="371" w:lineRule="auto"/>
        <w:rPr>
          <w:sz w:val="20"/>
          <w:szCs w:val="20"/>
          <w:color w:val="auto"/>
        </w:rPr>
      </w:pPr>
      <w:r>
        <w:rPr>
          <w:rFonts w:ascii="Arial" w:cs="Arial" w:eastAsia="Arial" w:hAnsi="Arial"/>
          <w:sz w:val="18"/>
          <w:szCs w:val="18"/>
          <w:color w:val="auto"/>
        </w:rPr>
        <w:t>Foreign exchange and other – (gain) loss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506857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 from equity method investments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97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68570" cy="19748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 income</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6857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w:t>
      </w:r>
    </w:p>
    <w:p>
      <w:pPr>
        <w:spacing w:after="0" w:line="333" w:lineRule="exact"/>
        <w:rPr>
          <w:sz w:val="20"/>
          <w:szCs w:val="20"/>
          <w:color w:val="auto"/>
        </w:rPr>
      </w:pPr>
    </w:p>
    <w:p>
      <w:pPr>
        <w:ind w:left="440" w:right="40" w:hanging="404"/>
        <w:spacing w:after="0" w:line="313" w:lineRule="auto"/>
        <w:rPr>
          <w:sz w:val="20"/>
          <w:szCs w:val="20"/>
          <w:color w:val="auto"/>
        </w:rPr>
      </w:pPr>
      <w:r>
        <w:rPr>
          <w:rFonts w:ascii="Arial" w:cs="Arial" w:eastAsia="Arial" w:hAnsi="Arial"/>
          <w:sz w:val="18"/>
          <w:szCs w:val="18"/>
          <w:color w:val="auto"/>
        </w:rPr>
        <w:t>Weighted average common shares outstanding (in Millions)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506857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506857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Gross Profit</w:t>
      </w:r>
      <w:r>
        <w:rPr>
          <w:rFonts w:ascii="Arial" w:cs="Arial" w:eastAsia="Arial" w:hAnsi="Arial"/>
          <w:sz w:val="30"/>
          <w:szCs w:val="30"/>
          <w:color w:val="auto"/>
          <w:vertAlign w:val="superscript"/>
        </w:rPr>
        <w:t>(1)</w:t>
      </w:r>
    </w:p>
    <w:p>
      <w:pPr>
        <w:ind w:left="40"/>
        <w:spacing w:after="0" w:line="187" w:lineRule="auto"/>
        <w:rPr>
          <w:sz w:val="20"/>
          <w:szCs w:val="20"/>
          <w:color w:val="auto"/>
        </w:rPr>
      </w:pPr>
      <w:r>
        <w:rPr>
          <w:rFonts w:ascii="Arial" w:cs="Arial" w:eastAsia="Arial" w:hAnsi="Arial"/>
          <w:sz w:val="18"/>
          <w:szCs w:val="18"/>
          <w:color w:val="auto"/>
        </w:rPr>
        <w:t>Adjusted SG&amp;A</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06857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ind w:left="40"/>
        <w:spacing w:after="0" w:line="188" w:lineRule="auto"/>
        <w:rPr>
          <w:sz w:val="20"/>
          <w:szCs w:val="20"/>
          <w:color w:val="auto"/>
        </w:rPr>
      </w:pPr>
      <w:r>
        <w:rPr>
          <w:rFonts w:ascii="Arial" w:cs="Arial" w:eastAsia="Arial" w:hAnsi="Arial"/>
          <w:sz w:val="18"/>
          <w:szCs w:val="18"/>
          <w:color w:val="auto"/>
        </w:rPr>
        <w:t>Adjusted R&amp;D</w:t>
      </w:r>
      <w:r>
        <w:rPr>
          <w:rFonts w:ascii="Arial" w:cs="Arial" w:eastAsia="Arial" w:hAnsi="Arial"/>
          <w:sz w:val="30"/>
          <w:szCs w:val="30"/>
          <w:color w:val="auto"/>
          <w:vertAlign w:val="superscript"/>
        </w:rPr>
        <w:t>(1)</w:t>
      </w:r>
    </w:p>
    <w:p>
      <w:pPr>
        <w:ind w:left="40"/>
        <w:spacing w:after="0" w:line="188" w:lineRule="auto"/>
        <w:rPr>
          <w:sz w:val="20"/>
          <w:szCs w:val="20"/>
          <w:color w:val="auto"/>
        </w:rPr>
      </w:pPr>
      <w:r>
        <w:rPr>
          <w:rFonts w:ascii="Arial" w:cs="Arial" w:eastAsia="Arial" w:hAnsi="Arial"/>
          <w:sz w:val="18"/>
          <w:szCs w:val="18"/>
          <w:color w:val="auto"/>
        </w:rPr>
        <w:t>Adjusted Income (loss) from Operations</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06857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ind w:left="40"/>
        <w:spacing w:after="0" w:line="188" w:lineRule="auto"/>
        <w:rPr>
          <w:sz w:val="20"/>
          <w:szCs w:val="20"/>
          <w:color w:val="auto"/>
        </w:rPr>
      </w:pPr>
      <w:r>
        <w:rPr>
          <w:rFonts w:ascii="Arial" w:cs="Arial" w:eastAsia="Arial" w:hAnsi="Arial"/>
          <w:sz w:val="18"/>
          <w:szCs w:val="18"/>
          <w:color w:val="auto"/>
        </w:rPr>
        <w:t xml:space="preserve">Adjusted Net Income (loss) </w:t>
      </w:r>
      <w:r>
        <w:rPr>
          <w:rFonts w:ascii="Arial" w:cs="Arial" w:eastAsia="Arial" w:hAnsi="Arial"/>
          <w:sz w:val="30"/>
          <w:szCs w:val="30"/>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30"/>
          <w:szCs w:val="30"/>
          <w:color w:val="auto"/>
          <w:vertAlign w:val="superscript"/>
        </w:rPr>
        <w:t>(1)</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Statistics (as a % of net sales, except for income tax rate)</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GAAP Nine</w:t>
            </w:r>
          </w:p>
        </w:tc>
      </w:tr>
      <w:tr>
        <w:trPr>
          <w:trHeight w:val="229"/>
        </w:trPr>
        <w:tc>
          <w:tcPr>
            <w:tcW w:w="1940" w:type="dxa"/>
            <w:vAlign w:val="bottom"/>
          </w:tcPr>
          <w:p>
            <w:pPr>
              <w:spacing w:after="0"/>
              <w:rPr>
                <w:sz w:val="19"/>
                <w:szCs w:val="19"/>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Months Ended</w:t>
            </w:r>
          </w:p>
        </w:tc>
      </w:tr>
      <w:tr>
        <w:trPr>
          <w:trHeight w:val="251"/>
        </w:trPr>
        <w:tc>
          <w:tcPr>
            <w:tcW w:w="194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30,</w:t>
            </w:r>
          </w:p>
        </w:tc>
      </w:tr>
      <w:tr>
        <w:trPr>
          <w:trHeight w:val="250"/>
        </w:trPr>
        <w:tc>
          <w:tcPr>
            <w:tcW w:w="1940" w:type="dxa"/>
            <w:vAlign w:val="bottom"/>
          </w:tcPr>
          <w:p>
            <w:pPr>
              <w:spacing w:after="0"/>
              <w:rPr>
                <w:sz w:val="21"/>
                <w:szCs w:val="21"/>
                <w:color w:val="auto"/>
              </w:rPr>
            </w:pPr>
          </w:p>
        </w:tc>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Gross Profit</w:t>
            </w:r>
          </w:p>
        </w:tc>
        <w:tc>
          <w:tcPr>
            <w:tcW w:w="1860" w:type="dxa"/>
            <w:vAlign w:val="bottom"/>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1"/>
                <w:szCs w:val="21"/>
                <w:color w:val="auto"/>
              </w:rPr>
            </w:pP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SG&amp;A</w:t>
            </w:r>
          </w:p>
        </w:tc>
        <w:tc>
          <w:tcPr>
            <w:tcW w:w="186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23"/>
                <w:szCs w:val="23"/>
                <w:color w:val="auto"/>
              </w:rPr>
            </w:pP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R&amp;D</w:t>
            </w:r>
          </w:p>
        </w:tc>
        <w:tc>
          <w:tcPr>
            <w:tcW w:w="18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3"/>
                <w:szCs w:val="23"/>
                <w:color w:val="auto"/>
              </w:rPr>
            </w:pPr>
          </w:p>
        </w:tc>
      </w:tr>
      <w:tr>
        <w:trPr>
          <w:trHeight w:val="229"/>
        </w:trPr>
        <w:tc>
          <w:tcPr>
            <w:tcW w:w="1940" w:type="dxa"/>
            <w:vAlign w:val="bottom"/>
          </w:tcPr>
          <w:p>
            <w:pPr>
              <w:spacing w:after="0"/>
              <w:rPr>
                <w:sz w:val="20"/>
                <w:szCs w:val="20"/>
                <w:color w:val="auto"/>
              </w:rPr>
            </w:pPr>
            <w:r>
              <w:rPr>
                <w:rFonts w:ascii="Arial" w:cs="Arial" w:eastAsia="Arial" w:hAnsi="Arial"/>
                <w:sz w:val="18"/>
                <w:szCs w:val="18"/>
                <w:color w:val="auto"/>
                <w:w w:val="99"/>
              </w:rPr>
              <w:t>Income from Operations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(loss)</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Income Tax Rate</w:t>
            </w:r>
          </w:p>
        </w:tc>
        <w:tc>
          <w:tcPr>
            <w:tcW w:w="1860" w:type="dxa"/>
            <w:vAlign w:val="bottom"/>
          </w:tcPr>
          <w:p>
            <w:pPr>
              <w:jc w:val="right"/>
              <w:spacing w:after="0"/>
              <w:rPr>
                <w:sz w:val="20"/>
                <w:szCs w:val="20"/>
                <w:color w:val="auto"/>
              </w:rPr>
            </w:pPr>
            <w:r>
              <w:rPr>
                <w:rFonts w:ascii="Arial" w:cs="Arial" w:eastAsia="Arial" w:hAnsi="Arial"/>
                <w:sz w:val="18"/>
                <w:szCs w:val="18"/>
                <w:color w:val="auto"/>
              </w:rPr>
              <w:t>514.4%</w:t>
            </w: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-1645920</wp:posOffset>
            </wp:positionV>
            <wp:extent cx="506857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6857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506857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685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506857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685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506857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1040" w:type="dxa"/>
        <w:tblCellMar>
          <w:top w:w="0" w:type="dxa"/>
          <w:left w:w="0" w:type="dxa"/>
          <w:bottom w:w="0" w:type="dxa"/>
          <w:right w:w="0" w:type="dxa"/>
        </w:tblCellMar>
      </w:tblPr>
      <w:tr>
        <w:trPr>
          <w:trHeight w:val="230"/>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903.3</w:t>
            </w:r>
          </w:p>
        </w:tc>
      </w:tr>
      <w:tr>
        <w:trPr>
          <w:trHeight w:val="291"/>
        </w:trPr>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360.7</w:t>
            </w:r>
          </w:p>
        </w:tc>
      </w:tr>
      <w:tr>
        <w:trPr>
          <w:trHeight w:val="277"/>
        </w:trPr>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542.6</w:t>
            </w:r>
          </w:p>
        </w:tc>
      </w:tr>
      <w:tr>
        <w:trPr>
          <w:trHeight w:val="797"/>
        </w:trPr>
        <w:tc>
          <w:tcPr>
            <w:tcW w:w="880" w:type="dxa"/>
            <w:vAlign w:val="bottom"/>
          </w:tcPr>
          <w:p>
            <w:pPr>
              <w:spacing w:after="0"/>
              <w:rPr>
                <w:sz w:val="24"/>
                <w:szCs w:val="24"/>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343.3</w:t>
            </w:r>
          </w:p>
        </w:tc>
      </w:tr>
      <w:tr>
        <w:trPr>
          <w:trHeight w:val="270"/>
        </w:trPr>
        <w:tc>
          <w:tcPr>
            <w:tcW w:w="88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94.1</w:t>
            </w:r>
          </w:p>
        </w:tc>
      </w:tr>
      <w:tr>
        <w:trPr>
          <w:trHeight w:val="270"/>
        </w:trPr>
        <w:tc>
          <w:tcPr>
            <w:tcW w:w="88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20.5</w:t>
            </w:r>
          </w:p>
        </w:tc>
      </w:tr>
      <w:tr>
        <w:trPr>
          <w:trHeight w:val="270"/>
        </w:trPr>
        <w:tc>
          <w:tcPr>
            <w:tcW w:w="88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37.2</w:t>
            </w:r>
          </w:p>
        </w:tc>
      </w:tr>
      <w:tr>
        <w:trPr>
          <w:trHeight w:val="270"/>
        </w:trPr>
        <w:tc>
          <w:tcPr>
            <w:tcW w:w="88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34.0</w:t>
            </w:r>
          </w:p>
        </w:tc>
      </w:tr>
      <w:tr>
        <w:trPr>
          <w:trHeight w:val="291"/>
        </w:trPr>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w:t>
            </w:r>
          </w:p>
        </w:tc>
      </w:tr>
      <w:tr>
        <w:trPr>
          <w:trHeight w:val="277"/>
        </w:trPr>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533.8</w:t>
            </w:r>
          </w:p>
        </w:tc>
      </w:tr>
      <w:tr>
        <w:trPr>
          <w:trHeight w:val="277"/>
        </w:trPr>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r>
      <w:tr>
        <w:trPr>
          <w:trHeight w:val="797"/>
        </w:trPr>
        <w:tc>
          <w:tcPr>
            <w:tcW w:w="880" w:type="dxa"/>
            <w:vAlign w:val="bottom"/>
          </w:tcPr>
          <w:p>
            <w:pPr>
              <w:spacing w:after="0"/>
              <w:rPr>
                <w:sz w:val="24"/>
                <w:szCs w:val="24"/>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5.5</w:t>
            </w:r>
          </w:p>
        </w:tc>
      </w:tr>
      <w:tr>
        <w:trPr>
          <w:trHeight w:val="291"/>
        </w:trPr>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w:t>
            </w:r>
          </w:p>
        </w:tc>
      </w:tr>
      <w:tr>
        <w:trPr>
          <w:trHeight w:val="277"/>
        </w:trPr>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w:t>
            </w:r>
          </w:p>
        </w:tc>
      </w:tr>
      <w:tr>
        <w:trPr>
          <w:trHeight w:val="527"/>
        </w:trPr>
        <w:tc>
          <w:tcPr>
            <w:tcW w:w="880" w:type="dxa"/>
            <w:vAlign w:val="bottom"/>
          </w:tcPr>
          <w:p>
            <w:pPr>
              <w:spacing w:after="0"/>
              <w:rPr>
                <w:sz w:val="24"/>
                <w:szCs w:val="24"/>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19.4</w:t>
            </w:r>
          </w:p>
        </w:tc>
      </w:tr>
      <w:tr>
        <w:trPr>
          <w:trHeight w:val="291"/>
        </w:trPr>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w:t>
            </w:r>
          </w:p>
        </w:tc>
      </w:tr>
      <w:tr>
        <w:trPr>
          <w:trHeight w:val="250"/>
        </w:trPr>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(33.0 )</w:t>
            </w:r>
          </w:p>
        </w:tc>
      </w:tr>
      <w:tr>
        <w:trPr>
          <w:trHeight w:val="27"/>
        </w:trPr>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790"/>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(0.67 )</w:t>
            </w:r>
          </w:p>
        </w:tc>
      </w:tr>
      <w:tr>
        <w:trPr>
          <w:trHeight w:val="270"/>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(0.67 )</w:t>
            </w:r>
          </w:p>
        </w:tc>
      </w:tr>
      <w:tr>
        <w:trPr>
          <w:trHeight w:val="810"/>
        </w:trPr>
        <w:tc>
          <w:tcPr>
            <w:tcW w:w="880" w:type="dxa"/>
            <w:vAlign w:val="bottom"/>
          </w:tcPr>
          <w:p>
            <w:pPr>
              <w:spacing w:after="0"/>
              <w:rPr>
                <w:sz w:val="24"/>
                <w:szCs w:val="24"/>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49.0</w:t>
            </w:r>
          </w:p>
        </w:tc>
      </w:tr>
      <w:tr>
        <w:trPr>
          <w:trHeight w:val="270"/>
        </w:trPr>
        <w:tc>
          <w:tcPr>
            <w:tcW w:w="88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49.0</w:t>
            </w:r>
          </w:p>
        </w:tc>
      </w:tr>
      <w:tr>
        <w:trPr>
          <w:trHeight w:val="540"/>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584.5</w:t>
            </w:r>
          </w:p>
        </w:tc>
      </w:tr>
      <w:tr>
        <w:trPr>
          <w:trHeight w:val="270"/>
        </w:trPr>
        <w:tc>
          <w:tcPr>
            <w:tcW w:w="88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330.5</w:t>
            </w:r>
          </w:p>
        </w:tc>
      </w:tr>
      <w:tr>
        <w:trPr>
          <w:trHeight w:val="270"/>
        </w:trPr>
        <w:tc>
          <w:tcPr>
            <w:tcW w:w="88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92.5</w:t>
            </w:r>
          </w:p>
        </w:tc>
      </w:tr>
      <w:tr>
        <w:trPr>
          <w:trHeight w:val="270"/>
        </w:trPr>
        <w:tc>
          <w:tcPr>
            <w:tcW w:w="88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161.5</w:t>
            </w:r>
          </w:p>
        </w:tc>
      </w:tr>
      <w:tr>
        <w:trPr>
          <w:trHeight w:val="270"/>
        </w:trPr>
        <w:tc>
          <w:tcPr>
            <w:tcW w:w="88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107.8</w:t>
            </w:r>
          </w:p>
        </w:tc>
      </w:tr>
      <w:tr>
        <w:trPr>
          <w:trHeight w:val="270"/>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2.20</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Adjusted</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Nine Months Ended</w:t>
      </w:r>
    </w:p>
    <w:p>
      <w:pPr>
        <w:jc w:val="center"/>
        <w:ind w:right="4120"/>
        <w:spacing w:after="0"/>
        <w:rPr>
          <w:sz w:val="20"/>
          <w:szCs w:val="20"/>
          <w:color w:val="auto"/>
        </w:rPr>
      </w:pPr>
      <w:r>
        <w:rPr>
          <w:rFonts w:ascii="Arial" w:cs="Arial" w:eastAsia="Arial" w:hAnsi="Arial"/>
          <w:sz w:val="18"/>
          <w:szCs w:val="18"/>
          <w:color w:val="auto"/>
        </w:rPr>
        <w:t>September 30,</w:t>
      </w:r>
    </w:p>
    <w:p>
      <w:pPr>
        <w:spacing w:after="0" w:line="6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80" w:type="dxa"/>
            <w:vAlign w:val="bottom"/>
          </w:tcPr>
          <w:p>
            <w:pPr>
              <w:jc w:val="right"/>
              <w:ind w:right="930"/>
              <w:spacing w:after="0"/>
              <w:rPr>
                <w:sz w:val="20"/>
                <w:szCs w:val="20"/>
                <w:color w:val="auto"/>
              </w:rPr>
            </w:pPr>
            <w:r>
              <w:rPr>
                <w:rFonts w:ascii="Arial" w:cs="Arial" w:eastAsia="Arial" w:hAnsi="Arial"/>
                <w:sz w:val="18"/>
                <w:szCs w:val="18"/>
                <w:color w:val="auto"/>
                <w:w w:val="84"/>
              </w:rPr>
              <w:t>2016</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24"/>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64.7%</w:t>
            </w:r>
          </w:p>
        </w:tc>
        <w:tc>
          <w:tcPr>
            <w:tcW w:w="124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70"/>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36.6%</w:t>
            </w:r>
          </w:p>
        </w:tc>
        <w:tc>
          <w:tcPr>
            <w:tcW w:w="124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0"/>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59"/>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17.9%</w:t>
            </w:r>
          </w:p>
        </w:tc>
        <w:tc>
          <w:tcPr>
            <w:tcW w:w="12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11.9%</w:t>
            </w: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0"/>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26.3%</w:t>
            </w: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-1174115</wp:posOffset>
            </wp:positionV>
            <wp:extent cx="2152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2650" cy="889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-1148715</wp:posOffset>
            </wp:positionV>
            <wp:extent cx="2152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4380" w:space="380"/>
            <w:col w:w="6440"/>
          </w:cols>
          <w:pgMar w:left="240" w:top="121" w:right="459" w:bottom="24" w:gutter="0" w:footer="0" w:header="0"/>
          <w:type w:val="continuous"/>
        </w:sectPr>
      </w:pPr>
    </w:p>
    <w:p>
      <w:pPr>
        <w:spacing w:after="0" w:line="249" w:lineRule="auto"/>
        <w:rPr>
          <w:sz w:val="20"/>
          <w:szCs w:val="20"/>
          <w:color w:val="auto"/>
        </w:rPr>
      </w:pPr>
      <w:r>
        <w:rPr>
          <w:rFonts w:ascii="Arial" w:cs="Arial" w:eastAsia="Arial" w:hAnsi="Arial"/>
          <w:sz w:val="15"/>
          <w:szCs w:val="15"/>
          <w:color w:val="auto"/>
        </w:rPr>
        <w:t>(1)Adjusted financial measures are Non-GAAP measures and exclude specified items as described and reconciled to compare GAAP financial measures in the Reconciliation of GAAP to non-GAAP Financial Measures contained in the press release.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 n/a is not applicable; there is no applicable adjusted net income or tax rate reported for 3Q15.</w:t>
      </w:r>
    </w:p>
    <w:p>
      <w:pPr>
        <w:sectPr>
          <w:pgSz w:w="11900" w:h="16838" w:orient="portrait"/>
          <w:cols w:equalWidth="0" w:num="1">
            <w:col w:w="11200"/>
          </w:cols>
          <w:pgMar w:left="240" w:top="121" w:right="459" w:bottom="24" w:gutter="0" w:footer="0" w:header="0"/>
          <w:type w:val="continuous"/>
        </w:sect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21" w:right="459" w:bottom="24" w:gutter="0" w:footer="0" w:header="0"/>
          <w:type w:val="continuous"/>
        </w:sectPr>
      </w:pPr>
    </w:p>
    <w:bookmarkStart w:id="17" w:name="page18"/>
    <w:bookmarkEnd w:id="17"/>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187" w:lineRule="auto"/>
        <w:rPr>
          <w:sz w:val="20"/>
          <w:szCs w:val="20"/>
          <w:color w:val="auto"/>
        </w:rPr>
      </w:pPr>
      <w:r>
        <w:rPr>
          <w:rFonts w:ascii="Arial" w:cs="Arial" w:eastAsia="Arial" w:hAnsi="Arial"/>
          <w:sz w:val="18"/>
          <w:szCs w:val="18"/>
          <w:b w:val="1"/>
          <w:bCs w:val="1"/>
          <w:color w:val="auto"/>
        </w:rPr>
        <w:t>RECONCILIATION OF GAAP TO NON-GAAP FINANCIAL MEASURES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 except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Sales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70"/>
              <w:spacing w:after="0" w:line="162" w:lineRule="exact"/>
              <w:rPr>
                <w:sz w:val="20"/>
                <w:szCs w:val="20"/>
                <w:color w:val="auto"/>
              </w:rPr>
            </w:pPr>
            <w:r>
              <w:rPr>
                <w:rFonts w:ascii="Arial" w:cs="Arial" w:eastAsia="Arial" w:hAnsi="Arial"/>
                <w:sz w:val="18"/>
                <w:szCs w:val="18"/>
                <w:b w:val="1"/>
                <w:bCs w:val="1"/>
                <w:color w:val="auto"/>
                <w:w w:val="93"/>
              </w:rPr>
              <w:t>From</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0"/>
              <w:spacing w:after="0" w:line="162" w:lineRule="exact"/>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4"/>
              </w:rPr>
              <w:t>Diluted EPS</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September 30, 2016</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Profit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Operations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3"/>
              </w:rPr>
              <w:t>(loss)</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460" w:type="dxa"/>
            <w:vAlign w:val="bottom"/>
            <w:gridSpan w:val="2"/>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120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gridSpan w:val="2"/>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Financial Measures</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188.8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23.0</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(1.6 )</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70"/>
        </w:trPr>
        <w:tc>
          <w:tcPr>
            <w:tcW w:w="2380" w:type="dxa"/>
            <w:vAlign w:val="bottom"/>
          </w:tcPr>
          <w:p>
            <w:pPr>
              <w:ind w:left="40"/>
              <w:spacing w:after="0"/>
              <w:rPr>
                <w:sz w:val="20"/>
                <w:szCs w:val="20"/>
                <w:color w:val="auto"/>
              </w:rPr>
            </w:pPr>
            <w:r>
              <w:rPr>
                <w:rFonts w:ascii="Arial" w:cs="Arial" w:eastAsia="Arial" w:hAnsi="Arial"/>
                <w:sz w:val="18"/>
                <w:szCs w:val="18"/>
                <w:color w:val="auto"/>
              </w:rPr>
              <w:t>Specified Items</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480"/>
              <w:spacing w:after="0" w:line="165" w:lineRule="exact"/>
              <w:rPr>
                <w:sz w:val="20"/>
                <w:szCs w:val="20"/>
                <w:color w:val="auto"/>
              </w:rPr>
            </w:pPr>
            <w:r>
              <w:rPr>
                <w:rFonts w:ascii="Arial" w:cs="Arial" w:eastAsia="Arial" w:hAnsi="Arial"/>
                <w:sz w:val="18"/>
                <w:szCs w:val="18"/>
                <w:color w:val="auto"/>
              </w:rPr>
              <w:t>Merger and integration</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380" w:type="dxa"/>
            <w:vAlign w:val="bottom"/>
            <w:shd w:val="clear" w:color="auto" w:fill="CCEEFF"/>
          </w:tcPr>
          <w:p>
            <w:pPr>
              <w:ind w:left="40"/>
              <w:spacing w:after="0" w:line="240" w:lineRule="exact"/>
              <w:rPr>
                <w:sz w:val="20"/>
                <w:szCs w:val="20"/>
                <w:color w:val="auto"/>
              </w:rPr>
            </w:pPr>
            <w:r>
              <w:rPr>
                <w:rFonts w:ascii="Arial" w:cs="Arial" w:eastAsia="Arial" w:hAnsi="Arial"/>
                <w:sz w:val="17"/>
                <w:szCs w:val="17"/>
                <w:color w:val="auto"/>
              </w:rPr>
              <w:t>expense</w:t>
            </w:r>
            <w:r>
              <w:rPr>
                <w:rFonts w:ascii="Arial" w:cs="Arial" w:eastAsia="Arial" w:hAnsi="Arial"/>
                <w:sz w:val="27"/>
                <w:szCs w:val="27"/>
                <w:color w:val="auto"/>
                <w:vertAlign w:val="superscript"/>
              </w:rPr>
              <w:t>(A)</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0"/>
        </w:trPr>
        <w:tc>
          <w:tcPr>
            <w:tcW w:w="2380" w:type="dxa"/>
            <w:vAlign w:val="bottom"/>
          </w:tcPr>
          <w:p>
            <w:pPr>
              <w:ind w:left="480"/>
              <w:spacing w:after="0" w:line="269" w:lineRule="exact"/>
              <w:rPr>
                <w:sz w:val="20"/>
                <w:szCs w:val="20"/>
                <w:color w:val="auto"/>
              </w:rPr>
            </w:pPr>
            <w:r>
              <w:rPr>
                <w:rFonts w:ascii="Arial" w:cs="Arial" w:eastAsia="Arial" w:hAnsi="Arial"/>
                <w:sz w:val="18"/>
                <w:szCs w:val="18"/>
                <w:color w:val="auto"/>
                <w:w w:val="90"/>
              </w:rPr>
              <w:t>Restructuring expense</w:t>
            </w:r>
            <w:r>
              <w:rPr>
                <w:rFonts w:ascii="Arial" w:cs="Arial" w:eastAsia="Arial" w:hAnsi="Arial"/>
                <w:sz w:val="30"/>
                <w:szCs w:val="30"/>
                <w:color w:val="auto"/>
                <w:w w:val="90"/>
                <w:vertAlign w:val="superscript"/>
              </w:rPr>
              <w:t>(B)</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480"/>
              <w:spacing w:after="0" w:line="165" w:lineRule="exact"/>
              <w:rPr>
                <w:sz w:val="20"/>
                <w:szCs w:val="20"/>
                <w:color w:val="auto"/>
              </w:rPr>
            </w:pPr>
            <w:r>
              <w:rPr>
                <w:rFonts w:ascii="Arial" w:cs="Arial" w:eastAsia="Arial" w:hAnsi="Arial"/>
                <w:sz w:val="18"/>
                <w:szCs w:val="18"/>
                <w:color w:val="auto"/>
              </w:rPr>
              <w:t>Amortization of</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380" w:type="dxa"/>
            <w:vAlign w:val="bottom"/>
            <w:shd w:val="clear" w:color="auto" w:fill="CCEEFF"/>
          </w:tcPr>
          <w:p>
            <w:pPr>
              <w:ind w:left="40"/>
              <w:spacing w:after="0" w:line="240" w:lineRule="exact"/>
              <w:rPr>
                <w:sz w:val="20"/>
                <w:szCs w:val="20"/>
                <w:color w:val="auto"/>
              </w:rPr>
            </w:pPr>
            <w:r>
              <w:rPr>
                <w:rFonts w:ascii="Arial" w:cs="Arial" w:eastAsia="Arial" w:hAnsi="Arial"/>
                <w:sz w:val="17"/>
                <w:szCs w:val="17"/>
                <w:color w:val="auto"/>
              </w:rPr>
              <w:t>intangible assets</w:t>
            </w:r>
            <w:r>
              <w:rPr>
                <w:rFonts w:ascii="Arial" w:cs="Arial" w:eastAsia="Arial" w:hAnsi="Arial"/>
                <w:sz w:val="27"/>
                <w:szCs w:val="27"/>
                <w:color w:val="auto"/>
                <w:vertAlign w:val="superscript"/>
              </w:rPr>
              <w:t>(C)</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65"/>
        </w:trPr>
        <w:tc>
          <w:tcPr>
            <w:tcW w:w="2380" w:type="dxa"/>
            <w:vAlign w:val="bottom"/>
          </w:tcPr>
          <w:p>
            <w:pPr>
              <w:ind w:left="480"/>
              <w:spacing w:after="0" w:line="165" w:lineRule="exact"/>
              <w:rPr>
                <w:sz w:val="20"/>
                <w:szCs w:val="20"/>
                <w:color w:val="auto"/>
              </w:rPr>
            </w:pPr>
            <w:r>
              <w:rPr>
                <w:rFonts w:ascii="Arial" w:cs="Arial" w:eastAsia="Arial" w:hAnsi="Arial"/>
                <w:sz w:val="18"/>
                <w:szCs w:val="18"/>
                <w:color w:val="auto"/>
                <w:w w:val="90"/>
              </w:rPr>
              <w:t>Other income/expenses &amp;</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380" w:type="dxa"/>
            <w:vAlign w:val="bottom"/>
          </w:tcPr>
          <w:p>
            <w:pPr>
              <w:ind w:left="40"/>
              <w:spacing w:after="0" w:line="240" w:lineRule="exact"/>
              <w:rPr>
                <w:sz w:val="20"/>
                <w:szCs w:val="20"/>
                <w:color w:val="auto"/>
              </w:rPr>
            </w:pPr>
            <w:r>
              <w:rPr>
                <w:rFonts w:ascii="Arial" w:cs="Arial" w:eastAsia="Arial" w:hAnsi="Arial"/>
                <w:sz w:val="17"/>
                <w:szCs w:val="17"/>
                <w:color w:val="auto"/>
              </w:rPr>
              <w:t>litigation</w:t>
            </w:r>
            <w:r>
              <w:rPr>
                <w:rFonts w:ascii="Arial" w:cs="Arial" w:eastAsia="Arial" w:hAnsi="Arial"/>
                <w:sz w:val="27"/>
                <w:szCs w:val="27"/>
                <w:color w:val="auto"/>
                <w:vertAlign w:val="superscript"/>
              </w:rPr>
              <w:t>(D)</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480"/>
              <w:spacing w:after="0" w:line="165" w:lineRule="exact"/>
              <w:rPr>
                <w:sz w:val="20"/>
                <w:szCs w:val="20"/>
                <w:color w:val="auto"/>
              </w:rPr>
            </w:pPr>
            <w:r>
              <w:rPr>
                <w:rFonts w:ascii="Arial" w:cs="Arial" w:eastAsia="Arial" w:hAnsi="Arial"/>
                <w:sz w:val="18"/>
                <w:szCs w:val="18"/>
                <w:color w:val="auto"/>
                <w:w w:val="99"/>
              </w:rPr>
              <w:t>Write-off of investments</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380" w:type="dxa"/>
            <w:vAlign w:val="bottom"/>
            <w:shd w:val="clear" w:color="auto" w:fill="CCEEFF"/>
          </w:tcPr>
          <w:p>
            <w:pPr>
              <w:ind w:left="40"/>
              <w:spacing w:after="0" w:line="240" w:lineRule="exact"/>
              <w:rPr>
                <w:sz w:val="20"/>
                <w:szCs w:val="20"/>
                <w:color w:val="auto"/>
              </w:rPr>
            </w:pPr>
            <w:r>
              <w:rPr>
                <w:rFonts w:ascii="Arial" w:cs="Arial" w:eastAsia="Arial" w:hAnsi="Arial"/>
                <w:sz w:val="17"/>
                <w:szCs w:val="17"/>
                <w:color w:val="auto"/>
              </w:rPr>
              <w:t>in minorities</w:t>
            </w:r>
            <w:r>
              <w:rPr>
                <w:rFonts w:ascii="Arial" w:cs="Arial" w:eastAsia="Arial" w:hAnsi="Arial"/>
                <w:sz w:val="27"/>
                <w:szCs w:val="27"/>
                <w:color w:val="auto"/>
                <w:vertAlign w:val="superscript"/>
              </w:rPr>
              <w:t>(E</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65"/>
        </w:trPr>
        <w:tc>
          <w:tcPr>
            <w:tcW w:w="2380" w:type="dxa"/>
            <w:vAlign w:val="bottom"/>
          </w:tcPr>
          <w:p>
            <w:pPr>
              <w:ind w:left="480"/>
              <w:spacing w:after="0" w:line="165" w:lineRule="exact"/>
              <w:rPr>
                <w:sz w:val="20"/>
                <w:szCs w:val="20"/>
                <w:color w:val="auto"/>
              </w:rPr>
            </w:pPr>
            <w:r>
              <w:rPr>
                <w:rFonts w:ascii="Arial" w:cs="Arial" w:eastAsia="Arial" w:hAnsi="Arial"/>
                <w:sz w:val="18"/>
                <w:szCs w:val="18"/>
                <w:color w:val="auto"/>
                <w:w w:val="95"/>
              </w:rPr>
              <w:t>Impact of inventory step-</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380" w:type="dxa"/>
            <w:vAlign w:val="bottom"/>
          </w:tcPr>
          <w:p>
            <w:pPr>
              <w:ind w:left="40"/>
              <w:spacing w:after="0" w:line="240" w:lineRule="exact"/>
              <w:rPr>
                <w:sz w:val="20"/>
                <w:szCs w:val="20"/>
                <w:color w:val="auto"/>
              </w:rPr>
            </w:pPr>
            <w:r>
              <w:rPr>
                <w:rFonts w:ascii="Arial" w:cs="Arial" w:eastAsia="Arial" w:hAnsi="Arial"/>
                <w:sz w:val="27"/>
                <w:szCs w:val="27"/>
                <w:color w:val="auto"/>
                <w:vertAlign w:val="subscript"/>
              </w:rPr>
              <w:t>up</w:t>
            </w:r>
            <w:r>
              <w:rPr>
                <w:rFonts w:ascii="Arial" w:cs="Arial" w:eastAsia="Arial" w:hAnsi="Arial"/>
                <w:sz w:val="13"/>
                <w:szCs w:val="13"/>
                <w:color w:val="auto"/>
              </w:rPr>
              <w:t>(F))</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80"/>
              <w:spacing w:after="0" w:line="269" w:lineRule="exact"/>
              <w:rPr>
                <w:sz w:val="20"/>
                <w:szCs w:val="20"/>
                <w:color w:val="auto"/>
              </w:rPr>
            </w:pPr>
            <w:r>
              <w:rPr>
                <w:rFonts w:ascii="Arial" w:cs="Arial" w:eastAsia="Arial" w:hAnsi="Arial"/>
                <w:sz w:val="18"/>
                <w:szCs w:val="18"/>
                <w:color w:val="auto"/>
                <w:w w:val="95"/>
              </w:rPr>
              <w:t>Equity compensation</w:t>
            </w:r>
            <w:r>
              <w:rPr>
                <w:rFonts w:ascii="Arial" w:cs="Arial" w:eastAsia="Arial" w:hAnsi="Arial"/>
                <w:sz w:val="30"/>
                <w:szCs w:val="30"/>
                <w:color w:val="auto"/>
                <w:w w:val="95"/>
                <w:vertAlign w:val="superscript"/>
              </w:rPr>
              <w:t>(G)</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65"/>
        </w:trPr>
        <w:tc>
          <w:tcPr>
            <w:tcW w:w="2380" w:type="dxa"/>
            <w:vAlign w:val="bottom"/>
          </w:tcPr>
          <w:p>
            <w:pPr>
              <w:ind w:left="460"/>
              <w:spacing w:after="0" w:line="165" w:lineRule="exact"/>
              <w:rPr>
                <w:sz w:val="20"/>
                <w:szCs w:val="20"/>
                <w:color w:val="auto"/>
              </w:rPr>
            </w:pPr>
            <w:r>
              <w:rPr>
                <w:rFonts w:ascii="Arial" w:cs="Arial" w:eastAsia="Arial" w:hAnsi="Arial"/>
                <w:sz w:val="18"/>
                <w:szCs w:val="18"/>
                <w:color w:val="auto"/>
              </w:rPr>
              <w:t>Certain tax</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0"/>
        </w:trPr>
        <w:tc>
          <w:tcPr>
            <w:tcW w:w="2380" w:type="dxa"/>
            <w:vAlign w:val="bottom"/>
          </w:tcPr>
          <w:p>
            <w:pPr>
              <w:ind w:left="460"/>
              <w:spacing w:after="0" w:line="213" w:lineRule="exact"/>
              <w:rPr>
                <w:sz w:val="20"/>
                <w:szCs w:val="20"/>
                <w:color w:val="auto"/>
              </w:rPr>
            </w:pPr>
            <w:r>
              <w:rPr>
                <w:rFonts w:ascii="Arial" w:cs="Arial" w:eastAsia="Arial" w:hAnsi="Arial"/>
                <w:sz w:val="15"/>
                <w:szCs w:val="15"/>
                <w:color w:val="auto"/>
              </w:rPr>
              <w:t>adjustments</w:t>
            </w:r>
            <w:r>
              <w:rPr>
                <w:rFonts w:ascii="Arial" w:cs="Arial" w:eastAsia="Arial" w:hAnsi="Arial"/>
                <w:sz w:val="24"/>
                <w:szCs w:val="24"/>
                <w:color w:val="auto"/>
                <w:vertAlign w:val="superscript"/>
              </w:rPr>
              <w:t>(H)</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financial measures</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3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190.4</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55.2</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38.3</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GAAP results for the three months ended Setember 30, 2016 include:</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30"/>
          <w:szCs w:val="30"/>
          <w:color w:val="auto"/>
          <w:vertAlign w:val="superscript"/>
        </w:rPr>
        <w:t>(A)</w:t>
      </w:r>
      <w:r>
        <w:rPr>
          <w:rFonts w:ascii="Arial" w:cs="Arial" w:eastAsia="Arial" w:hAnsi="Arial"/>
          <w:sz w:val="18"/>
          <w:szCs w:val="18"/>
          <w:color w:val="auto"/>
        </w:rPr>
        <w:t>Expenses related to merger and integration activities..</w:t>
      </w:r>
    </w:p>
    <w:p>
      <w:pPr>
        <w:ind w:left="140"/>
        <w:spacing w:after="0" w:line="180" w:lineRule="auto"/>
        <w:rPr>
          <w:sz w:val="20"/>
          <w:szCs w:val="20"/>
          <w:color w:val="auto"/>
        </w:rPr>
      </w:pPr>
      <w:r>
        <w:rPr>
          <w:rFonts w:ascii="Arial" w:cs="Arial" w:eastAsia="Arial" w:hAnsi="Arial"/>
          <w:sz w:val="24"/>
          <w:szCs w:val="24"/>
          <w:color w:val="auto"/>
          <w:vertAlign w:val="superscript"/>
        </w:rPr>
        <w:t>(B)</w:t>
      </w:r>
      <w:r>
        <w:rPr>
          <w:rFonts w:ascii="Arial" w:cs="Arial" w:eastAsia="Arial" w:hAnsi="Arial"/>
          <w:sz w:val="15"/>
          <w:szCs w:val="15"/>
          <w:color w:val="auto"/>
        </w:rPr>
        <w:t>Restructuring expenses, including CRM restructuring announced March 10, 2016, severance related to corporate and shared service synergies and recent organizational changes</w:t>
      </w:r>
    </w:p>
    <w:p>
      <w:pPr>
        <w:ind w:left="140"/>
        <w:spacing w:after="0" w:line="188" w:lineRule="auto"/>
        <w:rPr>
          <w:sz w:val="20"/>
          <w:szCs w:val="20"/>
          <w:color w:val="auto"/>
        </w:rPr>
      </w:pPr>
      <w:r>
        <w:rPr>
          <w:rFonts w:ascii="Arial" w:cs="Arial" w:eastAsia="Arial" w:hAnsi="Arial"/>
          <w:sz w:val="30"/>
          <w:szCs w:val="30"/>
          <w:color w:val="auto"/>
          <w:vertAlign w:val="superscript"/>
        </w:rPr>
        <w:t>(C)</w:t>
      </w:r>
      <w:r>
        <w:rPr>
          <w:rFonts w:ascii="Arial" w:cs="Arial" w:eastAsia="Arial" w:hAnsi="Arial"/>
          <w:sz w:val="18"/>
          <w:szCs w:val="18"/>
          <w:color w:val="auto"/>
        </w:rPr>
        <w:t>Includes amortization associated with final purchase price accounting.</w:t>
      </w:r>
    </w:p>
    <w:p>
      <w:pPr>
        <w:ind w:left="140"/>
        <w:spacing w:after="0" w:line="188" w:lineRule="auto"/>
        <w:rPr>
          <w:sz w:val="20"/>
          <w:szCs w:val="20"/>
          <w:color w:val="auto"/>
        </w:rPr>
      </w:pPr>
      <w:r>
        <w:rPr>
          <w:rFonts w:ascii="Arial" w:cs="Arial" w:eastAsia="Arial" w:hAnsi="Arial"/>
          <w:sz w:val="30"/>
          <w:szCs w:val="30"/>
          <w:color w:val="auto"/>
          <w:vertAlign w:val="superscript"/>
        </w:rPr>
        <w:t>(D)</w:t>
      </w:r>
      <w:r>
        <w:rPr>
          <w:rFonts w:ascii="Arial" w:cs="Arial" w:eastAsia="Arial" w:hAnsi="Arial"/>
          <w:sz w:val="18"/>
          <w:szCs w:val="18"/>
          <w:color w:val="auto"/>
        </w:rPr>
        <w:t>$1.3m expense primarily associated with litigation related to 3T Heater-Cooler devices; $0.9 Million related to other litigations.</w:t>
      </w:r>
    </w:p>
    <w:p>
      <w:pPr>
        <w:ind w:left="140"/>
        <w:spacing w:after="0" w:line="188" w:lineRule="auto"/>
        <w:rPr>
          <w:sz w:val="20"/>
          <w:szCs w:val="20"/>
          <w:color w:val="auto"/>
        </w:rPr>
      </w:pPr>
      <w:r>
        <w:rPr>
          <w:rFonts w:ascii="Arial" w:cs="Arial" w:eastAsia="Arial" w:hAnsi="Arial"/>
          <w:sz w:val="30"/>
          <w:szCs w:val="30"/>
          <w:color w:val="auto"/>
          <w:vertAlign w:val="superscript"/>
        </w:rPr>
        <w:t>(E)</w:t>
      </w:r>
      <w:r>
        <w:rPr>
          <w:rFonts w:ascii="Arial" w:cs="Arial" w:eastAsia="Arial" w:hAnsi="Arial"/>
          <w:sz w:val="18"/>
          <w:szCs w:val="18"/>
          <w:color w:val="auto"/>
        </w:rPr>
        <w:t>$9.2m related to impairment of Respicardia buy-out option; $0.7 Million related to increasing amortization following final PPA.</w:t>
      </w:r>
    </w:p>
    <w:p>
      <w:pPr>
        <w:ind w:left="140"/>
        <w:spacing w:after="0" w:line="188" w:lineRule="auto"/>
        <w:rPr>
          <w:sz w:val="20"/>
          <w:szCs w:val="20"/>
          <w:color w:val="auto"/>
        </w:rPr>
      </w:pPr>
      <w:r>
        <w:rPr>
          <w:rFonts w:ascii="Arial" w:cs="Arial" w:eastAsia="Arial" w:hAnsi="Arial"/>
          <w:sz w:val="30"/>
          <w:szCs w:val="30"/>
          <w:color w:val="auto"/>
          <w:vertAlign w:val="superscript"/>
        </w:rPr>
        <w:t>(F)</w:t>
      </w:r>
      <w:r>
        <w:rPr>
          <w:rFonts w:ascii="Arial" w:cs="Arial" w:eastAsia="Arial" w:hAnsi="Arial"/>
          <w:sz w:val="18"/>
          <w:szCs w:val="18"/>
          <w:color w:val="auto"/>
        </w:rPr>
        <w:t>Includes the amortization of inventory step-up associated with final purchase price accounting.</w:t>
      </w:r>
    </w:p>
    <w:p>
      <w:pPr>
        <w:ind w:left="140"/>
        <w:spacing w:after="0" w:line="188" w:lineRule="auto"/>
        <w:rPr>
          <w:sz w:val="20"/>
          <w:szCs w:val="20"/>
          <w:color w:val="auto"/>
        </w:rPr>
      </w:pPr>
      <w:r>
        <w:rPr>
          <w:rFonts w:ascii="Arial" w:cs="Arial" w:eastAsia="Arial" w:hAnsi="Arial"/>
          <w:sz w:val="30"/>
          <w:szCs w:val="30"/>
          <w:color w:val="auto"/>
          <w:vertAlign w:val="superscript"/>
        </w:rPr>
        <w:t>(G)</w:t>
      </w:r>
      <w:r>
        <w:rPr>
          <w:rFonts w:ascii="Arial" w:cs="Arial" w:eastAsia="Arial" w:hAnsi="Arial"/>
          <w:sz w:val="18"/>
          <w:szCs w:val="18"/>
          <w:color w:val="auto"/>
        </w:rPr>
        <w:t>Includes $4.6 Million related to SG&amp;A, $0.2 Million related to R&amp;D and $0.1 Million related to COGS.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30"/>
          <w:szCs w:val="30"/>
          <w:color w:val="auto"/>
          <w:vertAlign w:val="superscript"/>
        </w:rPr>
        <w:t>(H)</w:t>
      </w:r>
      <w:r>
        <w:rPr>
          <w:rFonts w:ascii="Arial" w:cs="Arial" w:eastAsia="Arial" w:hAnsi="Arial"/>
          <w:sz w:val="18"/>
          <w:szCs w:val="18"/>
          <w:color w:val="auto"/>
        </w:rPr>
        <w:t>Relates to the impact of restrucring initiatives and IP migration.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Please see "Use of Non-GAAP Financial Measures" above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Sales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70"/>
              <w:spacing w:after="0" w:line="162" w:lineRule="exact"/>
              <w:rPr>
                <w:sz w:val="20"/>
                <w:szCs w:val="20"/>
                <w:color w:val="auto"/>
              </w:rPr>
            </w:pPr>
            <w:r>
              <w:rPr>
                <w:rFonts w:ascii="Arial" w:cs="Arial" w:eastAsia="Arial" w:hAnsi="Arial"/>
                <w:sz w:val="18"/>
                <w:szCs w:val="18"/>
                <w:b w:val="1"/>
                <w:bCs w:val="1"/>
                <w:color w:val="auto"/>
                <w:w w:val="93"/>
              </w:rPr>
              <w:t>From</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0"/>
              <w:spacing w:after="0" w:line="162" w:lineRule="exact"/>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4"/>
              </w:rPr>
              <w:t>Diluted EPS</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September 30, 2016</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Profit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Operations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3"/>
              </w:rPr>
              <w:t>(loss)</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460" w:type="dxa"/>
            <w:vAlign w:val="bottom"/>
            <w:gridSpan w:val="2"/>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120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gridSpan w:val="2"/>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Financial Measures</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542.6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8.8</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(33.0 )</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(0.67 )</w:t>
            </w:r>
          </w:p>
        </w:tc>
        <w:tc>
          <w:tcPr>
            <w:tcW w:w="0" w:type="dxa"/>
            <w:vAlign w:val="bottom"/>
          </w:tcPr>
          <w:p>
            <w:pPr>
              <w:spacing w:after="0"/>
              <w:rPr>
                <w:sz w:val="1"/>
                <w:szCs w:val="1"/>
                <w:color w:val="auto"/>
              </w:rPr>
            </w:pPr>
          </w:p>
        </w:tc>
      </w:tr>
      <w:tr>
        <w:trPr>
          <w:trHeight w:val="270"/>
        </w:trPr>
        <w:tc>
          <w:tcPr>
            <w:tcW w:w="2380" w:type="dxa"/>
            <w:vAlign w:val="bottom"/>
          </w:tcPr>
          <w:p>
            <w:pPr>
              <w:ind w:left="40"/>
              <w:spacing w:after="0"/>
              <w:rPr>
                <w:sz w:val="20"/>
                <w:szCs w:val="20"/>
                <w:color w:val="auto"/>
              </w:rPr>
            </w:pPr>
            <w:r>
              <w:rPr>
                <w:rFonts w:ascii="Arial" w:cs="Arial" w:eastAsia="Arial" w:hAnsi="Arial"/>
                <w:sz w:val="18"/>
                <w:szCs w:val="18"/>
                <w:color w:val="auto"/>
              </w:rPr>
              <w:t>Specified Items</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480"/>
              <w:spacing w:after="0" w:line="165" w:lineRule="exact"/>
              <w:rPr>
                <w:sz w:val="20"/>
                <w:szCs w:val="20"/>
                <w:color w:val="auto"/>
              </w:rPr>
            </w:pPr>
            <w:r>
              <w:rPr>
                <w:rFonts w:ascii="Arial" w:cs="Arial" w:eastAsia="Arial" w:hAnsi="Arial"/>
                <w:sz w:val="18"/>
                <w:szCs w:val="18"/>
                <w:color w:val="auto"/>
              </w:rPr>
              <w:t>Merger and integration</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380" w:type="dxa"/>
            <w:vAlign w:val="bottom"/>
            <w:shd w:val="clear" w:color="auto" w:fill="CCEEFF"/>
          </w:tcPr>
          <w:p>
            <w:pPr>
              <w:ind w:left="40"/>
              <w:spacing w:after="0" w:line="240" w:lineRule="exact"/>
              <w:rPr>
                <w:sz w:val="20"/>
                <w:szCs w:val="20"/>
                <w:color w:val="auto"/>
              </w:rPr>
            </w:pPr>
            <w:r>
              <w:rPr>
                <w:rFonts w:ascii="Arial" w:cs="Arial" w:eastAsia="Arial" w:hAnsi="Arial"/>
                <w:sz w:val="17"/>
                <w:szCs w:val="17"/>
                <w:color w:val="auto"/>
              </w:rPr>
              <w:t>expense</w:t>
            </w:r>
            <w:r>
              <w:rPr>
                <w:rFonts w:ascii="Arial" w:cs="Arial" w:eastAsia="Arial" w:hAnsi="Arial"/>
                <w:sz w:val="27"/>
                <w:szCs w:val="27"/>
                <w:color w:val="auto"/>
                <w:vertAlign w:val="superscript"/>
              </w:rPr>
              <w:t>(A)</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0"/>
        </w:trPr>
        <w:tc>
          <w:tcPr>
            <w:tcW w:w="2380" w:type="dxa"/>
            <w:vAlign w:val="bottom"/>
          </w:tcPr>
          <w:p>
            <w:pPr>
              <w:ind w:left="480"/>
              <w:spacing w:after="0" w:line="269" w:lineRule="exact"/>
              <w:rPr>
                <w:sz w:val="20"/>
                <w:szCs w:val="20"/>
                <w:color w:val="auto"/>
              </w:rPr>
            </w:pPr>
            <w:r>
              <w:rPr>
                <w:rFonts w:ascii="Arial" w:cs="Arial" w:eastAsia="Arial" w:hAnsi="Arial"/>
                <w:sz w:val="18"/>
                <w:szCs w:val="18"/>
                <w:color w:val="auto"/>
                <w:w w:val="90"/>
              </w:rPr>
              <w:t>Restructuring expense</w:t>
            </w:r>
            <w:r>
              <w:rPr>
                <w:rFonts w:ascii="Arial" w:cs="Arial" w:eastAsia="Arial" w:hAnsi="Arial"/>
                <w:sz w:val="30"/>
                <w:szCs w:val="30"/>
                <w:color w:val="auto"/>
                <w:w w:val="90"/>
                <w:vertAlign w:val="superscript"/>
              </w:rPr>
              <w:t>(B)</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480"/>
              <w:spacing w:after="0" w:line="165" w:lineRule="exact"/>
              <w:rPr>
                <w:sz w:val="20"/>
                <w:szCs w:val="20"/>
                <w:color w:val="auto"/>
              </w:rPr>
            </w:pPr>
            <w:r>
              <w:rPr>
                <w:rFonts w:ascii="Arial" w:cs="Arial" w:eastAsia="Arial" w:hAnsi="Arial"/>
                <w:sz w:val="18"/>
                <w:szCs w:val="18"/>
                <w:color w:val="auto"/>
              </w:rPr>
              <w:t>Amortization of</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380" w:type="dxa"/>
            <w:vAlign w:val="bottom"/>
            <w:shd w:val="clear" w:color="auto" w:fill="CCEEFF"/>
          </w:tcPr>
          <w:p>
            <w:pPr>
              <w:ind w:left="40"/>
              <w:spacing w:after="0" w:line="240" w:lineRule="exact"/>
              <w:rPr>
                <w:sz w:val="20"/>
                <w:szCs w:val="20"/>
                <w:color w:val="auto"/>
              </w:rPr>
            </w:pPr>
            <w:r>
              <w:rPr>
                <w:rFonts w:ascii="Arial" w:cs="Arial" w:eastAsia="Arial" w:hAnsi="Arial"/>
                <w:sz w:val="17"/>
                <w:szCs w:val="17"/>
                <w:color w:val="auto"/>
              </w:rPr>
              <w:t>intangible assets</w:t>
            </w:r>
            <w:r>
              <w:rPr>
                <w:rFonts w:ascii="Arial" w:cs="Arial" w:eastAsia="Arial" w:hAnsi="Arial"/>
                <w:sz w:val="27"/>
                <w:szCs w:val="27"/>
                <w:color w:val="auto"/>
                <w:vertAlign w:val="superscript"/>
              </w:rPr>
              <w:t>(C)</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162"/>
        </w:trPr>
        <w:tc>
          <w:tcPr>
            <w:tcW w:w="2380" w:type="dxa"/>
            <w:vAlign w:val="bottom"/>
          </w:tcPr>
          <w:p>
            <w:pPr>
              <w:ind w:left="480"/>
              <w:spacing w:after="0" w:line="162" w:lineRule="exact"/>
              <w:rPr>
                <w:sz w:val="20"/>
                <w:szCs w:val="20"/>
                <w:color w:val="auto"/>
              </w:rPr>
            </w:pPr>
            <w:r>
              <w:rPr>
                <w:rFonts w:ascii="Arial" w:cs="Arial" w:eastAsia="Arial" w:hAnsi="Arial"/>
                <w:sz w:val="18"/>
                <w:szCs w:val="18"/>
                <w:color w:val="auto"/>
              </w:rPr>
              <w:t>Write-off of investment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ind w:right="25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380" w:type="dxa"/>
            <w:vAlign w:val="bottom"/>
          </w:tcPr>
          <w:p>
            <w:pPr>
              <w:ind w:left="40"/>
              <w:spacing w:after="0"/>
              <w:rPr>
                <w:sz w:val="20"/>
                <w:szCs w:val="20"/>
                <w:color w:val="auto"/>
              </w:rPr>
            </w:pPr>
            <w:r>
              <w:rPr>
                <w:rFonts w:ascii="Arial" w:cs="Arial" w:eastAsia="Arial" w:hAnsi="Arial"/>
                <w:sz w:val="18"/>
                <w:szCs w:val="18"/>
                <w:color w:val="auto"/>
              </w:rPr>
              <w:t>in minorities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480"/>
              <w:spacing w:after="0" w:line="165" w:lineRule="exact"/>
              <w:rPr>
                <w:sz w:val="20"/>
                <w:szCs w:val="20"/>
                <w:color w:val="auto"/>
              </w:rPr>
            </w:pPr>
            <w:r>
              <w:rPr>
                <w:rFonts w:ascii="Arial" w:cs="Arial" w:eastAsia="Arial" w:hAnsi="Arial"/>
                <w:sz w:val="18"/>
                <w:szCs w:val="18"/>
                <w:color w:val="auto"/>
                <w:w w:val="90"/>
              </w:rPr>
              <w:t>Other income/expenses &amp;</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380" w:type="dxa"/>
            <w:vAlign w:val="bottom"/>
            <w:shd w:val="clear" w:color="auto" w:fill="CCEEFF"/>
          </w:tcPr>
          <w:p>
            <w:pPr>
              <w:ind w:left="40"/>
              <w:spacing w:after="0" w:line="240" w:lineRule="exact"/>
              <w:rPr>
                <w:sz w:val="20"/>
                <w:szCs w:val="20"/>
                <w:color w:val="auto"/>
              </w:rPr>
            </w:pPr>
            <w:r>
              <w:rPr>
                <w:rFonts w:ascii="Arial" w:cs="Arial" w:eastAsia="Arial" w:hAnsi="Arial"/>
                <w:sz w:val="17"/>
                <w:szCs w:val="17"/>
                <w:color w:val="auto"/>
              </w:rPr>
              <w:t>litigation</w:t>
            </w:r>
            <w:r>
              <w:rPr>
                <w:rFonts w:ascii="Arial" w:cs="Arial" w:eastAsia="Arial" w:hAnsi="Arial"/>
                <w:sz w:val="27"/>
                <w:szCs w:val="27"/>
                <w:color w:val="auto"/>
                <w:vertAlign w:val="superscript"/>
              </w:rPr>
              <w:t>(D)</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65"/>
        </w:trPr>
        <w:tc>
          <w:tcPr>
            <w:tcW w:w="2380" w:type="dxa"/>
            <w:vAlign w:val="bottom"/>
          </w:tcPr>
          <w:p>
            <w:pPr>
              <w:ind w:left="480"/>
              <w:spacing w:after="0" w:line="165" w:lineRule="exact"/>
              <w:rPr>
                <w:sz w:val="20"/>
                <w:szCs w:val="20"/>
                <w:color w:val="auto"/>
              </w:rPr>
            </w:pPr>
            <w:r>
              <w:rPr>
                <w:rFonts w:ascii="Arial" w:cs="Arial" w:eastAsia="Arial" w:hAnsi="Arial"/>
                <w:sz w:val="18"/>
                <w:szCs w:val="18"/>
                <w:color w:val="auto"/>
                <w:w w:val="95"/>
              </w:rPr>
              <w:t>Impact of inventory step-</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380" w:type="dxa"/>
            <w:vAlign w:val="bottom"/>
          </w:tcPr>
          <w:p>
            <w:pPr>
              <w:ind w:left="40"/>
              <w:spacing w:after="0" w:line="240" w:lineRule="exact"/>
              <w:rPr>
                <w:sz w:val="20"/>
                <w:szCs w:val="20"/>
                <w:color w:val="auto"/>
              </w:rPr>
            </w:pPr>
            <w:r>
              <w:rPr>
                <w:rFonts w:ascii="Arial" w:cs="Arial" w:eastAsia="Arial" w:hAnsi="Arial"/>
                <w:sz w:val="27"/>
                <w:szCs w:val="27"/>
                <w:color w:val="auto"/>
                <w:vertAlign w:val="subscript"/>
              </w:rPr>
              <w:t>up</w:t>
            </w:r>
            <w:r>
              <w:rPr>
                <w:rFonts w:ascii="Arial" w:cs="Arial" w:eastAsia="Arial" w:hAnsi="Arial"/>
                <w:sz w:val="13"/>
                <w:szCs w:val="13"/>
                <w:color w:val="auto"/>
              </w:rPr>
              <w:t>(E)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80"/>
              <w:spacing w:after="0" w:line="269" w:lineRule="exact"/>
              <w:rPr>
                <w:sz w:val="20"/>
                <w:szCs w:val="20"/>
                <w:color w:val="auto"/>
              </w:rPr>
            </w:pPr>
            <w:r>
              <w:rPr>
                <w:rFonts w:ascii="Arial" w:cs="Arial" w:eastAsia="Arial" w:hAnsi="Arial"/>
                <w:sz w:val="18"/>
                <w:szCs w:val="18"/>
                <w:color w:val="auto"/>
                <w:w w:val="97"/>
              </w:rPr>
              <w:t>Equity compensation</w:t>
            </w:r>
            <w:r>
              <w:rPr>
                <w:rFonts w:ascii="Arial" w:cs="Arial" w:eastAsia="Arial" w:hAnsi="Arial"/>
                <w:sz w:val="30"/>
                <w:szCs w:val="30"/>
                <w:color w:val="auto"/>
                <w:w w:val="97"/>
                <w:vertAlign w:val="superscript"/>
              </w:rPr>
              <w:t>(F)</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165"/>
        </w:trPr>
        <w:tc>
          <w:tcPr>
            <w:tcW w:w="2380" w:type="dxa"/>
            <w:vAlign w:val="bottom"/>
          </w:tcPr>
          <w:p>
            <w:pPr>
              <w:ind w:left="460"/>
              <w:spacing w:after="0" w:line="165" w:lineRule="exact"/>
              <w:rPr>
                <w:sz w:val="20"/>
                <w:szCs w:val="20"/>
                <w:color w:val="auto"/>
              </w:rPr>
            </w:pPr>
            <w:r>
              <w:rPr>
                <w:rFonts w:ascii="Arial" w:cs="Arial" w:eastAsia="Arial" w:hAnsi="Arial"/>
                <w:sz w:val="18"/>
                <w:szCs w:val="18"/>
                <w:color w:val="auto"/>
              </w:rPr>
              <w:t>Certain tax</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0"/>
        </w:trPr>
        <w:tc>
          <w:tcPr>
            <w:tcW w:w="2380" w:type="dxa"/>
            <w:vAlign w:val="bottom"/>
          </w:tcPr>
          <w:p>
            <w:pPr>
              <w:ind w:left="460"/>
              <w:spacing w:after="0" w:line="213" w:lineRule="exact"/>
              <w:rPr>
                <w:sz w:val="20"/>
                <w:szCs w:val="20"/>
                <w:color w:val="auto"/>
              </w:rPr>
            </w:pPr>
            <w:r>
              <w:rPr>
                <w:rFonts w:ascii="Arial" w:cs="Arial" w:eastAsia="Arial" w:hAnsi="Arial"/>
                <w:sz w:val="15"/>
                <w:szCs w:val="15"/>
                <w:color w:val="auto"/>
              </w:rPr>
              <w:t>adjustments</w:t>
            </w:r>
            <w:r>
              <w:rPr>
                <w:rFonts w:ascii="Arial" w:cs="Arial" w:eastAsia="Arial" w:hAnsi="Arial"/>
                <w:sz w:val="24"/>
                <w:szCs w:val="24"/>
                <w:color w:val="auto"/>
                <w:vertAlign w:val="superscript"/>
              </w:rPr>
              <w:t>(G)</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financial measures</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3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584.5</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161.5</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107.8</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GAAP results for the nine months ended September 30, 2016 include:</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30"/>
          <w:szCs w:val="30"/>
          <w:color w:val="auto"/>
          <w:vertAlign w:val="superscript"/>
        </w:rPr>
        <w:t>(A)</w:t>
      </w:r>
      <w:r>
        <w:rPr>
          <w:rFonts w:ascii="Arial" w:cs="Arial" w:eastAsia="Arial" w:hAnsi="Arial"/>
          <w:sz w:val="18"/>
          <w:szCs w:val="18"/>
          <w:color w:val="auto"/>
        </w:rPr>
        <w:t>Expenses related to merger and integration activities..</w:t>
      </w:r>
    </w:p>
    <w:p>
      <w:pPr>
        <w:ind w:left="140" w:right="400" w:firstLine="3"/>
        <w:spacing w:after="0" w:line="180" w:lineRule="auto"/>
        <w:tabs>
          <w:tab w:leader="none" w:pos="378" w:val="left"/>
        </w:tabs>
        <w:numPr>
          <w:ilvl w:val="0"/>
          <w:numId w:val="6"/>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w:t>
      </w:r>
      <w:r>
        <w:rPr>
          <w:rFonts w:ascii="Arial" w:cs="Arial" w:eastAsia="Arial" w:hAnsi="Arial"/>
          <w:sz w:val="15"/>
          <w:szCs w:val="15"/>
          <w:color w:val="auto"/>
        </w:rPr>
        <w:t>Restructuring expenses, including CRM restructuring announced March 10, 2016, severance related to corporate and shared service synergies and recent organizational changes.</w:t>
      </w:r>
    </w:p>
    <w:p>
      <w:pPr>
        <w:ind w:left="140"/>
        <w:spacing w:after="0" w:line="207" w:lineRule="auto"/>
        <w:rPr>
          <w:sz w:val="20"/>
          <w:szCs w:val="20"/>
          <w:color w:val="auto"/>
        </w:rPr>
      </w:pPr>
      <w:r>
        <w:rPr>
          <w:rFonts w:ascii="Arial" w:cs="Arial" w:eastAsia="Arial" w:hAnsi="Arial"/>
          <w:sz w:val="30"/>
          <w:szCs w:val="30"/>
          <w:color w:val="auto"/>
          <w:vertAlign w:val="superscript"/>
        </w:rPr>
        <w:t>(C)</w:t>
      </w:r>
      <w:r>
        <w:rPr>
          <w:rFonts w:ascii="Arial" w:cs="Arial" w:eastAsia="Arial" w:hAnsi="Arial"/>
          <w:sz w:val="18"/>
          <w:szCs w:val="18"/>
          <w:color w:val="auto"/>
        </w:rPr>
        <w:t>Includes amortization associated with final purchase price accounting.</w:t>
      </w:r>
    </w:p>
    <w:p>
      <w:pPr>
        <w:spacing w:after="0" w:line="1" w:lineRule="exact"/>
        <w:rPr>
          <w:sz w:val="20"/>
          <w:szCs w:val="20"/>
          <w:color w:val="auto"/>
        </w:rPr>
      </w:pPr>
    </w:p>
    <w:p>
      <w:pPr>
        <w:ind w:left="140" w:right="180"/>
        <w:spacing w:after="0" w:line="180" w:lineRule="auto"/>
        <w:rPr>
          <w:sz w:val="20"/>
          <w:szCs w:val="20"/>
          <w:color w:val="auto"/>
        </w:rPr>
      </w:pPr>
      <w:r>
        <w:rPr>
          <w:rFonts w:ascii="Arial" w:cs="Arial" w:eastAsia="Arial" w:hAnsi="Arial"/>
          <w:sz w:val="22"/>
          <w:szCs w:val="22"/>
          <w:color w:val="auto"/>
          <w:vertAlign w:val="superscript"/>
        </w:rPr>
        <w:t>(D)</w:t>
      </w:r>
      <w:r>
        <w:rPr>
          <w:rFonts w:ascii="Arial" w:cs="Arial" w:eastAsia="Arial" w:hAnsi="Arial"/>
          <w:sz w:val="14"/>
          <w:szCs w:val="14"/>
          <w:color w:val="auto"/>
        </w:rPr>
        <w:t>$4.7 Million reimbursement of damages related to 2012 earthquake in Mirandola (Italy); $ 5.0m write-off of receivables from Greece distributor; $3.6 Million expense primarily associated with litigation related to</w:t>
      </w:r>
    </w:p>
    <w:p>
      <w:pPr>
        <w:ind w:left="140"/>
        <w:spacing w:after="0"/>
        <w:rPr>
          <w:sz w:val="20"/>
          <w:szCs w:val="20"/>
          <w:color w:val="auto"/>
        </w:rPr>
      </w:pPr>
      <w:r>
        <w:rPr>
          <w:rFonts w:ascii="Arial" w:cs="Arial" w:eastAsia="Arial" w:hAnsi="Arial"/>
          <w:sz w:val="18"/>
          <w:szCs w:val="18"/>
          <w:color w:val="auto"/>
        </w:rPr>
        <w:t>3T Heater-Cooler devices; $0.9 Million related to related to other litigations.</w:t>
      </w:r>
    </w:p>
    <w:p>
      <w:pPr>
        <w:ind w:left="140"/>
        <w:spacing w:after="0" w:line="203" w:lineRule="auto"/>
        <w:rPr>
          <w:sz w:val="20"/>
          <w:szCs w:val="20"/>
          <w:color w:val="auto"/>
        </w:rPr>
      </w:pPr>
      <w:r>
        <w:rPr>
          <w:rFonts w:ascii="Arial" w:cs="Arial" w:eastAsia="Arial" w:hAnsi="Arial"/>
          <w:sz w:val="30"/>
          <w:szCs w:val="30"/>
          <w:color w:val="auto"/>
          <w:vertAlign w:val="superscript"/>
        </w:rPr>
        <w:t>(E)</w:t>
      </w:r>
      <w:r>
        <w:rPr>
          <w:rFonts w:ascii="Arial" w:cs="Arial" w:eastAsia="Arial" w:hAnsi="Arial"/>
          <w:sz w:val="18"/>
          <w:szCs w:val="18"/>
          <w:color w:val="auto"/>
        </w:rPr>
        <w:t>$9.2m related to the impairment of Respicardia buy-out option; $0.7 Million related to increasing amortization following final PPA.</w:t>
      </w:r>
    </w:p>
    <w:p>
      <w:pPr>
        <w:ind w:left="140"/>
        <w:spacing w:after="0" w:line="197" w:lineRule="auto"/>
        <w:rPr>
          <w:sz w:val="20"/>
          <w:szCs w:val="20"/>
          <w:color w:val="auto"/>
        </w:rPr>
      </w:pPr>
      <w:r>
        <w:rPr>
          <w:rFonts w:ascii="Arial" w:cs="Arial" w:eastAsia="Arial" w:hAnsi="Arial"/>
          <w:sz w:val="30"/>
          <w:szCs w:val="30"/>
          <w:color w:val="auto"/>
          <w:vertAlign w:val="superscript"/>
        </w:rPr>
        <w:t>(F)</w:t>
      </w:r>
      <w:r>
        <w:rPr>
          <w:rFonts w:ascii="Arial" w:cs="Arial" w:eastAsia="Arial" w:hAnsi="Arial"/>
          <w:sz w:val="18"/>
          <w:szCs w:val="18"/>
          <w:color w:val="auto"/>
        </w:rPr>
        <w:t>Includes the amortization of inventory step-up associated with final purchase price accounting.</w:t>
      </w:r>
    </w:p>
    <w:p>
      <w:pPr>
        <w:ind w:left="140"/>
        <w:spacing w:after="0"/>
        <w:rPr>
          <w:sz w:val="20"/>
          <w:szCs w:val="20"/>
          <w:color w:val="auto"/>
        </w:rPr>
      </w:pPr>
      <w:r>
        <w:rPr>
          <w:rFonts w:ascii="Arial" w:cs="Arial" w:eastAsia="Arial" w:hAnsi="Arial"/>
          <w:sz w:val="30"/>
          <w:szCs w:val="30"/>
          <w:color w:val="auto"/>
          <w:vertAlign w:val="superscript"/>
        </w:rPr>
        <w:t>(G)</w:t>
      </w:r>
      <w:r>
        <w:rPr>
          <w:rFonts w:ascii="Arial" w:cs="Arial" w:eastAsia="Arial" w:hAnsi="Arial"/>
          <w:sz w:val="18"/>
          <w:szCs w:val="18"/>
          <w:color w:val="auto"/>
        </w:rPr>
        <w:t>Includes $13.7 Million related to SG&amp;A, $0.8 Million related to R&amp;D and $0.8 related to COGS.</w:t>
      </w:r>
    </w:p>
    <w:p>
      <w:pPr>
        <w:sectPr>
          <w:pgSz w:w="11900" w:h="16919" w:orient="portrait"/>
          <w:cols w:equalWidth="0" w:num="1">
            <w:col w:w="11340"/>
          </w:cols>
          <w:pgMar w:left="240" w:top="69" w:right="319" w:bottom="0" w:gutter="0" w:footer="0" w:header="0"/>
        </w:sectPr>
      </w:pPr>
    </w:p>
    <w:bookmarkStart w:id="18" w:name="page19"/>
    <w:bookmarkEnd w:id="18"/>
    <w:p>
      <w:pPr>
        <w:ind w:left="140"/>
        <w:spacing w:after="0"/>
        <w:rPr>
          <w:sz w:val="20"/>
          <w:szCs w:val="20"/>
          <w:color w:val="auto"/>
        </w:rPr>
      </w:pPr>
      <w:r>
        <w:rPr>
          <w:rFonts w:ascii="Arial" w:cs="Arial" w:eastAsia="Arial" w:hAnsi="Arial"/>
          <w:sz w:val="30"/>
          <w:szCs w:val="30"/>
          <w:color w:val="auto"/>
          <w:vertAlign w:val="superscript"/>
        </w:rPr>
        <w:t>(H)</w:t>
      </w:r>
      <w:r>
        <w:rPr>
          <w:rFonts w:ascii="Arial" w:cs="Arial" w:eastAsia="Arial" w:hAnsi="Arial"/>
          <w:sz w:val="18"/>
          <w:szCs w:val="18"/>
          <w:color w:val="auto"/>
        </w:rPr>
        <w:t>Relates to the impact of restrucring initiatives and IP migration.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Please see "Use of Non-GAAP Financial Measures" above</w:t>
      </w:r>
    </w:p>
    <w:p>
      <w:pPr>
        <w:spacing w:after="0" w:line="356"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rPr>
          <w:sz w:val="20"/>
          <w:szCs w:val="20"/>
          <w:color w:val="auto"/>
        </w:rPr>
      </w:pPr>
      <w:r>
        <w:rPr>
          <w:rFonts w:ascii="Arial" w:cs="Arial" w:eastAsia="Arial" w:hAnsi="Arial"/>
          <w:sz w:val="18"/>
          <w:szCs w:val="18"/>
          <w:b w:val="1"/>
          <w:bCs w:val="1"/>
          <w:color w:val="auto"/>
        </w:rPr>
        <w:t>U.S. 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55"/>
        </w:trPr>
        <w:tc>
          <w:tcPr>
            <w:tcW w:w="44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460" w:type="dxa"/>
            <w:vAlign w:val="bottom"/>
          </w:tcPr>
          <w:p>
            <w:pPr>
              <w:ind w:left="46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4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63"/>
        </w:trPr>
        <w:tc>
          <w:tcPr>
            <w:tcW w:w="44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63"/>
        </w:trPr>
        <w:tc>
          <w:tcPr>
            <w:tcW w:w="44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taxes</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7"/>
        </w:trPr>
        <w:tc>
          <w:tcPr>
            <w:tcW w:w="44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63"/>
        </w:trPr>
        <w:tc>
          <w:tcPr>
            <w:tcW w:w="446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63"/>
        </w:trPr>
        <w:tc>
          <w:tcPr>
            <w:tcW w:w="446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63"/>
        </w:trPr>
        <w:tc>
          <w:tcPr>
            <w:tcW w:w="446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97"/>
        </w:trPr>
        <w:tc>
          <w:tcPr>
            <w:tcW w:w="44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2,497.0</w:t>
            </w:r>
          </w:p>
        </w:tc>
        <w:tc>
          <w:tcPr>
            <w:tcW w:w="120" w:type="dxa"/>
            <w:vAlign w:val="bottom"/>
          </w:tcPr>
          <w:p>
            <w:pPr>
              <w:spacing w:after="0"/>
              <w:rPr>
                <w:sz w:val="24"/>
                <w:szCs w:val="24"/>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r>
        <w:trPr>
          <w:trHeight w:val="21"/>
        </w:trPr>
        <w:tc>
          <w:tcPr>
            <w:tcW w:w="44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4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debt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63"/>
        </w:trPr>
        <w:tc>
          <w:tcPr>
            <w:tcW w:w="44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63"/>
        </w:trPr>
        <w:tc>
          <w:tcPr>
            <w:tcW w:w="446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Accrued employee compensation and related benefits</w:t>
            </w:r>
          </w:p>
        </w:tc>
        <w:tc>
          <w:tcPr>
            <w:tcW w:w="20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4"/>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liability</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4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obligations</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63"/>
        </w:trPr>
        <w:tc>
          <w:tcPr>
            <w:tcW w:w="4460" w:type="dxa"/>
            <w:vAlign w:val="bottom"/>
          </w:tcPr>
          <w:p>
            <w:pPr>
              <w:ind w:left="340"/>
              <w:spacing w:after="0"/>
              <w:rPr>
                <w:sz w:val="20"/>
                <w:szCs w:val="20"/>
                <w:color w:val="auto"/>
              </w:rPr>
            </w:pPr>
            <w:r>
              <w:rPr>
                <w:rFonts w:ascii="Arial" w:cs="Arial" w:eastAsia="Arial" w:hAnsi="Arial"/>
                <w:sz w:val="18"/>
                <w:szCs w:val="18"/>
                <w:color w:val="auto"/>
              </w:rPr>
              <w:t>Deferred income taxes liability</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employee compensation and related</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 liability</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7"/>
        </w:trPr>
        <w:tc>
          <w:tcPr>
            <w:tcW w:w="446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77"/>
        </w:trPr>
        <w:tc>
          <w:tcPr>
            <w:tcW w:w="44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1,816.9</w:t>
            </w:r>
          </w:p>
        </w:tc>
        <w:tc>
          <w:tcPr>
            <w:tcW w:w="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1,811.5</w:t>
            </w:r>
          </w:p>
        </w:tc>
        <w:tc>
          <w:tcPr>
            <w:tcW w:w="0" w:type="dxa"/>
            <w:vAlign w:val="bottom"/>
          </w:tcPr>
          <w:p>
            <w:pPr>
              <w:spacing w:after="0"/>
              <w:rPr>
                <w:sz w:val="1"/>
                <w:szCs w:val="1"/>
                <w:color w:val="auto"/>
              </w:rPr>
            </w:pPr>
          </w:p>
        </w:tc>
      </w:tr>
      <w:tr>
        <w:trPr>
          <w:trHeight w:val="311"/>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2,497.0</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pacing w:after="0" w:line="15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b w:val="1"/>
          <w:bCs w:val="1"/>
          <w:color w:val="auto"/>
        </w:rPr>
        <w:t>LIVANOVA PLC AND SUBSIDIARIES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 OF CASH FLOW</w:t>
      </w:r>
    </w:p>
    <w:p>
      <w:pPr>
        <w:ind w:left="340"/>
        <w:spacing w:after="0" w:line="234" w:lineRule="auto"/>
        <w:rPr>
          <w:sz w:val="20"/>
          <w:szCs w:val="20"/>
          <w:color w:val="auto"/>
        </w:rPr>
      </w:pPr>
      <w:r>
        <w:rPr>
          <w:rFonts w:ascii="Arial" w:cs="Arial" w:eastAsia="Arial" w:hAnsi="Arial"/>
          <w:sz w:val="18"/>
          <w:szCs w:val="18"/>
          <w:b w:val="1"/>
          <w:bCs w:val="1"/>
          <w:color w:val="auto"/>
        </w:rPr>
        <w:t>U.S. dollars in Millions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Nine Months</w:t>
            </w:r>
          </w:p>
        </w:tc>
      </w:tr>
      <w:tr>
        <w:trPr>
          <w:trHeight w:val="203"/>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0"/>
              </w:rPr>
              <w:t>Ended</w:t>
            </w:r>
          </w:p>
        </w:tc>
      </w:tr>
      <w:tr>
        <w:trPr>
          <w:trHeight w:val="203"/>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89"/>
              </w:rPr>
              <w:t>September 30,</w:t>
            </w:r>
          </w:p>
        </w:tc>
      </w:tr>
      <w:tr>
        <w:trPr>
          <w:trHeight w:val="255"/>
        </w:trPr>
        <w:tc>
          <w:tcPr>
            <w:tcW w:w="6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r>
      <w:tr>
        <w:trPr>
          <w:trHeight w:val="533"/>
        </w:trPr>
        <w:tc>
          <w:tcPr>
            <w:tcW w:w="61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7"/>
        </w:trPr>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(33.0 )</w:t>
            </w:r>
          </w:p>
        </w:tc>
      </w:tr>
      <w:tr>
        <w:trPr>
          <w:trHeight w:val="263"/>
        </w:trPr>
        <w:tc>
          <w:tcPr>
            <w:tcW w:w="6180" w:type="dxa"/>
            <w:vAlign w:val="bottom"/>
          </w:tcPr>
          <w:p>
            <w:pPr>
              <w:ind w:left="200"/>
              <w:spacing w:after="0"/>
              <w:rPr>
                <w:sz w:val="20"/>
                <w:szCs w:val="20"/>
                <w:color w:val="auto"/>
              </w:rPr>
            </w:pPr>
            <w:r>
              <w:rPr>
                <w:rFonts w:ascii="Arial" w:cs="Arial" w:eastAsia="Arial" w:hAnsi="Arial"/>
                <w:sz w:val="18"/>
                <w:szCs w:val="18"/>
                <w:color w:val="auto"/>
              </w:rPr>
              <w:t>Non-cash items included in net loss:</w:t>
            </w: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30.2</w:t>
            </w:r>
          </w:p>
        </w:tc>
      </w:tr>
      <w:tr>
        <w:trPr>
          <w:trHeight w:val="263"/>
        </w:trPr>
        <w:tc>
          <w:tcPr>
            <w:tcW w:w="6180" w:type="dxa"/>
            <w:vAlign w:val="bottom"/>
          </w:tcPr>
          <w:p>
            <w:pPr>
              <w:ind w:left="4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34.0</w:t>
            </w:r>
          </w:p>
        </w:tc>
      </w:tr>
      <w:tr>
        <w:trPr>
          <w:trHeight w:val="277"/>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w:t>
            </w:r>
          </w:p>
        </w:tc>
      </w:tr>
      <w:tr>
        <w:trPr>
          <w:trHeight w:val="263"/>
        </w:trPr>
        <w:tc>
          <w:tcPr>
            <w:tcW w:w="6180" w:type="dxa"/>
            <w:vAlign w:val="bottom"/>
          </w:tcPr>
          <w:p>
            <w:pPr>
              <w:ind w:left="440"/>
              <w:spacing w:after="0"/>
              <w:rPr>
                <w:sz w:val="20"/>
                <w:szCs w:val="20"/>
                <w:color w:val="auto"/>
              </w:rPr>
            </w:pPr>
            <w:r>
              <w:rPr>
                <w:rFonts w:ascii="Arial" w:cs="Arial" w:eastAsia="Arial" w:hAnsi="Arial"/>
                <w:sz w:val="18"/>
                <w:szCs w:val="18"/>
                <w:color w:val="auto"/>
              </w:rPr>
              <w:t>Deferred income tax expense (benefit)</w:t>
            </w: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77"/>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equity method investments</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r>
      <w:tr>
        <w:trPr>
          <w:trHeight w:val="257"/>
        </w:trPr>
        <w:tc>
          <w:tcPr>
            <w:tcW w:w="6180" w:type="dxa"/>
            <w:vAlign w:val="bottom"/>
          </w:tcPr>
          <w:p>
            <w:pPr>
              <w:ind w:left="4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8.8</w:t>
            </w:r>
          </w:p>
        </w:tc>
      </w:tr>
      <w:tr>
        <w:trPr>
          <w:trHeight w:val="547"/>
        </w:trPr>
        <w:tc>
          <w:tcPr>
            <w:tcW w:w="61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7"/>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63"/>
        </w:trPr>
        <w:tc>
          <w:tcPr>
            <w:tcW w:w="61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20.6</w:t>
            </w:r>
          </w:p>
        </w:tc>
      </w:tr>
      <w:tr>
        <w:trPr>
          <w:trHeight w:val="277"/>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and non-current assets</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r>
      <w:tr>
        <w:trPr>
          <w:trHeight w:val="263"/>
        </w:trPr>
        <w:tc>
          <w:tcPr>
            <w:tcW w:w="6180" w:type="dxa"/>
            <w:vAlign w:val="bottom"/>
          </w:tcPr>
          <w:p>
            <w:pPr>
              <w:ind w:left="440"/>
              <w:spacing w:after="0"/>
              <w:rPr>
                <w:sz w:val="20"/>
                <w:szCs w:val="20"/>
                <w:color w:val="auto"/>
              </w:rPr>
            </w:pPr>
            <w:r>
              <w:rPr>
                <w:rFonts w:ascii="Arial" w:cs="Arial" w:eastAsia="Arial" w:hAnsi="Arial"/>
                <w:sz w:val="18"/>
                <w:szCs w:val="18"/>
                <w:color w:val="auto"/>
              </w:rPr>
              <w:t>Restructuring reserve</w:t>
            </w:r>
          </w:p>
        </w:tc>
        <w:tc>
          <w:tcPr>
            <w:tcW w:w="28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15.0</w:t>
            </w:r>
          </w:p>
        </w:tc>
      </w:tr>
      <w:tr>
        <w:trPr>
          <w:trHeight w:val="284"/>
        </w:trPr>
        <w:tc>
          <w:tcPr>
            <w:tcW w:w="6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payable and accrued current and non-current liabilities</w:t>
            </w:r>
          </w:p>
        </w:tc>
        <w:tc>
          <w:tcPr>
            <w:tcW w:w="2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77"/>
        </w:trPr>
        <w:tc>
          <w:tcPr>
            <w:tcW w:w="618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49.4</w:t>
            </w:r>
          </w:p>
        </w:tc>
      </w:tr>
      <w:tr>
        <w:trPr>
          <w:trHeight w:val="533"/>
        </w:trPr>
        <w:tc>
          <w:tcPr>
            <w:tcW w:w="6180" w:type="dxa"/>
            <w:vAlign w:val="bottom"/>
          </w:tcPr>
          <w:p>
            <w:pPr>
              <w:ind w:left="40"/>
              <w:spacing w:after="0"/>
              <w:rPr>
                <w:sz w:val="20"/>
                <w:szCs w:val="20"/>
                <w:color w:val="auto"/>
              </w:rPr>
            </w:pPr>
            <w:r>
              <w:rPr>
                <w:rFonts w:ascii="Arial" w:cs="Arial" w:eastAsia="Arial" w:hAnsi="Arial"/>
                <w:sz w:val="18"/>
                <w:szCs w:val="18"/>
                <w:color w:val="auto"/>
              </w:rPr>
              <w:t>Cash Flow From Investing Activities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7"/>
        </w:trPr>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short-term investments</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63"/>
        </w:trPr>
        <w:tc>
          <w:tcPr>
            <w:tcW w:w="6180" w:type="dxa"/>
            <w:vAlign w:val="bottom"/>
          </w:tcPr>
          <w:p>
            <w:pPr>
              <w:ind w:left="200"/>
              <w:spacing w:after="0"/>
              <w:rPr>
                <w:sz w:val="20"/>
                <w:szCs w:val="20"/>
                <w:color w:val="auto"/>
              </w:rPr>
            </w:pPr>
            <w:r>
              <w:rPr>
                <w:rFonts w:ascii="Arial" w:cs="Arial" w:eastAsia="Arial" w:hAnsi="Arial"/>
                <w:sz w:val="18"/>
                <w:szCs w:val="18"/>
                <w:color w:val="auto"/>
              </w:rPr>
              <w:t>Maturities of short-term investments</w:t>
            </w:r>
          </w:p>
        </w:tc>
        <w:tc>
          <w:tcPr>
            <w:tcW w:w="28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14.1</w:t>
            </w:r>
          </w:p>
        </w:tc>
      </w:tr>
      <w:tr>
        <w:trPr>
          <w:trHeight w:val="277"/>
        </w:trPr>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plant and equipment and other</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r>
      <w:tr>
        <w:trPr>
          <w:trHeight w:val="263"/>
        </w:trPr>
        <w:tc>
          <w:tcPr>
            <w:tcW w:w="6180" w:type="dxa"/>
            <w:vAlign w:val="bottom"/>
          </w:tcPr>
          <w:p>
            <w:pPr>
              <w:ind w:left="200"/>
              <w:spacing w:after="0"/>
              <w:rPr>
                <w:sz w:val="20"/>
                <w:szCs w:val="20"/>
                <w:color w:val="auto"/>
              </w:rPr>
            </w:pPr>
            <w:r>
              <w:rPr>
                <w:rFonts w:ascii="Arial" w:cs="Arial" w:eastAsia="Arial" w:hAnsi="Arial"/>
                <w:sz w:val="18"/>
                <w:szCs w:val="18"/>
                <w:color w:val="auto"/>
              </w:rPr>
              <w:t>Intangible assets purchases</w:t>
            </w: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84"/>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Equity and Cost Method Investments</w:t>
            </w:r>
          </w:p>
        </w:tc>
        <w:tc>
          <w:tcPr>
            <w:tcW w:w="2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77"/>
        </w:trPr>
        <w:tc>
          <w:tcPr>
            <w:tcW w:w="61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(29.8 )</w:t>
            </w:r>
          </w:p>
        </w:tc>
      </w:tr>
      <w:tr>
        <w:trPr>
          <w:trHeight w:val="533"/>
        </w:trPr>
        <w:tc>
          <w:tcPr>
            <w:tcW w:w="61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7"/>
        </w:trPr>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r>
      <w:tr>
        <w:trPr>
          <w:trHeight w:val="263"/>
        </w:trPr>
        <w:tc>
          <w:tcPr>
            <w:tcW w:w="6180" w:type="dxa"/>
            <w:vAlign w:val="bottom"/>
          </w:tcPr>
          <w:p>
            <w:pPr>
              <w:ind w:left="200"/>
              <w:spacing w:after="0"/>
              <w:rPr>
                <w:sz w:val="20"/>
                <w:szCs w:val="20"/>
                <w:color w:val="auto"/>
              </w:rPr>
            </w:pPr>
            <w:r>
              <w:rPr>
                <w:rFonts w:ascii="Arial" w:cs="Arial" w:eastAsia="Arial" w:hAnsi="Arial"/>
                <w:sz w:val="18"/>
                <w:szCs w:val="18"/>
                <w:color w:val="auto"/>
              </w:rPr>
              <w:t>Short-term repayments</w:t>
            </w: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(39.9 )</w:t>
            </w:r>
          </w:p>
        </w:tc>
      </w:tr>
      <w:tr>
        <w:trPr>
          <w:trHeight w:val="277"/>
        </w:trPr>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 obligations</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r>
      <w:tr>
        <w:trPr>
          <w:trHeight w:val="263"/>
        </w:trPr>
        <w:tc>
          <w:tcPr>
            <w:tcW w:w="6180" w:type="dxa"/>
            <w:vAlign w:val="bottom"/>
          </w:tcPr>
          <w:p>
            <w:pPr>
              <w:ind w:left="200"/>
              <w:spacing w:after="0"/>
              <w:rPr>
                <w:sz w:val="20"/>
                <w:szCs w:val="20"/>
                <w:color w:val="auto"/>
              </w:rPr>
            </w:pPr>
            <w:r>
              <w:rPr>
                <w:rFonts w:ascii="Arial" w:cs="Arial" w:eastAsia="Arial" w:hAnsi="Arial"/>
                <w:sz w:val="18"/>
                <w:szCs w:val="18"/>
                <w:color w:val="auto"/>
              </w:rPr>
              <w:t>Repayment of long-term debt obligations</w:t>
            </w: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77"/>
        </w:trPr>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trade receivable advances</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r>
      <w:tr>
        <w:trPr>
          <w:trHeight w:val="263"/>
        </w:trPr>
        <w:tc>
          <w:tcPr>
            <w:tcW w:w="6180" w:type="dxa"/>
            <w:vAlign w:val="bottom"/>
          </w:tcPr>
          <w:p>
            <w:pPr>
              <w:ind w:left="200"/>
              <w:spacing w:after="0"/>
              <w:rPr>
                <w:sz w:val="20"/>
                <w:szCs w:val="20"/>
                <w:color w:val="auto"/>
              </w:rPr>
            </w:pPr>
            <w:r>
              <w:rPr>
                <w:rFonts w:ascii="Arial" w:cs="Arial" w:eastAsia="Arial" w:hAnsi="Arial"/>
                <w:sz w:val="18"/>
                <w:szCs w:val="18"/>
                <w:color w:val="auto"/>
              </w:rPr>
              <w:t>Loans to equity method investees</w:t>
            </w: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77"/>
        </w:trPr>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options for common stock</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r>
      <w:tr>
        <w:trPr>
          <w:trHeight w:val="263"/>
        </w:trPr>
        <w:tc>
          <w:tcPr>
            <w:tcW w:w="6180" w:type="dxa"/>
            <w:vAlign w:val="bottom"/>
          </w:tcPr>
          <w:p>
            <w:pPr>
              <w:ind w:left="200"/>
              <w:spacing w:after="0"/>
              <w:rPr>
                <w:sz w:val="20"/>
                <w:szCs w:val="20"/>
                <w:color w:val="auto"/>
              </w:rPr>
            </w:pPr>
            <w:r>
              <w:rPr>
                <w:rFonts w:ascii="Arial" w:cs="Arial" w:eastAsia="Arial" w:hAnsi="Arial"/>
                <w:sz w:val="18"/>
                <w:szCs w:val="18"/>
                <w:color w:val="auto"/>
              </w:rPr>
              <w:t>Realized excess tax benefits - stock-based compensation</w:t>
            </w:r>
          </w:p>
        </w:tc>
        <w:tc>
          <w:tcPr>
            <w:tcW w:w="28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84"/>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ordinary stock</w:t>
            </w:r>
          </w:p>
        </w:tc>
        <w:tc>
          <w:tcPr>
            <w:tcW w:w="2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77"/>
        </w:trPr>
        <w:tc>
          <w:tcPr>
            <w:tcW w:w="6180" w:type="dxa"/>
            <w:vAlign w:val="bottom"/>
          </w:tcPr>
          <w:p>
            <w:pPr>
              <w:ind w:left="6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(69.6 )</w:t>
            </w:r>
          </w:p>
        </w:tc>
      </w:tr>
      <w:tr>
        <w:trPr>
          <w:trHeight w:val="547"/>
        </w:trPr>
        <w:tc>
          <w:tcPr>
            <w:tcW w:w="61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r>
      <w:tr>
        <w:trPr>
          <w:trHeight w:val="270"/>
        </w:trPr>
        <w:tc>
          <w:tcPr>
            <w:tcW w:w="6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(49.0 )</w:t>
            </w:r>
          </w:p>
        </w:tc>
      </w:tr>
      <w:tr>
        <w:trPr>
          <w:trHeight w:val="270"/>
        </w:trPr>
        <w:tc>
          <w:tcPr>
            <w:tcW w:w="6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112.6</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63.6</w:t>
            </w:r>
          </w:p>
        </w:tc>
      </w:tr>
      <w:tr>
        <w:trPr>
          <w:trHeight w:val="21"/>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*Numbers may not add due to rounding.</w:t>
      </w:r>
    </w:p>
    <w:p>
      <w:pPr>
        <w:sectPr>
          <w:pgSz w:w="11900" w:h="16838" w:orient="portrait"/>
          <w:cols w:equalWidth="0" w:num="1">
            <w:col w:w="10219"/>
          </w:cols>
          <w:pgMar w:left="240" w:top="121" w:right="1440" w:bottom="1440" w:gutter="0" w:footer="0" w:header="0"/>
        </w:sectPr>
      </w:pP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16</w:t>
      </w:r>
    </w:p>
    <w:sectPr>
      <w:pgSz w:w="11900" w:h="16838" w:orient="portrait"/>
      <w:cols w:equalWidth="0" w:num="1">
        <w:col w:w="10219"/>
      </w:cols>
      <w:pgMar w:left="240" w:top="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5"/>
      <w:numFmt w:val="bullet"/>
      <w:start w:val="1"/>
    </w:lvl>
  </w:abstractNum>
  <w:abstractNum w:abstractNumId="5">
    <w:nsid w:val="507ED7AB"/>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2019-12-09T01:58:40Z</dcterms:created>
  <dcterms:modified xsi:type="dcterms:W3CDTF">2019-12-09T01:58:40Z</dcterms:modified>
</cp:coreProperties>
</file>