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312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900"/>
        <w:spacing w:after="0" w:line="301"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9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2.06, Material Impairments, is hereby incorporated into this Item 2.05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November 14, 2019, the Board of Directors of LivaNova PLC (the “Company”) approved the discontinuation of its Caisson Transcatheter Mitral Valve Replacement (“TMVR”) program and the restructuring of its heart valve business. The Company’s heart valve business has experienced a revenue decline over the last five years across both biological and mechanical valves. These declines were due to multiple market conditions, while portfolio maintenance costs increased specifically due to higher regulatory requirements. The closure of TMVR operations will be effective at the end of 2019. Restructuring of the Company’s heart valve business line will be substantially complete by the end of the first quarter of 2020.</w:t>
      </w:r>
    </w:p>
    <w:p>
      <w:pPr>
        <w:spacing w:after="0" w:line="173"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As a result of winding down the TMVR program and restructuring the heart valve business, the Company expects to incur a pre-tax non-cash impairment of certain TMVR assets, including in-process research and development and goodwill, of up to approximately $135 million (the current book value of TMVR’s intangible assets). Additionally, the Company expects to incur other expenditures including employee severance, exit and disposal costs, which are estimated to not be significant, neither individually nor in the aggregate. The impairment will be incurred in the fourth quarter of 2019, and the employee severance, exit and disposal costs will be incurred in the fourth quarter of 2019 and the first half of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This Current Report on Form 8-K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Current Report on Form 8-K are based on information presently available to the Company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You should carefully consider the risks and uncertainties that affect the Company, including those described in the “Risk Factors” section of the Company’s Annual Reports on Form 10-K, Quarterly Reports on Form 10-Q, Current Reports on Form 8-K and other documents filed from time to time with the United States Securities and Exchange Commission.</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Company does not undertake or assume any obligation to update publicly any of the forward-looking statements in this Current Report on Form 8-K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Exhibit</w:t>
            </w:r>
          </w:p>
        </w:tc>
        <w:tc>
          <w:tcPr>
            <w:tcW w:w="9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980" w:type="dxa"/>
            <w:vAlign w:val="bottom"/>
            <w:gridSpan w:val="2"/>
          </w:tcPr>
          <w:p>
            <w:pPr>
              <w:spacing w:after="0"/>
              <w:rPr>
                <w:sz w:val="17"/>
                <w:szCs w:val="17"/>
                <w:color w:val="auto"/>
              </w:rPr>
            </w:pPr>
          </w:p>
        </w:tc>
      </w:tr>
      <w:tr>
        <w:trPr>
          <w:trHeight w:val="250"/>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920" w:type="dxa"/>
            <w:vAlign w:val="bottom"/>
          </w:tcPr>
          <w:p>
            <w:pPr>
              <w:spacing w:after="0"/>
              <w:rPr>
                <w:sz w:val="21"/>
                <w:szCs w:val="21"/>
                <w:color w:val="auto"/>
              </w:rPr>
            </w:pPr>
          </w:p>
        </w:tc>
        <w:tc>
          <w:tcPr>
            <w:tcW w:w="47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issued by LivaNova PLC dated November 20, 2019</w:t>
              </w:r>
            </w:hyperlink>
          </w:p>
        </w:tc>
        <w:tc>
          <w:tcPr>
            <w:tcW w:w="1120" w:type="dxa"/>
            <w:vAlign w:val="bottom"/>
          </w:tcPr>
          <w:p>
            <w:pPr>
              <w:spacing w:after="0"/>
              <w:rPr>
                <w:sz w:val="21"/>
                <w:szCs w:val="21"/>
                <w:color w:val="auto"/>
              </w:rPr>
            </w:pPr>
          </w:p>
        </w:tc>
      </w:tr>
      <w:tr>
        <w:trPr>
          <w:trHeight w:val="291"/>
        </w:trPr>
        <w:tc>
          <w:tcPr>
            <w:tcW w:w="560" w:type="dxa"/>
            <w:vAlign w:val="bottom"/>
          </w:tcPr>
          <w:p>
            <w:pPr>
              <w:spacing w:after="0"/>
              <w:rPr>
                <w:sz w:val="20"/>
                <w:szCs w:val="20"/>
                <w:color w:val="auto"/>
              </w:rPr>
            </w:pPr>
            <w:r>
              <w:rPr>
                <w:rFonts w:ascii="Arial" w:cs="Arial" w:eastAsia="Arial" w:hAnsi="Arial"/>
                <w:sz w:val="18"/>
                <w:szCs w:val="18"/>
                <w:color w:val="auto"/>
              </w:rPr>
              <w:t>104.1</w:t>
            </w:r>
          </w:p>
        </w:tc>
        <w:tc>
          <w:tcPr>
            <w:tcW w:w="920" w:type="dxa"/>
            <w:vAlign w:val="bottom"/>
          </w:tcPr>
          <w:p>
            <w:pPr>
              <w:spacing w:after="0"/>
              <w:rPr>
                <w:sz w:val="24"/>
                <w:szCs w:val="24"/>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 (embedded within the Inline XBRL document)</w:t>
            </w:r>
          </w:p>
        </w:tc>
      </w:tr>
      <w:tr>
        <w:trPr>
          <w:trHeight w:val="675"/>
        </w:trPr>
        <w:tc>
          <w:tcPr>
            <w:tcW w:w="560" w:type="dxa"/>
            <w:vAlign w:val="bottom"/>
          </w:tcPr>
          <w:p>
            <w:pPr>
              <w:spacing w:after="0"/>
              <w:rPr>
                <w:sz w:val="24"/>
                <w:szCs w:val="24"/>
                <w:color w:val="auto"/>
              </w:rPr>
            </w:pPr>
          </w:p>
        </w:tc>
        <w:tc>
          <w:tcPr>
            <w:tcW w:w="568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24"/>
                <w:szCs w:val="24"/>
                <w:color w:val="auto"/>
              </w:rPr>
            </w:pPr>
          </w:p>
        </w:tc>
      </w:tr>
    </w:tbl>
    <w:p>
      <w:pPr>
        <w:sectPr>
          <w:pgSz w:w="11900" w:h="16838" w:orient="portrait"/>
          <w:cols w:equalWidth="0" w:num="1">
            <w:col w:w="10219"/>
          </w:cols>
          <w:pgMar w:left="240" w:top="553"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20,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33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384810</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40"/>
        <w:spacing w:after="0"/>
        <w:rPr>
          <w:sz w:val="20"/>
          <w:szCs w:val="20"/>
          <w:color w:val="auto"/>
        </w:rPr>
      </w:pPr>
      <w:r>
        <w:rPr>
          <w:rFonts w:ascii="Arial" w:cs="Arial" w:eastAsia="Arial" w:hAnsi="Arial"/>
          <w:sz w:val="20"/>
          <w:szCs w:val="20"/>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FF5C39"/>
        </w:rPr>
        <w:t>LivaNova to Restructure its Heart Valve Business Line and End Caisson Transcatheter Mitral Valve Replacement Program</w:t>
      </w:r>
    </w:p>
    <w:p>
      <w:pPr>
        <w:spacing w:after="0" w:line="339" w:lineRule="exact"/>
        <w:rPr>
          <w:sz w:val="20"/>
          <w:szCs w:val="20"/>
          <w:color w:val="auto"/>
        </w:rPr>
      </w:pPr>
    </w:p>
    <w:p>
      <w:pPr>
        <w:jc w:val="both"/>
        <w:spacing w:after="0" w:line="382" w:lineRule="auto"/>
        <w:rPr>
          <w:sz w:val="20"/>
          <w:szCs w:val="20"/>
          <w:color w:val="auto"/>
        </w:rPr>
      </w:pPr>
      <w:r>
        <w:rPr>
          <w:rFonts w:ascii="Arial" w:cs="Arial" w:eastAsia="Arial" w:hAnsi="Arial"/>
          <w:sz w:val="20"/>
          <w:szCs w:val="20"/>
          <w:b w:val="1"/>
          <w:bCs w:val="1"/>
          <w:color w:val="auto"/>
        </w:rPr>
        <w:t xml:space="preserve">London, November 20, 2019 – </w:t>
      </w:r>
      <w:r>
        <w:rPr>
          <w:rFonts w:ascii="Arial" w:cs="Arial" w:eastAsia="Arial" w:hAnsi="Arial"/>
          <w:sz w:val="20"/>
          <w:szCs w:val="20"/>
          <w:color w:val="auto"/>
        </w:rPr>
        <w:t>LivaNova PLC (NASDAQ:LIVN),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it is ending its Caisson Transcatheter Mitral Valve Replacement (TMVR) program and will undertake a restructuring of its heart valve business to improve profitability and ensure business continuity.</w:t>
      </w:r>
    </w:p>
    <w:p>
      <w:pPr>
        <w:spacing w:after="0" w:line="303"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“The time has come to address the continued declines we have experienced in our heart valve business. We will restructure and simplify our heart valve manufacturing network, which will eliminate operational overlap between facilities and enable us to address new regulatory requirements,” said Damien McDonald, Chief Executive Officer of LivaNova. “As we evaluated these changes along with those in the structural heart market, we determined it was no longer viable to continue to invest in our TMVR program. As a result, we will close our Caisson TMVR operations.”</w:t>
      </w:r>
    </w:p>
    <w:p>
      <w:pPr>
        <w:spacing w:after="0" w:line="317"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The LivaNova heart valve business line represented nearly $130 million in revenue for full-year 2018 and has experienced a revenue decline over the last five years across both biological and mechanical valves. These declines were due to multiple market conditions, while portfolio maintenance costs increased specifically due to higher regulatory requirements. After a comprehensive analysis, the Company determined a restructuring is necessary.</w:t>
      </w:r>
    </w:p>
    <w:p>
      <w:pPr>
        <w:spacing w:after="0" w:line="31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Under this plan, LivaNova’s Saluggia, Italy facility will become dedicated to R&amp;D and production of mechanical heart valves, rings, accessories and Nitinol stents. LivaNova tissue heart valve production will be concentrated in the Company’s Vancouver, Canada plant.</w:t>
      </w:r>
    </w:p>
    <w:p>
      <w:pPr>
        <w:spacing w:after="0" w:line="314"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closure of Caisson TMVR operations in Minneapolis, Minn. will be effective at the end of 2019. Patients who participated in clinical trials related to TMVR will continue to be followed within the parameters of the trial.</w:t>
      </w:r>
    </w:p>
    <w:p>
      <w:pPr>
        <w:sectPr>
          <w:pgSz w:w="11900" w:h="16838" w:orient="portrait"/>
          <w:cols w:equalWidth="0" w:num="1">
            <w:col w:w="11420"/>
          </w:cols>
          <w:pgMar w:left="240" w:top="1401" w:right="239" w:bottom="1440" w:gutter="0" w:footer="0" w:header="0"/>
        </w:sectPr>
      </w:pPr>
    </w:p>
    <w:bookmarkStart w:id="5" w:name="page6"/>
    <w:bookmarkEnd w:id="5"/>
    <w:p>
      <w:pPr>
        <w:jc w:val="both"/>
        <w:spacing w:after="0" w:line="370" w:lineRule="auto"/>
        <w:rPr>
          <w:sz w:val="20"/>
          <w:szCs w:val="20"/>
          <w:color w:val="auto"/>
        </w:rPr>
      </w:pPr>
      <w:r>
        <w:rPr>
          <w:rFonts w:ascii="Arial" w:cs="Arial" w:eastAsia="Arial" w:hAnsi="Arial"/>
          <w:sz w:val="20"/>
          <w:szCs w:val="20"/>
          <w:color w:val="auto"/>
        </w:rPr>
        <w:t>Under the restructuring plan, which will be implemented subject to any prior information and consultation procedure with social parties according to local legislation, it is expected that approximately 150 employees can be potentially impacted in the three sites of Saluggia, Vancouver and Minneapolis.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2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w:t>
      </w:r>
    </w:p>
    <w:p>
      <w:pPr>
        <w:sectPr>
          <w:pgSz w:w="11900" w:h="16838" w:orient="portrait"/>
          <w:cols w:equalWidth="0" w:num="1">
            <w:col w:w="11420"/>
          </w:cols>
          <w:pgMar w:left="240" w:top="555" w:right="239" w:bottom="1440" w:gutter="0" w:footer="0" w:header="0"/>
        </w:sectPr>
      </w:pPr>
    </w:p>
    <w:bookmarkStart w:id="6" w:name="page7"/>
    <w:bookmarkEnd w:id="6"/>
    <w:p>
      <w:pPr>
        <w:jc w:val="both"/>
        <w:ind w:right="20"/>
        <w:spacing w:after="0" w:line="373" w:lineRule="auto"/>
        <w:rPr>
          <w:sz w:val="20"/>
          <w:szCs w:val="20"/>
          <w:color w:val="auto"/>
        </w:rPr>
      </w:pPr>
      <w:r>
        <w:rPr>
          <w:rFonts w:ascii="Arial" w:cs="Arial" w:eastAsia="Arial" w:hAnsi="Arial"/>
          <w:sz w:val="20"/>
          <w:szCs w:val="20"/>
          <w:color w:val="auto"/>
        </w:rPr>
        <w:t>Reports on Form 10-Q, Current Reports on Form 8-K and other documents filed from time to time with the United States Securities and Exchange Commission.</w:t>
      </w:r>
    </w:p>
    <w:p>
      <w:pPr>
        <w:spacing w:after="0" w:line="3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news release.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FF5C39"/>
        </w:rPr>
        <w:t>LivaNova PLC Investor Relations and Media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Melissa Farina, </w:t>
      </w:r>
      <w:r>
        <w:rPr>
          <w:rFonts w:ascii="Arial" w:cs="Arial" w:eastAsia="Arial" w:hAnsi="Arial"/>
          <w:sz w:val="20"/>
          <w:szCs w:val="20"/>
          <w:color w:val="auto"/>
        </w:rPr>
        <w:t>+1 (281) 228-7262</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FF0000"/>
        </w:rPr>
        <w:t>InvestorRelations@livanova.com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Director,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FF5C39"/>
        </w:rPr>
        <w:t>Corporate.Communications@livanova.com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5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2019-12-28T01:18:50Z</dcterms:created>
  <dcterms:modified xsi:type="dcterms:W3CDTF">2019-12-28T01:18:50Z</dcterms:modified>
</cp:coreProperties>
</file>