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0000FF"/>
        </w:rPr>
        <w:t>LivaNova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G5509L101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G5509L101</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6,734,558.00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6,922,335.00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6,922,335.00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HC</w:t>
      </w:r>
    </w:p>
    <w:p>
      <w:pPr>
        <w:spacing w:after="0" w:line="200" w:lineRule="exact"/>
        <w:rPr>
          <w:sz w:val="20"/>
          <w:szCs w:val="20"/>
          <w:color w:val="auto"/>
        </w:rPr>
      </w:pPr>
    </w:p>
    <w:p>
      <w:pPr>
        <w:sectPr>
          <w:pgSz w:w="11900" w:h="16838" w:orient="portrait"/>
          <w:cols w:equalWidth="0" w:num="2">
            <w:col w:w="1060" w:space="60"/>
            <w:col w:w="9880"/>
          </w:cols>
          <w:pgMar w:left="360" w:top="166" w:right="5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LivaNova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 EASTBOURNE TERRACE, LONDON, UNITED KINGDOM, W2 6LG</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20" w:hanging="912"/>
        <w:spacing w:after="0" w:line="23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G5509L101</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ectPr>
          <w:pgSz w:w="11900" w:h="16838" w:orient="portrait"/>
          <w:cols w:equalWidth="0" w:num="1">
            <w:col w:w="11000"/>
          </w:cols>
          <w:pgMar w:left="360" w:top="166" w:right="539" w:bottom="0" w:gutter="0" w:footer="0" w:header="0"/>
          <w:type w:val="continuous"/>
        </w:sectPr>
      </w:pPr>
    </w:p>
    <w:bookmarkStart w:id="2" w:name="page3"/>
    <w:bookmarkEnd w:id="2"/>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6,922,335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12.7%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6,734,558</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6,922,335</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24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LivaNova PLC. No one person's interest in the common stock of LivaNova PLC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1">
            <w:col w:w="11140"/>
          </w:cols>
          <w:pgMar w:left="360" w:top="126" w:right="39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07/18/2025</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26"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5"/>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2025-07-18T13:16:54Z</dcterms:created>
  <dcterms:modified xsi:type="dcterms:W3CDTF">2025-07-18T13:16:54Z</dcterms:modified>
</cp:coreProperties>
</file>