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60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078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Manko Douglas John</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03/30/2020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21"/>
        <w:spacing w:after="0"/>
        <w:rPr>
          <w:sz w:val="20"/>
          <w:szCs w:val="20"/>
          <w:color w:val="auto"/>
        </w:rPr>
      </w:pPr>
      <w:r>
        <w:rPr>
          <w:rFonts w:ascii="Arial" w:cs="Arial" w:eastAsia="Arial" w:hAnsi="Arial"/>
          <w:sz w:val="17"/>
          <w:szCs w:val="17"/>
          <w:color w:val="0000FF"/>
        </w:rPr>
        <w:t>Chief Accounting Officer</w:t>
      </w:r>
    </w:p>
    <w:p>
      <w:pPr>
        <w:spacing w:after="0" w:line="305" w:lineRule="exact"/>
        <w:rPr>
          <w:sz w:val="24"/>
          <w:szCs w:val="24"/>
          <w:color w:val="auto"/>
        </w:rPr>
      </w:pPr>
    </w:p>
    <w:p>
      <w:pPr>
        <w:sectPr>
          <w:pgSz w:w="11900" w:h="16838" w:orient="portrait"/>
          <w:cols w:equalWidth="0" w:num="3">
            <w:col w:w="3180" w:space="720"/>
            <w:col w:w="3119" w:space="720"/>
            <w:col w:w="3341"/>
          </w:cols>
          <w:pgMar w:left="460" w:top="221"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6968490" cy="129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297305"/>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40"/>
            <w:col w:w="718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2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62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03/30/2020</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0000FF"/>
              </w:rPr>
              <w:t>257</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3,338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03/30/2020</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F</w:t>
            </w:r>
          </w:p>
        </w:tc>
        <w:tc>
          <w:tcPr>
            <w:tcW w:w="660" w:type="dxa"/>
            <w:vAlign w:val="bottom"/>
            <w:tcBorders>
              <w:bottom w:val="single" w:sz="8" w:color="2C2C2C"/>
            </w:tcBorders>
          </w:tcPr>
          <w:p>
            <w:pPr>
              <w:jc w:val="center"/>
              <w:ind w:right="2"/>
              <w:spacing w:after="0" w:line="309" w:lineRule="exact"/>
              <w:rPr>
                <w:sz w:val="20"/>
                <w:szCs w:val="20"/>
                <w:color w:val="auto"/>
              </w:rPr>
            </w:pPr>
            <w:r>
              <w:rPr>
                <w:rFonts w:ascii="Arial" w:cs="Arial" w:eastAsia="Arial" w:hAnsi="Arial"/>
                <w:sz w:val="33"/>
                <w:szCs w:val="33"/>
                <w:color w:val="0000FF"/>
                <w:vertAlign w:val="subscript"/>
              </w:rPr>
              <w:t>61</w:t>
            </w:r>
            <w:r>
              <w:rPr>
                <w:rFonts w:ascii="Arial" w:cs="Arial" w:eastAsia="Arial" w:hAnsi="Arial"/>
                <w:sz w:val="11"/>
                <w:szCs w:val="11"/>
                <w:color w:val="008000"/>
              </w:rPr>
              <w:t>(2)</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45.75</w:t>
            </w:r>
          </w:p>
        </w:tc>
        <w:tc>
          <w:tcPr>
            <w:tcW w:w="128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3,277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11"/>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vMerge w:val="restart"/>
          </w:tcPr>
          <w:p>
            <w:pPr>
              <w:ind w:left="20"/>
              <w:spacing w:after="0"/>
              <w:rPr>
                <w:sz w:val="20"/>
                <w:szCs w:val="20"/>
                <w:color w:val="auto"/>
              </w:rPr>
            </w:pPr>
            <w:r>
              <w:rPr>
                <w:rFonts w:ascii="Arial" w:cs="Arial" w:eastAsia="Arial" w:hAnsi="Arial"/>
                <w:sz w:val="13"/>
                <w:szCs w:val="13"/>
                <w:color w:val="0000FF"/>
              </w:rPr>
              <w:t>257</w:t>
            </w: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(4)</w:t>
            </w: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(4)</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257</w:t>
            </w:r>
          </w:p>
        </w:tc>
        <w:tc>
          <w:tcPr>
            <w:tcW w:w="60" w:type="dxa"/>
            <w:vAlign w:val="bottom"/>
          </w:tcPr>
          <w:p>
            <w:pPr>
              <w:spacing w:after="0"/>
              <w:rPr>
                <w:sz w:val="15"/>
                <w:szCs w:val="15"/>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7,012</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rPr>
              <w:t>2,582</w:t>
            </w:r>
          </w:p>
        </w:tc>
        <w:tc>
          <w:tcPr>
            <w:tcW w:w="32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(5)</w:t>
            </w: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(5)</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2,582</w:t>
            </w:r>
          </w:p>
        </w:tc>
        <w:tc>
          <w:tcPr>
            <w:tcW w:w="60" w:type="dxa"/>
            <w:vAlign w:val="bottom"/>
          </w:tcPr>
          <w:p>
            <w:pPr>
              <w:spacing w:after="0"/>
              <w:rPr>
                <w:sz w:val="15"/>
                <w:szCs w:val="15"/>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9,594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rPr>
              <w:t>2,582</w:t>
            </w:r>
          </w:p>
        </w:tc>
        <w:tc>
          <w:tcPr>
            <w:tcW w:w="32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(7)</w:t>
            </w: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(7)</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2,582</w:t>
            </w:r>
          </w:p>
        </w:tc>
        <w:tc>
          <w:tcPr>
            <w:tcW w:w="60" w:type="dxa"/>
            <w:vAlign w:val="bottom"/>
          </w:tcPr>
          <w:p>
            <w:pPr>
              <w:spacing w:after="0"/>
              <w:rPr>
                <w:sz w:val="15"/>
                <w:szCs w:val="15"/>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0"/>
              <w:spacing w:after="0"/>
              <w:rPr>
                <w:sz w:val="20"/>
                <w:szCs w:val="20"/>
                <w:color w:val="auto"/>
              </w:rPr>
            </w:pPr>
            <w:r>
              <w:rPr>
                <w:rFonts w:ascii="Arial" w:cs="Arial" w:eastAsia="Arial" w:hAnsi="Arial"/>
                <w:sz w:val="13"/>
                <w:szCs w:val="13"/>
                <w:color w:val="0000FF"/>
                <w:w w:val="90"/>
              </w:rPr>
              <w:t>12,176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rPr>
              <w:t>2,582</w:t>
            </w:r>
          </w:p>
        </w:tc>
        <w:tc>
          <w:tcPr>
            <w:tcW w:w="32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(8)</w:t>
            </w: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(8)</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2,582</w:t>
            </w:r>
          </w:p>
        </w:tc>
        <w:tc>
          <w:tcPr>
            <w:tcW w:w="60" w:type="dxa"/>
            <w:vAlign w:val="bottom"/>
          </w:tcPr>
          <w:p>
            <w:pPr>
              <w:spacing w:after="0"/>
              <w:rPr>
                <w:sz w:val="15"/>
                <w:szCs w:val="15"/>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0"/>
              <w:spacing w:after="0"/>
              <w:rPr>
                <w:sz w:val="20"/>
                <w:szCs w:val="20"/>
                <w:color w:val="auto"/>
              </w:rPr>
            </w:pPr>
            <w:r>
              <w:rPr>
                <w:rFonts w:ascii="Arial" w:cs="Arial" w:eastAsia="Arial" w:hAnsi="Arial"/>
                <w:sz w:val="13"/>
                <w:szCs w:val="13"/>
                <w:color w:val="0000FF"/>
                <w:w w:val="90"/>
              </w:rPr>
              <w:t>14,758</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91"/>
              </w:rPr>
              <w:t>(10)</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7,066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9"/>
              </w:rPr>
              <w:t>Appreciation</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50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7,066</w:t>
            </w:r>
          </w:p>
        </w:tc>
        <w:tc>
          <w:tcPr>
            <w:tcW w:w="3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0"/>
              <w:spacing w:after="0" w:line="141" w:lineRule="exact"/>
              <w:rPr>
                <w:sz w:val="20"/>
                <w:szCs w:val="20"/>
                <w:color w:val="auto"/>
              </w:rPr>
            </w:pPr>
            <w:r>
              <w:rPr>
                <w:rFonts w:ascii="Arial" w:cs="Arial" w:eastAsia="Arial" w:hAnsi="Arial"/>
                <w:sz w:val="13"/>
                <w:szCs w:val="13"/>
                <w:color w:val="0000FF"/>
                <w:w w:val="90"/>
              </w:rPr>
              <w:t>29,676</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-3083560</wp:posOffset>
            </wp:positionV>
            <wp:extent cx="7033895" cy="3125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312547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40" w:right="32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40" w:right="1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2019, subject to continued service during the vesting period and the award agreement.</w:t>
      </w:r>
    </w:p>
    <w:p>
      <w:pPr>
        <w:spacing w:after="0" w:line="26" w:lineRule="exact"/>
        <w:rPr>
          <w:rFonts w:ascii="Arial" w:cs="Arial" w:eastAsia="Arial" w:hAnsi="Arial"/>
          <w:sz w:val="13"/>
          <w:szCs w:val="13"/>
          <w:color w:val="008000"/>
        </w:rPr>
      </w:pPr>
    </w:p>
    <w:p>
      <w:pPr>
        <w:ind w:left="40" w:right="1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2020, subject to continued service during the vesting period and the award agreement.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3" w:lineRule="exact"/>
        <w:rPr>
          <w:rFonts w:ascii="Arial" w:cs="Arial" w:eastAsia="Arial" w:hAnsi="Arial"/>
          <w:sz w:val="13"/>
          <w:szCs w:val="13"/>
          <w:color w:val="008000"/>
        </w:rPr>
      </w:pPr>
    </w:p>
    <w:p>
      <w:pPr>
        <w:ind w:left="40" w:right="520" w:firstLine="1"/>
        <w:spacing w:after="0" w:line="26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2020, reporting person was granted 2,582 PSUs to vest or lapse on the filing of the Company's 2022 Form 10-K for the fiscal year ending December 31, 2022 based on how the Company's cumulative adjusted free cash flow for fiscal years 2020, 2021 and 2022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14" w:lineRule="exact"/>
        <w:rPr>
          <w:rFonts w:ascii="Arial" w:cs="Arial" w:eastAsia="Arial" w:hAnsi="Arial"/>
          <w:sz w:val="12"/>
          <w:szCs w:val="12"/>
          <w:color w:val="008000"/>
        </w:rPr>
      </w:pPr>
    </w:p>
    <w:p>
      <w:pPr>
        <w:ind w:left="40" w:right="300" w:firstLine="1"/>
        <w:spacing w:after="0" w:line="23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2,582 PSUs to vest or lapse on the filing of the Company's Annual Report on Form 10-K for the fiscal year ending December 31, 2022 ("2022 Form 10-K") based on the rank of the Company's total shareholder return for the three-year period ending December 31, 2022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$43.57 Conversion or Exercise Price of Derivative Security.</w:t>
      </w:r>
    </w:p>
    <w:p>
      <w:pPr>
        <w:spacing w:after="0" w:line="43" w:lineRule="exact"/>
        <w:rPr>
          <w:rFonts w:ascii="Arial" w:cs="Arial" w:eastAsia="Arial" w:hAnsi="Arial"/>
          <w:sz w:val="13"/>
          <w:szCs w:val="13"/>
          <w:color w:val="008000"/>
        </w:rPr>
      </w:pPr>
    </w:p>
    <w:p>
      <w:pPr>
        <w:ind w:left="40" w:right="360" w:firstLine="1"/>
        <w:spacing w:after="0" w:line="247" w:lineRule="auto"/>
        <w:tabs>
          <w:tab w:leader="none" w:pos="2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2020.</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Douglas J. Manko</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04/01/2020</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45438"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2020-04-01T19:35:57Z</dcterms:created>
  <dcterms:modified xsi:type="dcterms:W3CDTF">2020-04-01T19:35:57Z</dcterms:modified>
</cp:coreProperties>
</file>