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0" w:lineRule="exact"/>
        <w:rPr>
          <w:sz w:val="24"/>
          <w:szCs w:val="24"/>
          <w:color w:val="auto"/>
        </w:rPr>
      </w:pPr>
    </w:p>
    <w:p>
      <w:pPr>
        <w:ind w:left="2880"/>
        <w:spacing w:after="0"/>
        <w:rPr>
          <w:sz w:val="20"/>
          <w:szCs w:val="20"/>
          <w:color w:val="auto"/>
        </w:rPr>
      </w:pPr>
      <w:r>
        <w:rPr>
          <w:rFonts w:ascii="Arial" w:cs="Arial" w:eastAsia="Arial" w:hAnsi="Arial"/>
          <w:sz w:val="16"/>
          <w:szCs w:val="16"/>
          <w:b w:val="1"/>
          <w:bCs w:val="1"/>
          <w:color w:val="auto"/>
        </w:rPr>
        <w:t>As filed with the Securities and Exchange Commission on May 27, 2022</w:t>
      </w:r>
    </w:p>
    <w:p>
      <w:pPr>
        <w:spacing w:after="0" w:line="37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UNITED STATES</w:t>
      </w:r>
    </w:p>
    <w:p>
      <w:pPr>
        <w:spacing w:after="0" w:line="112"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AND EXCHANGE COMMISSION</w:t>
      </w:r>
    </w:p>
    <w:p>
      <w:pPr>
        <w:spacing w:after="0" w:line="112"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88265</wp:posOffset>
            </wp:positionV>
            <wp:extent cx="14147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8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FORM SD</w:t>
      </w:r>
    </w:p>
    <w:p>
      <w:pPr>
        <w:spacing w:after="0" w:line="112"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45085</wp:posOffset>
            </wp:positionV>
            <wp:extent cx="2400300"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900"/>
        <w:spacing w:after="0"/>
        <w:rPr>
          <w:sz w:val="20"/>
          <w:szCs w:val="20"/>
          <w:color w:val="auto"/>
        </w:rPr>
      </w:pPr>
      <w:r>
        <w:rPr>
          <w:rFonts w:ascii="Arial" w:cs="Arial" w:eastAsia="Arial" w:hAnsi="Arial"/>
          <w:sz w:val="25"/>
          <w:szCs w:val="25"/>
          <w:b w:val="1"/>
          <w:bCs w:val="1"/>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106045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England and Wales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001-37599</w:t>
      </w:r>
    </w:p>
    <w:p>
      <w:pPr>
        <w:spacing w:after="0" w:line="2"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98-1268150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(I.R.S. Employer Identification No.</w:t>
      </w:r>
    </w:p>
    <w:p>
      <w:pPr>
        <w:spacing w:after="0" w:line="12" w:lineRule="exact"/>
        <w:rPr>
          <w:sz w:val="24"/>
          <w:szCs w:val="24"/>
          <w:color w:val="auto"/>
        </w:rPr>
      </w:pPr>
    </w:p>
    <w:p>
      <w:pPr>
        <w:sectPr>
          <w:pgSz w:w="11900" w:h="16838" w:orient="portrait"/>
          <w:cols w:equalWidth="0" w:num="3">
            <w:col w:w="3880" w:space="720"/>
            <w:col w:w="2680" w:space="720"/>
            <w:col w:w="2560"/>
          </w:cols>
          <w:pgMar w:left="320" w:top="1440" w:right="1019" w:bottom="1440" w:gutter="0" w:footer="0" w:header="0"/>
          <w:type w:val="continuous"/>
        </w:sectPr>
      </w:pPr>
    </w:p>
    <w:p>
      <w:pPr>
        <w:ind w:left="880"/>
        <w:spacing w:after="0"/>
        <w:rPr>
          <w:sz w:val="20"/>
          <w:szCs w:val="20"/>
          <w:color w:val="auto"/>
        </w:rPr>
      </w:pPr>
      <w:r>
        <w:rPr>
          <w:rFonts w:ascii="Arial" w:cs="Arial" w:eastAsia="Arial" w:hAnsi="Arial"/>
          <w:sz w:val="18"/>
          <w:szCs w:val="18"/>
          <w:color w:val="auto"/>
        </w:rPr>
        <w:t>incorporation or organization</w:t>
      </w:r>
    </w:p>
    <w:p>
      <w:pPr>
        <w:spacing w:after="0" w:line="333"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20 Eastbourne Terrace</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London, United Kingdom</w:t>
      </w:r>
    </w:p>
    <w:p>
      <w:pPr>
        <w:spacing w:after="0" w:line="9"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W2 6LG</w:t>
      </w:r>
    </w:p>
    <w:p>
      <w:pPr>
        <w:spacing w:after="0" w:line="9" w:lineRule="exact"/>
        <w:rPr>
          <w:sz w:val="24"/>
          <w:szCs w:val="24"/>
          <w:color w:val="auto"/>
        </w:rPr>
      </w:pPr>
    </w:p>
    <w:p>
      <w:pPr>
        <w:jc w:val="center"/>
        <w:ind w:right="-699"/>
        <w:spacing w:after="0"/>
        <w:rPr>
          <w:sz w:val="20"/>
          <w:szCs w:val="20"/>
          <w:color w:val="auto"/>
        </w:rPr>
      </w:pPr>
      <w:r>
        <w:rPr>
          <w:rFonts w:ascii="Arial" w:cs="Arial" w:eastAsia="Arial" w:hAnsi="Arial"/>
          <w:sz w:val="16"/>
          <w:szCs w:val="16"/>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217805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Keyna Skeffington</w:t>
      </w:r>
    </w:p>
    <w:p>
      <w:pPr>
        <w:spacing w:after="0" w:line="27"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Company Secretary</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+ 44 (0) 203 325 0665</w:t>
      </w:r>
    </w:p>
    <w:p>
      <w:pPr>
        <w:spacing w:after="0" w:line="238" w:lineRule="exact"/>
        <w:rPr>
          <w:sz w:val="24"/>
          <w:szCs w:val="24"/>
          <w:color w:val="auto"/>
        </w:rPr>
      </w:pPr>
    </w:p>
    <w:p>
      <w:pPr>
        <w:ind w:left="1820"/>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212090</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indicate the rule pursuant to which this form is being filed:</w:t>
      </w:r>
    </w:p>
    <w:p>
      <w:pPr>
        <w:spacing w:after="0" w:line="100" w:lineRule="exact"/>
        <w:rPr>
          <w:sz w:val="24"/>
          <w:szCs w:val="24"/>
          <w:color w:val="auto"/>
        </w:rPr>
      </w:pPr>
    </w:p>
    <w:p>
      <w:pPr>
        <w:ind w:right="280" w:firstLine="8"/>
        <w:spacing w:after="0" w:line="283" w:lineRule="exact"/>
        <w:tabs>
          <w:tab w:leader="none" w:pos="34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Rule 13p-1 under the Securities Exchange Act (17 CFR 240.13p-1) for the reporting period from January 1 to December 31, 2021.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Rule 13q-1 under the Securities Exchange Act (17 CFR 240.13q-1) for the fiscal year ended.</w:t>
      </w:r>
    </w:p>
    <w:p>
      <w:pPr>
        <w:sectPr>
          <w:pgSz w:w="11900" w:h="16838" w:orient="portrait"/>
          <w:cols w:equalWidth="0" w:num="1">
            <w:col w:w="10560"/>
          </w:cols>
          <w:pgMar w:left="320" w:top="1440" w:right="10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21" w:lineRule="exact"/>
        <w:rPr>
          <w:sz w:val="20"/>
          <w:szCs w:val="20"/>
          <w:color w:val="auto"/>
        </w:rPr>
      </w:pPr>
    </w:p>
    <w:p>
      <w:pPr>
        <w:ind w:firstLine="583"/>
        <w:spacing w:after="0" w:line="275" w:lineRule="auto"/>
        <w:rPr>
          <w:sz w:val="20"/>
          <w:szCs w:val="20"/>
          <w:color w:val="auto"/>
        </w:rPr>
      </w:pPr>
      <w:r>
        <w:rPr>
          <w:rFonts w:ascii="Arial" w:cs="Arial" w:eastAsia="Arial" w:hAnsi="Arial"/>
          <w:sz w:val="17"/>
          <w:szCs w:val="17"/>
          <w:color w:val="auto"/>
        </w:rPr>
        <w:t>LivaNova PLC, headquartered in London, (collectively with its subsidiaries, the “Company”, “LivaNova”, “we” or “our”), is a global medical device company focused on the development and delivery of important therapeutic solutions for the benefit of patients, healthcare professionals and healthcare systems throughout the world. Working closely with our global team of medical professionals in the fields of cardiovascular disease and neuromodulation, we design, develop, manufacture and sell innovative therapeutic solutions. At LivaNova, we unite to provide hope for patients and their families through innovative medical technologies, delivering life-changing improvements for both the Head and Heart.</w:t>
      </w:r>
    </w:p>
    <w:p>
      <w:pPr>
        <w:spacing w:after="0" w:line="68" w:lineRule="exact"/>
        <w:rPr>
          <w:sz w:val="20"/>
          <w:szCs w:val="20"/>
          <w:color w:val="auto"/>
        </w:rPr>
      </w:pPr>
    </w:p>
    <w:p>
      <w:pPr>
        <w:ind w:right="40" w:firstLine="583"/>
        <w:spacing w:after="0" w:line="263" w:lineRule="auto"/>
        <w:rPr>
          <w:sz w:val="20"/>
          <w:szCs w:val="20"/>
          <w:color w:val="auto"/>
        </w:rPr>
      </w:pPr>
      <w:r>
        <w:rPr>
          <w:rFonts w:ascii="Arial" w:cs="Arial" w:eastAsia="Arial" w:hAnsi="Arial"/>
          <w:sz w:val="18"/>
          <w:szCs w:val="18"/>
          <w:color w:val="auto"/>
        </w:rPr>
        <w:t>LivaNova is filing this Specialized Disclosure report on Form SD (this “Form SD”) for LivaNova’s supply chain operations for the year ended December 31, 2021. This Form SD is presented in compliance with Rule 13p-1 under the Securities Exchange Act of 1934, as amended, for the reporting period from January 1, 2021 to December 31, 2021.</w:t>
      </w:r>
    </w:p>
    <w:p>
      <w:pPr>
        <w:spacing w:after="0" w:line="76" w:lineRule="exact"/>
        <w:rPr>
          <w:sz w:val="20"/>
          <w:szCs w:val="20"/>
          <w:color w:val="auto"/>
        </w:rPr>
      </w:pPr>
    </w:p>
    <w:p>
      <w:pPr>
        <w:ind w:right="780" w:firstLine="583"/>
        <w:spacing w:after="0" w:line="277" w:lineRule="auto"/>
        <w:rPr>
          <w:sz w:val="20"/>
          <w:szCs w:val="20"/>
          <w:color w:val="auto"/>
        </w:rPr>
      </w:pPr>
      <w:r>
        <w:rPr>
          <w:rFonts w:ascii="Arial" w:cs="Arial" w:eastAsia="Arial" w:hAnsi="Arial"/>
          <w:sz w:val="18"/>
          <w:szCs w:val="18"/>
          <w:color w:val="auto"/>
        </w:rPr>
        <w:t xml:space="preserve">A copy of our Conflict Minerals Report is filed as a part of this Form SD. A copy of this Form SD may also be found on our website at </w:t>
      </w:r>
      <w:r>
        <w:rPr>
          <w:rFonts w:ascii="Arial" w:cs="Arial" w:eastAsia="Arial" w:hAnsi="Arial"/>
          <w:sz w:val="18"/>
          <w:szCs w:val="18"/>
          <w:u w:val="single" w:color="auto"/>
          <w:color w:val="auto"/>
        </w:rPr>
        <w:t>https://investor.livanova.com/financial-information/sec-filings</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LivaNova has filed as an exhibit to this Form SD, the Conflict Minerals Report required by Item 1.01.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Resource Extraction Issuer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report.</w:t>
      </w:r>
    </w:p>
    <w:p>
      <w:pPr>
        <w:spacing w:after="0" w:line="158"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ind w:left="20"/>
        <w:spacing w:after="0"/>
        <w:tabs>
          <w:tab w:leader="none" w:pos="15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FF"/>
          </w:rPr>
          <w:t>Conflict Minerals Report as required by Items 1.01 and 1.02 of this Form SD</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00"/>
          </w:cols>
          <w:pgMar w:left="320" w:top="1417" w:right="4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5820" w:val="left"/>
        </w:tabs>
        <w:rPr>
          <w:sz w:val="20"/>
          <w:szCs w:val="20"/>
          <w:color w:val="auto"/>
        </w:rPr>
      </w:pPr>
      <w:r>
        <w:rPr>
          <w:rFonts w:ascii="Arial" w:cs="Arial" w:eastAsia="Arial" w:hAnsi="Arial"/>
          <w:sz w:val="18"/>
          <w:szCs w:val="18"/>
          <w:color w:val="auto"/>
        </w:rPr>
        <w:t>Date: May 27, 2022</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Keyna Skeffington</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404" w:right="359" w:bottom="1440" w:gutter="0" w:footer="0" w:header="0"/>
        </w:sectPr>
      </w:pPr>
    </w:p>
    <w:bookmarkStart w:id="3" w:name="page4"/>
    <w:bookmarkEnd w:id="3"/>
    <w:p>
      <w:pPr>
        <w:spacing w:after="0" w:line="32" w:lineRule="exact"/>
        <w:rPr>
          <w:sz w:val="20"/>
          <w:szCs w:val="20"/>
          <w:color w:val="auto"/>
        </w:rPr>
      </w:pPr>
    </w:p>
    <w:p>
      <w:pPr>
        <w:ind w:left="10320"/>
        <w:spacing w:after="0"/>
        <w:rPr>
          <w:sz w:val="20"/>
          <w:szCs w:val="20"/>
          <w:color w:val="auto"/>
        </w:rPr>
      </w:pPr>
      <w:r>
        <w:rPr>
          <w:rFonts w:ascii="Arial" w:cs="Arial" w:eastAsia="Arial" w:hAnsi="Arial"/>
          <w:sz w:val="16"/>
          <w:szCs w:val="16"/>
          <w:b w:val="1"/>
          <w:bCs w:val="1"/>
          <w:color w:val="auto"/>
        </w:rPr>
        <w:t>Exhibit 1.01</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jc w:val="center"/>
        <w:spacing w:after="0" w:line="203" w:lineRule="auto"/>
        <w:rPr>
          <w:sz w:val="20"/>
          <w:szCs w:val="20"/>
          <w:color w:val="auto"/>
        </w:rPr>
      </w:pPr>
      <w:r>
        <w:rPr>
          <w:rFonts w:ascii="Arial" w:cs="Arial" w:eastAsia="Arial" w:hAnsi="Arial"/>
          <w:sz w:val="18"/>
          <w:szCs w:val="18"/>
          <w:b w:val="1"/>
          <w:bCs w:val="1"/>
          <w:color w:val="auto"/>
        </w:rPr>
        <w:t>Conflict Minerals Report</w:t>
      </w: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63"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18"/>
          <w:szCs w:val="18"/>
          <w:color w:val="auto"/>
        </w:rPr>
        <w:t>This Conflict Minerals Report of LivaNova PLC (this “Report”) has been prepared for the reporting period from January 1, 2021 to December 31, 2021 pursuant to Rule 13p-1 under the Securities Exchange Act of 1934 (the “Rule”). The Rule was adopted by the Securities and Exchange Commission (“SEC”) to implement disclosure and reporting requirements pursuant to Section 1502 of the Dodd-Frank Wall Street Reform and Consumer Protection Act (the “Act”). The Act defines conflict minerals as cassiterite, columbite-tantalite (coltan), gold, wolframite or their derivatives, tin, tantalum and tungsten (“3TGs”). The “Covered Countries” for the purposes of the Rule are the Democratic Republic of the Congo (“DRC”), the Republic of the Congo, the Central African Republic, South Sudan, Uganda, Rwanda, Burundi, Tanzania, Zambia and Angola. The Rule imposes certain reporting requirements on SEC registrants who manufacture or contract to manufacture products that include 3TGs if such 3TGs are necessary to the functionality or production of the products.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Company Overview</w:t>
      </w:r>
    </w:p>
    <w:p>
      <w:pPr>
        <w:spacing w:after="0" w:line="108"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8"/>
          <w:szCs w:val="18"/>
          <w:color w:val="auto"/>
        </w:rPr>
        <w:t>This Report has been prepared by the management of LivaNova PLC (“LivaNova,” “we,” “us,” “registrant,” “Company” or “our”). It does not include the activities of variable interest entities that are not required to be consolidated.</w:t>
      </w:r>
    </w:p>
    <w:p>
      <w:pPr>
        <w:jc w:val="both"/>
        <w:ind w:firstLine="648"/>
        <w:spacing w:after="0" w:line="360" w:lineRule="auto"/>
        <w:rPr>
          <w:sz w:val="20"/>
          <w:szCs w:val="20"/>
          <w:color w:val="auto"/>
        </w:rPr>
      </w:pPr>
      <w:r>
        <w:rPr>
          <w:rFonts w:ascii="Arial" w:cs="Arial" w:eastAsia="Arial" w:hAnsi="Arial"/>
          <w:sz w:val="18"/>
          <w:szCs w:val="18"/>
          <w:color w:val="auto"/>
        </w:rPr>
        <w:t>This Conflict Minerals Report reports the reasonable country of origin inquiry (“RCOI”) conducted in good faith to determine whether any of the necessary 3TGs in LivaNova’s product offerings originated from the Covered Countries or came from recycled or scrap sources for the year ended December 31, 2021, and subsequent due diligence measures.</w:t>
      </w:r>
    </w:p>
    <w:p>
      <w:pPr>
        <w:ind w:left="660"/>
        <w:spacing w:after="0"/>
        <w:rPr>
          <w:sz w:val="20"/>
          <w:szCs w:val="20"/>
          <w:color w:val="auto"/>
        </w:rPr>
      </w:pPr>
      <w:r>
        <w:rPr>
          <w:rFonts w:ascii="Arial" w:cs="Arial" w:eastAsia="Arial" w:hAnsi="Arial"/>
          <w:sz w:val="18"/>
          <w:szCs w:val="18"/>
          <w:color w:val="auto"/>
        </w:rPr>
        <w:t>In fiscal year 2021, LivaNova operated as three reportable segments:</w:t>
      </w:r>
    </w:p>
    <w:p>
      <w:pPr>
        <w:spacing w:after="0" w:line="100" w:lineRule="exact"/>
        <w:rPr>
          <w:sz w:val="20"/>
          <w:szCs w:val="20"/>
          <w:color w:val="auto"/>
        </w:rPr>
      </w:pPr>
    </w:p>
    <w:p>
      <w:pPr>
        <w:ind w:left="660" w:hanging="353"/>
        <w:spacing w:after="0" w:line="381" w:lineRule="auto"/>
        <w:tabs>
          <w:tab w:leader="none" w:pos="657"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Cardiopulmonary: </w:t>
      </w:r>
      <w:r>
        <w:rPr>
          <w:rFonts w:ascii="Arial" w:cs="Arial" w:eastAsia="Arial" w:hAnsi="Arial"/>
          <w:sz w:val="17"/>
          <w:szCs w:val="17"/>
          <w:color w:val="auto"/>
        </w:rPr>
        <w:t>Our Cardiopulmonary segment is engaged in the development, production and sale of cardiopulmonary products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oxygenators, heart-lung machines, autotransfusion systems, perfusion tubing systems, cannulae and other related accessories.</w:t>
      </w:r>
    </w:p>
    <w:p>
      <w:pPr>
        <w:jc w:val="both"/>
        <w:ind w:left="660" w:hanging="353"/>
        <w:spacing w:after="0" w:line="360" w:lineRule="auto"/>
        <w:tabs>
          <w:tab w:leader="none" w:pos="657"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Neuromodulation: </w:t>
      </w:r>
      <w:r>
        <w:rPr>
          <w:rFonts w:ascii="Arial" w:cs="Arial" w:eastAsia="Arial" w:hAnsi="Arial"/>
          <w:sz w:val="18"/>
          <w:szCs w:val="18"/>
          <w:color w:val="auto"/>
        </w:rPr>
        <w:t>Our Neuromodulation segment designs, develops and markets devices that deliver neuromodulation therapy to treat drug-resistant epilepsy and difficult-to-treat depression. It also encompasses the development and management of clinical testing of our aura6000 System for treating obstructive sleep apnea, as well as our VITARIA System for treating heart failure.</w:t>
      </w:r>
    </w:p>
    <w:p>
      <w:pPr>
        <w:jc w:val="both"/>
        <w:ind w:left="660" w:hanging="353"/>
        <w:spacing w:after="0" w:line="407" w:lineRule="auto"/>
        <w:tabs>
          <w:tab w:leader="none" w:pos="657"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Advanced Circulatory Support: </w:t>
      </w:r>
      <w:r>
        <w:rPr>
          <w:rFonts w:ascii="Arial" w:cs="Arial" w:eastAsia="Arial" w:hAnsi="Arial"/>
          <w:sz w:val="16"/>
          <w:szCs w:val="16"/>
          <w:color w:val="auto"/>
        </w:rPr>
        <w:t>Our ACS segment is engaged in the development, production and sale of leading-edge temporary life support</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These products include cardiopulmonary and respiratory support solutions consisting of temporary life support controllers and product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kits that can include a combination of pumps, oxygenators, and cannulae.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LivaNova divested the Heart Valve business, previously part of our Cardiopulmonary segment, effective in the second quarter of 2021.</w:t>
      </w:r>
    </w:p>
    <w:p>
      <w:pPr>
        <w:spacing w:after="0" w:line="115" w:lineRule="exact"/>
        <w:rPr>
          <w:sz w:val="20"/>
          <w:szCs w:val="20"/>
          <w:color w:val="auto"/>
        </w:rPr>
      </w:pPr>
    </w:p>
    <w:p>
      <w:pPr>
        <w:ind w:right="20" w:firstLine="648"/>
        <w:spacing w:after="0" w:line="360" w:lineRule="auto"/>
        <w:rPr>
          <w:sz w:val="20"/>
          <w:szCs w:val="20"/>
          <w:color w:val="auto"/>
        </w:rPr>
      </w:pPr>
      <w:r>
        <w:rPr>
          <w:rFonts w:ascii="Arial" w:cs="Arial" w:eastAsia="Arial" w:hAnsi="Arial"/>
          <w:sz w:val="18"/>
          <w:szCs w:val="18"/>
          <w:color w:val="auto"/>
        </w:rPr>
        <w:t>Since LivaNova did not have full financial and operational control of this business for the entire 2021 fiscal reporting year, this report does not contain information specific to the Heart Valve supply chain.</w:t>
      </w:r>
    </w:p>
    <w:p>
      <w:pPr>
        <w:ind w:left="660"/>
        <w:spacing w:after="0"/>
        <w:rPr>
          <w:sz w:val="20"/>
          <w:szCs w:val="20"/>
          <w:color w:val="auto"/>
        </w:rPr>
      </w:pPr>
      <w:r>
        <w:rPr>
          <w:rFonts w:ascii="Arial" w:cs="Arial" w:eastAsia="Arial" w:hAnsi="Arial"/>
          <w:sz w:val="18"/>
          <w:szCs w:val="18"/>
          <w:color w:val="auto"/>
        </w:rPr>
        <w:t>Our broad and complex product offerings may contain 3TGs within the following components:</w:t>
      </w:r>
    </w:p>
    <w:p>
      <w:pPr>
        <w:spacing w:after="0" w:line="104" w:lineRule="exact"/>
        <w:rPr>
          <w:sz w:val="20"/>
          <w:szCs w:val="20"/>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Tantalum, used in capacitors;</w:t>
      </w:r>
    </w:p>
    <w:p>
      <w:pPr>
        <w:spacing w:after="0" w:line="103"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Tin, used in electrical components, printed circuit board assembly, hardware and equipment;</w:t>
      </w:r>
    </w:p>
    <w:p>
      <w:pPr>
        <w:spacing w:after="0" w:line="103"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Tungsten, used in coatings, alloys, heating elements and electrodes; and</w:t>
      </w:r>
    </w:p>
    <w:p>
      <w:pPr>
        <w:spacing w:after="0" w:line="103"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Gold, used in circuit boards, electrodes and electronic components.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Additional information on LivaNova is available at </w:t>
      </w:r>
      <w:r>
        <w:rPr>
          <w:rFonts w:ascii="Arial" w:cs="Arial" w:eastAsia="Arial" w:hAnsi="Arial"/>
          <w:sz w:val="18"/>
          <w:szCs w:val="18"/>
          <w:u w:val="single" w:color="auto"/>
          <w:color w:val="auto"/>
        </w:rPr>
        <w:t>www.livanova.com</w:t>
      </w:r>
      <w:r>
        <w:rPr>
          <w:rFonts w:ascii="Arial" w:cs="Arial" w:eastAsia="Arial" w:hAnsi="Arial"/>
          <w:sz w:val="18"/>
          <w:szCs w:val="18"/>
          <w:color w:val="auto"/>
        </w:rPr>
        <w:t>. Information on our website is not incorporated into this Report.</w:t>
      </w:r>
    </w:p>
    <w:p>
      <w:pPr>
        <w:sectPr>
          <w:pgSz w:w="11900" w:h="16838" w:orient="portrait"/>
          <w:cols w:equalWidth="0" w:num="1">
            <w:col w:w="11240"/>
          </w:cols>
          <w:pgMar w:left="320" w:top="1440" w:right="339" w:bottom="1440" w:gutter="0" w:footer="0" w:header="0"/>
        </w:sectPr>
      </w:pPr>
    </w:p>
    <w:bookmarkStart w:id="4" w:name="page5"/>
    <w:bookmarkEnd w:id="4"/>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General Policy and Team</w:t>
      </w:r>
    </w:p>
    <w:p>
      <w:pPr>
        <w:spacing w:after="0" w:line="108"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8"/>
          <w:szCs w:val="18"/>
          <w:color w:val="auto"/>
        </w:rPr>
        <w:t>LivaNova embraces the key principles of the International Labour Organization’s fundamental conventions. We believe that our business can only succeed where the rights of all workers involved in the value chain of our business are protected and respected, and we aim to conduct business with third parties including consultants, suppliers and other business partners (“Third Parties”) who share our commitment to operating in a responsible and ethical manner.</w:t>
      </w:r>
    </w:p>
    <w:p>
      <w:pPr>
        <w:jc w:val="both"/>
        <w:ind w:firstLine="648"/>
        <w:spacing w:after="0" w:line="360" w:lineRule="auto"/>
        <w:rPr>
          <w:sz w:val="20"/>
          <w:szCs w:val="20"/>
          <w:color w:val="auto"/>
        </w:rPr>
      </w:pPr>
      <w:r>
        <w:rPr>
          <w:rFonts w:ascii="Arial" w:cs="Arial" w:eastAsia="Arial" w:hAnsi="Arial"/>
          <w:sz w:val="18"/>
          <w:szCs w:val="18"/>
          <w:color w:val="auto"/>
        </w:rPr>
        <w:t xml:space="preserve">We strive to conduct our activities in a manner that reflects our mission and Code of Ethics and Business Conduct – which includes being a good corporate citizen, dealing fairly in business, behaving ethically, supporting a safe and healthy workplace, doing business in an environmentally responsible manner, and complying with applicable law. We are committed to ensuring that our supply chain reflects our values and beliefs, including adherence to principles of responsible sourcing for materials for our products. As part of our commitment, LivaNova supports the goals and objectives of Section 1502 of the Dodd Frank Act and seeks to uphold responsible sourcing practices. We expect our suppliers to support our efforts to comply with the Dodd Frank Act and to proactively identify and work towards eliminating the use of any minerals that fund or benefit armed groups from within our supply chain. In addition, we expect our suppliers to conduct business operations in an ethical manner and to comply with our </w:t>
      </w:r>
      <w:r>
        <w:rPr>
          <w:rFonts w:ascii="Arial" w:cs="Arial" w:eastAsia="Arial" w:hAnsi="Arial"/>
          <w:sz w:val="18"/>
          <w:szCs w:val="18"/>
          <w:u w:val="single" w:color="auto"/>
          <w:color w:val="auto"/>
        </w:rPr>
        <w:t>Code of Ethics and Business Conduct</w:t>
      </w:r>
      <w:r>
        <w:rPr>
          <w:rFonts w:ascii="Arial" w:cs="Arial" w:eastAsia="Arial" w:hAnsi="Arial"/>
          <w:sz w:val="18"/>
          <w:szCs w:val="18"/>
          <w:color w:val="auto"/>
        </w:rPr>
        <w:t xml:space="preserve">, our </w:t>
      </w:r>
      <w:r>
        <w:rPr>
          <w:rFonts w:ascii="Arial" w:cs="Arial" w:eastAsia="Arial" w:hAnsi="Arial"/>
          <w:sz w:val="18"/>
          <w:szCs w:val="18"/>
          <w:u w:val="single" w:color="auto"/>
          <w:color w:val="auto"/>
        </w:rPr>
        <w:t>Third-Party Code of Ethics and Business Conduct</w:t>
      </w:r>
      <w:r>
        <w:rPr>
          <w:rFonts w:ascii="Arial" w:cs="Arial" w:eastAsia="Arial" w:hAnsi="Arial"/>
          <w:sz w:val="18"/>
          <w:szCs w:val="18"/>
          <w:color w:val="auto"/>
        </w:rPr>
        <w:t xml:space="preserve"> and all applicable laws related to environmental responsibility, workplace health and safety, and human resources.</w:t>
      </w:r>
    </w:p>
    <w:p>
      <w:pPr>
        <w:jc w:val="both"/>
        <w:ind w:firstLine="648"/>
        <w:spacing w:after="0" w:line="363" w:lineRule="auto"/>
        <w:rPr>
          <w:sz w:val="20"/>
          <w:szCs w:val="20"/>
          <w:color w:val="auto"/>
        </w:rPr>
      </w:pPr>
      <w:r>
        <w:rPr>
          <w:rFonts w:ascii="Arial" w:cs="Arial" w:eastAsia="Arial" w:hAnsi="Arial"/>
          <w:sz w:val="18"/>
          <w:szCs w:val="18"/>
          <w:color w:val="auto"/>
        </w:rPr>
        <w:t>LivaNova created an ESG (Environmental, Social and Governance) Task Force in 2020, a cross-functional team of leaders focused on establishing a comprehensive program to optimize our ESG efforts, including implementation of our conflict minerals compliance strategy and policy. This team has executive level involvement and access to various subject matter experts from such areas as sourcing, procurement, legal and finance. Our Head of Corporate Social Responsibility is responsible for implementing our ESG programs, and all of our manufacturing locations have formal programs specified to a site level. Our Board's Nominating and Corporate Governance (“NCG”) Committee charter encompasses ESG oversight under its list of duties and responsibilities, and as a result, the NCG Committee receives regular updates on the ESG Task Force's activities at each of its quarterly meetings. The directors on the NCG Committee actively engage on this topic every quarter, and the NCG Committee Chair reports material ESG developments to the full Board quarterly.</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Reasonable Country of Origin Inquiry</w:t>
      </w:r>
    </w:p>
    <w:p>
      <w:pPr>
        <w:spacing w:after="0" w:line="108"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7"/>
          <w:szCs w:val="17"/>
          <w:color w:val="auto"/>
        </w:rPr>
        <w:t>In collaboration with our partners at Assent Compliance, a supply chain sustainability management provider, we determined which of our products potentially contain 3TGs necessary to the functionality or production of such products. We then conducted a good faith RCOI designed to determine whether any necessary 3TGs contained in our products originated in the Covered Countries or came from recycled or scrap sources. We do not purchase minerals directly from mines, smelters or refiners (“SORs”) and therefore must rely on our direct suppliers to provide information on the origin of the minerals contained in components and materials supplied to us or products manufactured for us.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began our supplier scoping process by:</w:t>
      </w:r>
    </w:p>
    <w:p>
      <w:pPr>
        <w:spacing w:after="0" w:line="104" w:lineRule="exact"/>
        <w:rPr>
          <w:sz w:val="20"/>
          <w:szCs w:val="20"/>
          <w:color w:val="auto"/>
        </w:rPr>
      </w:pPr>
    </w:p>
    <w:p>
      <w:pPr>
        <w:ind w:left="900" w:right="100" w:hanging="244"/>
        <w:spacing w:after="0" w:line="360" w:lineRule="auto"/>
        <w:tabs>
          <w:tab w:leader="none" w:pos="891"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Determining which of our products in 2021 potentially contained one or more of the 3TGs necessary to the functionality or production of such products;</w:t>
      </w:r>
    </w:p>
    <w:p>
      <w:pPr>
        <w:ind w:left="900" w:right="180" w:hanging="244"/>
        <w:spacing w:after="0" w:line="360" w:lineRule="auto"/>
        <w:tabs>
          <w:tab w:leader="none" w:pos="891"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Identifying our suppliers that manufactured or contracted to manufacture components or products containing these necessary 3TGs contained in our products; and</w:t>
      </w:r>
    </w:p>
    <w:p>
      <w:pPr>
        <w:ind w:left="880" w:hanging="224"/>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Providing this list composed of suppliers and parts associated with the in-scope products to Assent Compliance for upload to the Assent</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Compliance Manager (“ACM”), a platform to complete and track supplier communications.</w:t>
      </w:r>
    </w:p>
    <w:p>
      <w:pPr>
        <w:spacing w:after="0" w:line="104"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The supply chain survey, and the conflict minerals program as a whole, has been developed and implemented in cooperation with Assent Compliance. To collect data on the sources of origin of the necessary 3TG procured by the supply chain, LivaNova utilized the Conflict Minerals Reporting Template (“CMRT”) version 6.1 to conduct a survey of all in-scope suppliers.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36"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8"/>
          <w:szCs w:val="18"/>
          <w:color w:val="auto"/>
        </w:rPr>
        <w:t>During the supplier survey, LivaNova contacted 294 suppliers via ACM, a software-as-a-service (SaaS) platform provided by Assent Compliance that enables users to complete and track supplier communications and allows suppliers to upload completed CMRTs directly to the platform for validation, assessment and management.</w:t>
      </w:r>
    </w:p>
    <w:p>
      <w:pPr>
        <w:jc w:val="both"/>
        <w:ind w:firstLine="648"/>
        <w:spacing w:after="0" w:line="360" w:lineRule="auto"/>
        <w:rPr>
          <w:sz w:val="20"/>
          <w:szCs w:val="20"/>
          <w:color w:val="auto"/>
        </w:rPr>
      </w:pPr>
      <w:r>
        <w:rPr>
          <w:rFonts w:ascii="Arial" w:cs="Arial" w:eastAsia="Arial" w:hAnsi="Arial"/>
          <w:sz w:val="18"/>
          <w:szCs w:val="18"/>
          <w:color w:val="auto"/>
        </w:rPr>
        <w:t>Via the ACM and Assent Compliance team, LivaNova requested that all suppliers identified as possibly providing components containing necessary 3TGs, complete a CMRT. Training and education to guide suppliers on best practices and the use of this template was included. Assent Compliance monitored and tracked all communications in the ACM for future reporting and transparency. LivaNova directly contacted suppliers that were unresponsive to Assent Compliances’ repeated communication attempts during the diligence process and requested these suppliers complete the CMRT and submit it to Assent Compliance.</w:t>
      </w:r>
    </w:p>
    <w:p>
      <w:pPr>
        <w:jc w:val="both"/>
        <w:ind w:firstLine="648"/>
        <w:spacing w:after="0" w:line="360" w:lineRule="auto"/>
        <w:rPr>
          <w:sz w:val="20"/>
          <w:szCs w:val="20"/>
          <w:color w:val="auto"/>
        </w:rPr>
      </w:pPr>
      <w:r>
        <w:rPr>
          <w:rFonts w:ascii="Arial" w:cs="Arial" w:eastAsia="Arial" w:hAnsi="Arial"/>
          <w:sz w:val="18"/>
          <w:szCs w:val="18"/>
          <w:color w:val="auto"/>
        </w:rPr>
        <w:t>LivaNova’s program continues to include automated data validation on all submitted CMRTs. The goal of data validation is to increase the accuracy of submissions and identify any contradictory answers in the CMRT. This data validation is based on questions within the declaration tab of the CMRT which helps to identify areas that require further classification or risk assessment, as well as understand the due diligence efforts of the Tier 1 suppliers. The results of this data validation contribute to the program’s health assessment and are shared with the suppliers to ensure they understand areas that require clarification or improvement.</w:t>
      </w:r>
    </w:p>
    <w:p>
      <w:pPr>
        <w:jc w:val="both"/>
        <w:ind w:firstLine="648"/>
        <w:spacing w:after="0" w:line="360" w:lineRule="auto"/>
        <w:rPr>
          <w:sz w:val="20"/>
          <w:szCs w:val="20"/>
          <w:color w:val="auto"/>
        </w:rPr>
      </w:pPr>
      <w:r>
        <w:rPr>
          <w:rFonts w:ascii="Arial" w:cs="Arial" w:eastAsia="Arial" w:hAnsi="Arial"/>
          <w:sz w:val="18"/>
          <w:szCs w:val="18"/>
          <w:color w:val="auto"/>
        </w:rPr>
        <w:t>All submitted forms are accepted and classified as valid or invalid so that data is retained. Suppliers are contacted regarding invalid forms and are encouraged to submit a valid form. Suppliers are also provided with guidance on how to correct these validation errors in the form of feedback to their CMRT submission, training courses and direct engagement help through Assent Compliances’ multilingual Supplier Experience team. Since some suppliers may remain unresponsive to feedback, LivaNova tracks program gaps to account for future improvement opportunities. As of May 23, 2022, there were two invalid or incomplete supplier submissions that could not be corrected.</w:t>
      </w:r>
    </w:p>
    <w:p>
      <w:pPr>
        <w:jc w:val="both"/>
        <w:ind w:firstLine="648"/>
        <w:spacing w:after="0" w:line="360" w:lineRule="auto"/>
        <w:rPr>
          <w:sz w:val="20"/>
          <w:szCs w:val="20"/>
          <w:color w:val="auto"/>
        </w:rPr>
      </w:pPr>
      <w:r>
        <w:rPr>
          <w:rFonts w:ascii="Arial" w:cs="Arial" w:eastAsia="Arial" w:hAnsi="Arial"/>
          <w:sz w:val="18"/>
          <w:szCs w:val="18"/>
          <w:color w:val="auto"/>
        </w:rPr>
        <w:t>As of May 23, 2022, there were 294 suppliers in scope of the conflict minerals program. Of those 294 suppliers, 174 suppliers provided a completed CMRT. LivaNova’s total response rate for this reporting year was 59.2%.</w:t>
      </w:r>
    </w:p>
    <w:p>
      <w:pPr>
        <w:jc w:val="both"/>
        <w:ind w:firstLine="648"/>
        <w:spacing w:after="0" w:line="424" w:lineRule="auto"/>
        <w:rPr>
          <w:sz w:val="20"/>
          <w:szCs w:val="20"/>
          <w:color w:val="auto"/>
        </w:rPr>
      </w:pPr>
      <w:r>
        <w:rPr>
          <w:rFonts w:ascii="Arial" w:cs="Arial" w:eastAsia="Arial" w:hAnsi="Arial"/>
          <w:sz w:val="17"/>
          <w:szCs w:val="17"/>
          <w:color w:val="auto"/>
        </w:rPr>
        <w:t>Based on our RCOI, LivaNova has reason to believe that some of the necessary 3TG in our products may have originated in the Covered Countries and did not come from recycled or scrap sources. Accordingly, LivaNova conducted additional due diligence as described below.</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 Due Diligence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 Design of Due Diligence</w:t>
      </w:r>
    </w:p>
    <w:p>
      <w:pPr>
        <w:spacing w:after="0" w:line="108"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8"/>
          <w:szCs w:val="18"/>
          <w:color w:val="auto"/>
        </w:rPr>
        <w:t>LivaNova designed its due diligence process to be in conformity, in all material respects, with the Organization for Economic Co-Operation and Development (“OECD”) Due Diligence Guidance for Responsible Supply Chains of Minerals from Conflict Affected and High-Risk Areas and the related supplements for gold, tin, tantalum and tungsten (the “OECD Guidance”). The program aligns with the five steps for due diligence that are described by OECD Guidance, and LivaNova continues to evaluate market expectations for data collection and reporting to achieve continuous improvement opportunities.</w:t>
      </w:r>
    </w:p>
    <w:p>
      <w:pPr>
        <w:jc w:val="both"/>
        <w:ind w:firstLine="648"/>
        <w:spacing w:after="0" w:line="435" w:lineRule="auto"/>
        <w:rPr>
          <w:sz w:val="20"/>
          <w:szCs w:val="20"/>
          <w:color w:val="auto"/>
        </w:rPr>
      </w:pPr>
      <w:r>
        <w:rPr>
          <w:rFonts w:ascii="Arial" w:cs="Arial" w:eastAsia="Arial" w:hAnsi="Arial"/>
          <w:sz w:val="16"/>
          <w:szCs w:val="16"/>
          <w:color w:val="auto"/>
        </w:rPr>
        <w:t>Due diligence requires LivaNova to rely on data provided by direct suppliers and third-party audit programs. There is a risk of incomplete or inaccurate data as the process cannot fully be owned by LivaNova. However, through continued outreach and process validation, in collaboration with Assent Compliance, we believe that our process aligns with industry standards and market expectations for downstream companies’ due diligence.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4.1.1 Establish Strong Company Management and Control Systems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Internal Team and Training</w:t>
      </w:r>
    </w:p>
    <w:p>
      <w:pPr>
        <w:spacing w:after="0" w:line="108"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8"/>
          <w:szCs w:val="18"/>
          <w:color w:val="auto"/>
        </w:rPr>
        <w:t>LivaNova has established a management team responsible for the conflict minerals program. In 2021, our management team was overseen by the Senior Vice President of Global Operations and a team of subject matter experts from relevant functions such as, supply chain, sourcing, operations, finance and legal. The team of subject matter experts is responsible for implementing our conflict minerals compliance strategy and was led by the Vice President of Neuromodulation Operations, who acts as the Conflict Minerals Program Manager.</w:t>
      </w:r>
    </w:p>
    <w:p>
      <w:pPr>
        <w:jc w:val="both"/>
        <w:ind w:firstLine="648"/>
        <w:spacing w:after="0" w:line="358" w:lineRule="auto"/>
        <w:rPr>
          <w:sz w:val="20"/>
          <w:szCs w:val="20"/>
          <w:color w:val="auto"/>
        </w:rPr>
      </w:pPr>
      <w:r>
        <w:rPr>
          <w:rFonts w:ascii="Arial" w:cs="Arial" w:eastAsia="Arial" w:hAnsi="Arial"/>
          <w:sz w:val="18"/>
          <w:szCs w:val="18"/>
          <w:color w:val="auto"/>
        </w:rPr>
        <w:t>LivaNova leverages Assent Compliances’ Managed Services to work with dedicated program specialists who support LivaNova’s conflict minerals program. LivaNova communicates regularly with the Assent Compliance team to receive updates on program status. Each member of Assent Compliance’s Customer Success team is trained in conflict minerals compliance and understands the intricacies of CMRT and conflict minerals reporting, as well as Section 1502 of the Dodd-Frank Act.</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Control Systems and Company Policies</w:t>
      </w:r>
    </w:p>
    <w:p>
      <w:pPr>
        <w:spacing w:after="0" w:line="108"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8"/>
          <w:szCs w:val="18"/>
          <w:color w:val="auto"/>
        </w:rPr>
        <w:t>LivaNova controls include, but are not limited to, our Code of Ethics and Business Conduct which outlines certain expected behaviors for all employees. In addition, we rely on our direct suppliers to provide information on the origin of the necessary 3TGs contained in components and materials supplied to us, including sources of necessary 3TGs that are supplied to them from lower tier suppliers.</w:t>
      </w:r>
    </w:p>
    <w:p>
      <w:pPr>
        <w:jc w:val="both"/>
        <w:ind w:firstLine="648"/>
        <w:spacing w:after="0" w:line="360" w:lineRule="auto"/>
        <w:rPr>
          <w:sz w:val="20"/>
          <w:szCs w:val="20"/>
          <w:color w:val="auto"/>
        </w:rPr>
      </w:pPr>
      <w:r>
        <w:rPr>
          <w:rFonts w:ascii="Arial" w:cs="Arial" w:eastAsia="Arial" w:hAnsi="Arial"/>
          <w:sz w:val="18"/>
          <w:szCs w:val="18"/>
          <w:color w:val="auto"/>
        </w:rPr>
        <w:t>Our Third-Party Code of Ethics and Business Conduct (“Third-Party Code of Conduct”), which we have published externally (in multiple languages) as well as within our distributor agreements and purchase order terms and conditions, defines the standards we require all LivaNova Third Parties to comply with when doing business with us, in addition to all applicable laws, regulations and industry standards. In 2021, the Third-Party Code of Conduct was updated to incorporate a training component whereby we request our third-party partners complete an online training relating to our expectations around our ethical standards.</w:t>
      </w:r>
    </w:p>
    <w:p>
      <w:pPr>
        <w:jc w:val="both"/>
        <w:ind w:firstLine="648"/>
        <w:spacing w:after="0" w:line="360" w:lineRule="auto"/>
        <w:rPr>
          <w:sz w:val="20"/>
          <w:szCs w:val="20"/>
          <w:color w:val="auto"/>
        </w:rPr>
      </w:pPr>
      <w:r>
        <w:rPr>
          <w:rFonts w:ascii="Arial" w:cs="Arial" w:eastAsia="Arial" w:hAnsi="Arial"/>
          <w:sz w:val="18"/>
          <w:szCs w:val="18"/>
          <w:color w:val="auto"/>
        </w:rPr>
        <w:t>Compliance with our Third-Party Code of Conduct informs an important part of LivaNova’s Third Party selection and evaluation. We require Third Parties to meet our requirements and to pass on these requirements to their respective supply chains. If an audit conducted by or on behalf of LivaNova reveals non-alignment with our Third Party Code of Ethics and Business Conduct, we have the right to take corrective measures that, in the event of significant non-compliance, may also include immediate termination of the business relationship.</w:t>
      </w:r>
    </w:p>
    <w:p>
      <w:pPr>
        <w:jc w:val="both"/>
        <w:ind w:firstLine="648"/>
        <w:spacing w:after="0" w:line="358" w:lineRule="auto"/>
        <w:rPr>
          <w:sz w:val="20"/>
          <w:szCs w:val="20"/>
          <w:color w:val="auto"/>
        </w:rPr>
      </w:pPr>
      <w:r>
        <w:rPr>
          <w:rFonts w:ascii="Arial" w:cs="Arial" w:eastAsia="Arial" w:hAnsi="Arial"/>
          <w:sz w:val="18"/>
          <w:szCs w:val="18"/>
          <w:color w:val="auto"/>
        </w:rPr>
        <w:t>Also, our General Terms and Conditions for the Purchase of Products and Services included with our purchase orders specify that, in order to conduct business with LivaNova, a supplier may be required to complete a questionnaire designed to identify the potential presence of 3TGs in any products it sells to LivaNova, and if necessary, perform appropriate due diligence.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Supplier Engagement</w:t>
      </w:r>
    </w:p>
    <w:p>
      <w:pPr>
        <w:spacing w:after="0" w:line="108"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7"/>
          <w:szCs w:val="17"/>
          <w:color w:val="auto"/>
        </w:rPr>
        <w:t>As we do not have a direct relationship with 3TGs SORs, we are engaged and actively cooperate with other manufacturers in our industry and other sectors. We rely primarily on our Tier 1 direct suppliers to provide information on the origin of the necessary 3TGs contained in components and materials supplied to us, including sources of necessary 3TGs that are supplied to them from lower tier suppliers.</w:t>
      </w:r>
    </w:p>
    <w:p>
      <w:pPr>
        <w:spacing w:after="0" w:line="1"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8"/>
          <w:szCs w:val="18"/>
          <w:color w:val="auto"/>
        </w:rPr>
        <w:t>We have leveraged existing communications within the Company, specifically through our procurement personnel, to encourage supplier interactions with Assent Compliance as well for them to understand the need for completion of the surveys. LivaNova continues to place a strong emphasis on supplier education and training. To accomplish this, Assent Compliance’s online resources are leveraged, and all in-scope suppliers have been provided with access to the library of conflict minerals training and support resources.</w:t>
      </w:r>
    </w:p>
    <w:p>
      <w:pPr>
        <w:jc w:val="both"/>
        <w:ind w:firstLine="648"/>
        <w:spacing w:after="0" w:line="373" w:lineRule="auto"/>
        <w:rPr>
          <w:sz w:val="20"/>
          <w:szCs w:val="20"/>
          <w:color w:val="auto"/>
        </w:rPr>
      </w:pPr>
      <w:r>
        <w:rPr>
          <w:rFonts w:ascii="Arial" w:cs="Arial" w:eastAsia="Arial" w:hAnsi="Arial"/>
          <w:sz w:val="18"/>
          <w:szCs w:val="18"/>
          <w:color w:val="auto"/>
        </w:rPr>
        <w:t>We engage with suppliers directly to request a valid CMRT for the products that they supply to LivaNova. With respect to the OECD requirement to strengthen engagement with suppliers, LivaNova has developed an internal process that includes steps of supplier engagement escalation such as in-person meetings and corrective actions.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36" w:lineRule="exact"/>
        <w:rPr>
          <w:sz w:val="20"/>
          <w:szCs w:val="20"/>
          <w:color w:val="auto"/>
        </w:rPr>
      </w:pPr>
    </w:p>
    <w:p>
      <w:pPr>
        <w:jc w:val="both"/>
        <w:ind w:firstLine="648"/>
        <w:spacing w:after="0" w:line="378" w:lineRule="auto"/>
        <w:rPr>
          <w:sz w:val="20"/>
          <w:szCs w:val="20"/>
          <w:color w:val="auto"/>
        </w:rPr>
      </w:pPr>
      <w:r>
        <w:rPr>
          <w:rFonts w:ascii="Arial" w:cs="Arial" w:eastAsia="Arial" w:hAnsi="Arial"/>
          <w:sz w:val="17"/>
          <w:szCs w:val="17"/>
          <w:color w:val="auto"/>
        </w:rPr>
        <w:t>LivaNova believes that the combination of the LivaNova Code of Ethics and Business Conduct, Third-Party Code of Ethics and Business Conduct, and direct engagement with suppliers for conflict minerals training and requests constitute a strong supplier engagement program.</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Grievance Mechanism</w:t>
      </w:r>
    </w:p>
    <w:p>
      <w:pPr>
        <w:spacing w:after="0" w:line="108" w:lineRule="exact"/>
        <w:rPr>
          <w:sz w:val="20"/>
          <w:szCs w:val="20"/>
          <w:color w:val="auto"/>
        </w:rPr>
      </w:pPr>
    </w:p>
    <w:p>
      <w:pPr>
        <w:jc w:val="both"/>
        <w:ind w:firstLine="648"/>
        <w:spacing w:after="0" w:line="403" w:lineRule="auto"/>
        <w:rPr>
          <w:sz w:val="20"/>
          <w:szCs w:val="20"/>
          <w:color w:val="auto"/>
        </w:rPr>
      </w:pPr>
      <w:r>
        <w:rPr>
          <w:rFonts w:ascii="Arial" w:cs="Arial" w:eastAsia="Arial" w:hAnsi="Arial"/>
          <w:sz w:val="16"/>
          <w:szCs w:val="16"/>
          <w:color w:val="auto"/>
        </w:rPr>
        <w:t>LivaNova proactively promotes ethical behavior and encourages all of its stakeholders to Speak Up and report violations of laws, regulations, and/or our policies and procedures, including our Code of Ethics and Business Conduct and our Third-Party Code of Conduct. While we encourage employees to raise issues with their managers, we also maintain an Ethics and Integrity Helpline where concerns can be reported confidentially and anonymously. All reports received are triaged to ensure timely and effective follow up. In 2021, we received no reports relating to human rights violations.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Records Maintenance</w:t>
      </w:r>
    </w:p>
    <w:p>
      <w:pPr>
        <w:spacing w:after="0" w:line="108"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8"/>
          <w:szCs w:val="18"/>
          <w:color w:val="auto"/>
        </w:rPr>
        <w:t>We have retained relevant documentation from our RCOI and due diligence process. Through Assent Compliance, a document retention policy to retain conflict minerals related documents, including supplier responses to CMRTs and the sources identified within each reporting period, has been implemented.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4.1.2 Identify and Assess Risk in Our Supply Chain</w:t>
      </w:r>
    </w:p>
    <w:p>
      <w:pPr>
        <w:spacing w:after="0" w:line="108"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8"/>
          <w:szCs w:val="18"/>
          <w:color w:val="auto"/>
        </w:rPr>
        <w:t>The ACM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performed, are managed through this platform. Risks associated with supplier CMRT content are identified automatically in the ACM based on criteria established for supplier responses. These risks are addressed by Assent Compliance staff and members of the internal Conflict Minerals Team, who contact the supplier, gather pertinent data and perform an assessment of the supplier’s conflict minerals status.</w:t>
      </w:r>
    </w:p>
    <w:p>
      <w:pPr>
        <w:jc w:val="both"/>
        <w:ind w:firstLine="648"/>
        <w:spacing w:after="0" w:line="360" w:lineRule="auto"/>
        <w:rPr>
          <w:sz w:val="20"/>
          <w:szCs w:val="20"/>
          <w:color w:val="auto"/>
        </w:rPr>
      </w:pPr>
      <w:r>
        <w:rPr>
          <w:rFonts w:ascii="Arial" w:cs="Arial" w:eastAsia="Arial" w:hAnsi="Arial"/>
          <w:sz w:val="18"/>
          <w:szCs w:val="18"/>
          <w:color w:val="auto"/>
        </w:rPr>
        <w:t>Risks at the supplier level may include non-responsive suppliers, incomplete CMRTs, or CMRTs that are submitted at the company level. LivaNova is unable to determine if all of the specified SORs were used for necessary 3TGs in the products supplied to the Company in the case of a company-level CMRT. Additionally, some suppliers indicated that they received information regarding their supply chains from fewer than 75% of their suppliers and, therefore, they could not provide a comprehensive list of all smelters or refiners in their supply chains.</w:t>
      </w:r>
    </w:p>
    <w:p>
      <w:pPr>
        <w:jc w:val="both"/>
        <w:ind w:firstLine="648"/>
        <w:spacing w:after="0" w:line="360" w:lineRule="auto"/>
        <w:rPr>
          <w:sz w:val="20"/>
          <w:szCs w:val="20"/>
          <w:color w:val="auto"/>
        </w:rPr>
      </w:pPr>
      <w:r>
        <w:rPr>
          <w:rFonts w:ascii="Arial" w:cs="Arial" w:eastAsia="Arial" w:hAnsi="Arial"/>
          <w:sz w:val="18"/>
          <w:szCs w:val="18"/>
          <w:color w:val="auto"/>
        </w:rPr>
        <w:t>Risks were identified by assessing the due diligence practices and status of SORs identified in the supply chain by upstream suppliers that listed mineral processing facilities on their CMRT declarations. Assent Compliance compared facilities listed in the responses to the list of SORs consolidated by the Responsible Minerals Initiative (RMI) to ensure that the facilities met the recognized definition of a 3TG processing facility that was operational during the 2021 calendar year.</w:t>
      </w:r>
    </w:p>
    <w:p>
      <w:pPr>
        <w:jc w:val="both"/>
        <w:ind w:firstLine="648"/>
        <w:spacing w:after="0" w:line="381" w:lineRule="auto"/>
        <w:rPr>
          <w:sz w:val="20"/>
          <w:szCs w:val="20"/>
          <w:color w:val="auto"/>
        </w:rPr>
      </w:pPr>
      <w:r>
        <w:rPr>
          <w:rFonts w:ascii="Arial" w:cs="Arial" w:eastAsia="Arial" w:hAnsi="Arial"/>
          <w:sz w:val="17"/>
          <w:szCs w:val="17"/>
          <w:color w:val="auto"/>
        </w:rPr>
        <w:t>Assent Compliance determined if the smelter or refiner had been audited against a standard in conformance with the OECD Guidance, such as the Responsible Minerals Assurance Process (“RMAP”). LivaNova does not have a direct relationship with SORs and does not perform direct audits of these entities within their supply chain. SORs that have completed an RMAP audit (“RMAP Conformant”) are considered to be DRC-conflict free. In cases where the SOR’s due diligence practices have not been audited against the RMAP standard or they are considered non-conformant by RMAP, follow-ups are made to suppliers reporting those facilities. SORs are then assessed for the potential for sourcing risk.</w:t>
      </w:r>
    </w:p>
    <w:p>
      <w:pPr>
        <w:spacing w:after="0" w:line="1"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8"/>
          <w:szCs w:val="18"/>
          <w:color w:val="auto"/>
        </w:rPr>
        <w:t>Each facility that meets the definition of a SOR of a 3TG mineral is assessed according to red-flag indicators defined in the OECD Guidance. Assent Compliance uses numerous factors to determine the level of risk that each SOR poses to the supply chain by identifying red flags. These factors include:</w:t>
      </w: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Geographic proximity to the DRC and other Covered Countries</w:t>
      </w:r>
    </w:p>
    <w:p>
      <w:pPr>
        <w:spacing w:after="0" w:line="103" w:lineRule="exact"/>
        <w:rPr>
          <w:rFonts w:ascii="Arial" w:cs="Arial" w:eastAsia="Arial" w:hAnsi="Arial"/>
          <w:sz w:val="18"/>
          <w:szCs w:val="18"/>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Known mineral source country of origin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36" w:lineRule="exact"/>
        <w:rPr>
          <w:sz w:val="20"/>
          <w:szCs w:val="20"/>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RMAP audit status</w:t>
      </w:r>
    </w:p>
    <w:p>
      <w:pPr>
        <w:spacing w:after="0" w:line="103"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Credible evidence of unethical or conflict sourcing; and/or</w:t>
      </w:r>
    </w:p>
    <w:p>
      <w:pPr>
        <w:spacing w:after="0" w:line="103"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Peer assessments conducted by credible third-party sources</w:t>
      </w:r>
    </w:p>
    <w:p>
      <w:pPr>
        <w:spacing w:after="0" w:line="104"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7"/>
          <w:szCs w:val="17"/>
          <w:color w:val="auto"/>
        </w:rPr>
        <w:t>Risk mitigation activities are initiated whenever a supplier’s CMRT reported facilities of concern. Through Assent Compliance, suppliers with submissions that included any SORs of concern were immediately provided with feedback instructing that supplier to take their own independent risk mitigation actions. Additional escalation may have been necessary to address any continued sourcing from these SORs of concern. Suppliers are given clear performance objectives within reasonable timeframes with the ultimate goal of progressive elimination of these SORs of concern from the supply chain. In addition, suppliers are guided to the educational materials on mitigating the risks identified through the data collection process.</w:t>
      </w:r>
    </w:p>
    <w:p>
      <w:pPr>
        <w:spacing w:after="0" w:line="1"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6"/>
          <w:szCs w:val="16"/>
          <w:color w:val="auto"/>
        </w:rPr>
        <w:t>Suppliers are also evaluated on program strength, which assists in making key risk mitigation decisions as the program progresses. The criteria used to evaluate the strength of the program is based on certain questions in the CMRT related to the suppliers’ conflict minerals practices and policies.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4.1.3 Design and Implement a Strategy to Respond to Risks</w:t>
      </w:r>
    </w:p>
    <w:p>
      <w:pPr>
        <w:spacing w:after="0" w:line="108"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8"/>
          <w:szCs w:val="18"/>
          <w:color w:val="auto"/>
        </w:rPr>
        <w:t>Together with Assent Compliance, LivaNova developed processes to assess and respond to the risks identified in the supply chain. LivaNova has a plan, through which the conflict minerals program is implemented, managed, and monitored. As the program progresses, escalations are sent to non-responsive suppliers to outline the importance of a response via CMRTs and to outline the required cooperation for compliance to the conflict minerals rules and LivaNova’s expectations.</w:t>
      </w:r>
    </w:p>
    <w:p>
      <w:pPr>
        <w:jc w:val="both"/>
        <w:ind w:right="20" w:firstLine="648"/>
        <w:spacing w:after="0" w:line="360" w:lineRule="auto"/>
        <w:rPr>
          <w:sz w:val="20"/>
          <w:szCs w:val="20"/>
          <w:color w:val="auto"/>
        </w:rPr>
      </w:pPr>
      <w:r>
        <w:rPr>
          <w:rFonts w:ascii="Arial" w:cs="Arial" w:eastAsia="Arial" w:hAnsi="Arial"/>
          <w:sz w:val="18"/>
          <w:szCs w:val="18"/>
          <w:color w:val="auto"/>
        </w:rPr>
        <w:t>Feedback on supplier submissions is given directly to suppliers, and educational resources are provided to assist suppliers in corrective action methods or to improve their internal programs. Assent Compliance also communicates directly with SORs that have not yet been determined to be RMAP Conformant to request sourcing information and encourage their involvement with the RMI program.</w:t>
      </w:r>
    </w:p>
    <w:p>
      <w:pPr>
        <w:jc w:val="both"/>
        <w:ind w:right="40" w:firstLine="648"/>
        <w:spacing w:after="0" w:line="357" w:lineRule="auto"/>
        <w:rPr>
          <w:sz w:val="20"/>
          <w:szCs w:val="20"/>
          <w:color w:val="auto"/>
        </w:rPr>
      </w:pPr>
      <w:r>
        <w:rPr>
          <w:rFonts w:ascii="Arial" w:cs="Arial" w:eastAsia="Arial" w:hAnsi="Arial"/>
          <w:sz w:val="18"/>
          <w:szCs w:val="18"/>
          <w:color w:val="auto"/>
        </w:rPr>
        <w:t>In cases where suppliers have continuously been non-responsive or are not committed to corrective action plans, LivaNova assesses if replacement of such supplier is feasible.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4.1.4 Carry out Independent Third-Party Audit of Supply Chain Due Diligence at Identified Points in the Supply Chain</w:t>
      </w:r>
    </w:p>
    <w:p>
      <w:pPr>
        <w:spacing w:after="0" w:line="108" w:lineRule="exact"/>
        <w:rPr>
          <w:sz w:val="20"/>
          <w:szCs w:val="20"/>
          <w:color w:val="auto"/>
        </w:rPr>
      </w:pPr>
    </w:p>
    <w:p>
      <w:pPr>
        <w:jc w:val="both"/>
        <w:ind w:firstLine="648"/>
        <w:spacing w:after="0" w:line="359" w:lineRule="auto"/>
        <w:rPr>
          <w:sz w:val="20"/>
          <w:szCs w:val="20"/>
          <w:color w:val="auto"/>
        </w:rPr>
      </w:pPr>
      <w:r>
        <w:rPr>
          <w:rFonts w:ascii="Arial" w:cs="Arial" w:eastAsia="Arial" w:hAnsi="Arial"/>
          <w:sz w:val="18"/>
          <w:szCs w:val="18"/>
          <w:color w:val="auto"/>
        </w:rPr>
        <w:t>LivaNova does not have a direct relationship with SORs of 3TGs and as a result, LivaNova does not perform direct audits of these entities in its supply chain. LivaNova relies on the efforts of the industry associations that administer independent third-party SOR audit programs and encourages suppliers with more direct relationships with SORs to participate in comparable due diligence validation activities. Assent Compliance also directly contacts smelters and refiners that are not currently enrolled in the RMAP to encourage their participation and gather information regarding each facilities’ sourcing practices on behalf of its compliance partners.</w:t>
      </w:r>
    </w:p>
    <w:p>
      <w:pPr>
        <w:ind w:left="660"/>
        <w:spacing w:after="0"/>
        <w:rPr>
          <w:sz w:val="20"/>
          <w:szCs w:val="20"/>
          <w:color w:val="auto"/>
        </w:rPr>
      </w:pPr>
      <w:r>
        <w:rPr>
          <w:rFonts w:ascii="Arial" w:cs="Arial" w:eastAsia="Arial" w:hAnsi="Arial"/>
          <w:sz w:val="18"/>
          <w:szCs w:val="18"/>
          <w:b w:val="1"/>
          <w:bCs w:val="1"/>
          <w:color w:val="auto"/>
        </w:rPr>
        <w:t>4.1.5. Report on Supply Chain Due Diligence</w:t>
      </w:r>
    </w:p>
    <w:p>
      <w:pPr>
        <w:spacing w:after="0" w:line="108" w:lineRule="exact"/>
        <w:rPr>
          <w:sz w:val="20"/>
          <w:szCs w:val="20"/>
          <w:color w:val="auto"/>
        </w:rPr>
      </w:pPr>
    </w:p>
    <w:p>
      <w:pPr>
        <w:ind w:right="20" w:firstLine="648"/>
        <w:spacing w:after="0" w:line="360" w:lineRule="auto"/>
        <w:rPr>
          <w:sz w:val="20"/>
          <w:szCs w:val="20"/>
          <w:color w:val="auto"/>
        </w:rPr>
      </w:pPr>
      <w:r>
        <w:rPr>
          <w:rFonts w:ascii="Arial" w:cs="Arial" w:eastAsia="Arial" w:hAnsi="Arial"/>
          <w:sz w:val="18"/>
          <w:szCs w:val="18"/>
          <w:color w:val="auto"/>
        </w:rPr>
        <w:t xml:space="preserve">This Conflict Minerals Report is being filed with the SEC as an exhibit to our specialized disclosure report on Form SD and is available on our website at </w:t>
      </w:r>
      <w:r>
        <w:rPr>
          <w:rFonts w:ascii="Arial" w:cs="Arial" w:eastAsia="Arial" w:hAnsi="Arial"/>
          <w:sz w:val="18"/>
          <w:szCs w:val="18"/>
          <w:u w:val="single" w:color="auto"/>
          <w:color w:val="auto"/>
        </w:rPr>
        <w:t>https://investor.livanova.com/financial-information/sec-filings</w:t>
      </w:r>
      <w:r>
        <w:rPr>
          <w:rFonts w:ascii="Arial" w:cs="Arial" w:eastAsia="Arial" w:hAnsi="Arial"/>
          <w:sz w:val="18"/>
          <w:szCs w:val="18"/>
          <w:color w:val="auto"/>
        </w:rPr>
        <w:t>.</w:t>
      </w:r>
    </w:p>
    <w:p>
      <w:pPr>
        <w:jc w:val="both"/>
        <w:ind w:firstLine="648"/>
        <w:spacing w:after="0" w:line="373" w:lineRule="auto"/>
        <w:rPr>
          <w:sz w:val="20"/>
          <w:szCs w:val="20"/>
          <w:color w:val="auto"/>
        </w:rPr>
      </w:pPr>
      <w:r>
        <w:rPr>
          <w:rFonts w:ascii="Arial" w:cs="Arial" w:eastAsia="Arial" w:hAnsi="Arial"/>
          <w:sz w:val="18"/>
          <w:szCs w:val="18"/>
          <w:color w:val="auto"/>
        </w:rPr>
        <w:t>LivaNova has also considered impacts from the European Union Conflict Minerals Rule when disclosing details with regards to due diligence efforts. We continue to expand efforts to increase transparency through our data collection process and risk evaluation, as well as for disclosure by way of public reporting tools.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 Due Diligence Results</w:t>
      </w:r>
    </w:p>
    <w:p>
      <w:pPr>
        <w:spacing w:after="0" w:line="108"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7"/>
          <w:szCs w:val="17"/>
          <w:color w:val="auto"/>
        </w:rPr>
        <w:t>During our due diligence efforts, members of Assent Compliance and/or members of the LivaNova supply chain team made several follow-up inquiries to each “non-responsive” supplier who did not respond to our initial survey, by phone or email. Assent Compliance reviewed the responses against criteria developed to determine which required further engagement with our suppliers. These criteria included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36" w:lineRule="exact"/>
        <w:rPr>
          <w:sz w:val="20"/>
          <w:szCs w:val="20"/>
          <w:color w:val="auto"/>
        </w:rPr>
      </w:pPr>
    </w:p>
    <w:p>
      <w:pPr>
        <w:jc w:val="both"/>
        <w:ind w:right="20"/>
        <w:spacing w:after="0" w:line="360" w:lineRule="auto"/>
        <w:rPr>
          <w:sz w:val="20"/>
          <w:szCs w:val="20"/>
          <w:color w:val="auto"/>
        </w:rPr>
      </w:pPr>
      <w:r>
        <w:rPr>
          <w:rFonts w:ascii="Arial" w:cs="Arial" w:eastAsia="Arial" w:hAnsi="Arial"/>
          <w:sz w:val="18"/>
          <w:szCs w:val="18"/>
          <w:color w:val="auto"/>
        </w:rPr>
        <w:t>incomplete responses as well as inconsistencies within the data reported in the CMRT. Assent Compliance worked directly with those suppliers to provide revised responses.</w:t>
      </w:r>
    </w:p>
    <w:p>
      <w:pPr>
        <w:jc w:val="both"/>
        <w:ind w:firstLine="648"/>
        <w:spacing w:after="0" w:line="360" w:lineRule="auto"/>
        <w:rPr>
          <w:sz w:val="20"/>
          <w:szCs w:val="20"/>
          <w:color w:val="auto"/>
        </w:rPr>
      </w:pPr>
      <w:r>
        <w:rPr>
          <w:rFonts w:ascii="Arial" w:cs="Arial" w:eastAsia="Arial" w:hAnsi="Arial"/>
          <w:sz w:val="18"/>
          <w:szCs w:val="18"/>
          <w:color w:val="auto"/>
        </w:rPr>
        <w:t>The large majority of the received responses provided data at the supplier company level or a division/segment level relative to the supplier, rather than at a level directly relating to a part number that the supplier supplies to us or were otherwise unable to specify the SORs used for components supplied to us. We were therefore unable to determine whether any of the necessary 3TGs that these suppliers reported were contained in components or parts supplied directly to us.</w:t>
      </w:r>
    </w:p>
    <w:p>
      <w:pPr>
        <w:jc w:val="both"/>
        <w:ind w:firstLine="648"/>
        <w:spacing w:after="0" w:line="381" w:lineRule="auto"/>
        <w:rPr>
          <w:sz w:val="20"/>
          <w:szCs w:val="20"/>
          <w:color w:val="auto"/>
        </w:rPr>
      </w:pPr>
      <w:r>
        <w:rPr>
          <w:rFonts w:ascii="Arial" w:cs="Arial" w:eastAsia="Arial" w:hAnsi="Arial"/>
          <w:sz w:val="17"/>
          <w:szCs w:val="17"/>
          <w:color w:val="auto"/>
        </w:rPr>
        <w:t xml:space="preserve">As noted above, we received 174 responses from our in-scope suppliers as of May 23, 2022. Based on these responses, for all responses that indicated a SOR, our third-party consultant compared the facilities listed to the list of SORs maintained by the RMI. If a supplier indicated that the facility was certified as “Conflict-Free,” Assent Compliance confirmed that the name was listed by RMI as RMAP Conformant. No violations were identified. As of May 23, 2022, we have validated 394 SORs, and we are working to validate the additional SOR entries from the submitted CMRTs.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lists all validated smelters and refiners that the suppliers we surveyed reported as being in their supply chains. We have not listed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any smelters or refiners that we have not been able to validate.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includes an aggregated list of the potential countries of origin from which the reported SORs collectively source 3TGs, based on information provided through the CMRT data collection process, from direct smelter outreach and the RMAP. It is understood that many responses may provide more data than can be directly linked to LivaNova products, therefore,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may contain more countries than those that the necessary 3TGs in our products are being sourced from.</w:t>
      </w:r>
    </w:p>
    <w:p>
      <w:pPr>
        <w:spacing w:after="0" w:line="2"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8"/>
          <w:szCs w:val="18"/>
          <w:color w:val="auto"/>
        </w:rPr>
        <w:t>Based on the smelter lists provided by suppliers via the CMRTs and publicly available information, we have identified 239 SORs that are RMAP Conformant and an additional 18 that are RMAP Active (meaning they have committed to undergo an RMAP assessment, completed the relevant documents, and scheduled the on-site assessment) as defined by the RMI smelter data. The remaining 137 have been identified as Non-Conformant, Not Enrolled, or Not Applicable (i.e., operational status unknown).</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Efforts to Determine Mine or Location of Origin</w:t>
      </w:r>
    </w:p>
    <w:p>
      <w:pPr>
        <w:spacing w:after="0" w:line="108"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By requesting that our suppliers complete the CMRT, and, as the program progresses, requiring full completion of all necessary smelter identification information, which will enable the validation and disclosure of the SORs as well as the tracing of the 3TGs to their location of origin, we have determined that seeking information about 3TGs SORs in our supply chain represents the most reasonable effort we can make to determine the mines or locations of origin of the necessary 3TGs in our supply chain.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 Planned Process Improvements to Mitigate Risks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take the following steps to improve our conflict minerals program:</w:t>
      </w:r>
    </w:p>
    <w:p>
      <w:pPr>
        <w:spacing w:after="0" w:line="104" w:lineRule="exact"/>
        <w:rPr>
          <w:sz w:val="20"/>
          <w:szCs w:val="20"/>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Track and add new suppliers who provide components containing necessary 3TGs to the conflict minerals program.</w:t>
      </w:r>
    </w:p>
    <w:p>
      <w:pPr>
        <w:spacing w:after="0" w:line="103" w:lineRule="exact"/>
        <w:rPr>
          <w:rFonts w:ascii="Arial" w:cs="Arial" w:eastAsia="Arial" w:hAnsi="Arial"/>
          <w:sz w:val="18"/>
          <w:szCs w:val="18"/>
          <w:color w:val="auto"/>
        </w:rPr>
      </w:pPr>
    </w:p>
    <w:p>
      <w:pPr>
        <w:ind w:left="900" w:right="620" w:hanging="244"/>
        <w:spacing w:after="0" w:line="360" w:lineRule="auto"/>
        <w:tabs>
          <w:tab w:leader="none" w:pos="891"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 with suppliers and direct them to training resources to increase the response rate and improve the content of the supplier survey responses.</w:t>
      </w:r>
    </w:p>
    <w:p>
      <w:pPr>
        <w:ind w:left="900" w:right="300" w:hanging="244"/>
        <w:spacing w:after="0" w:line="381" w:lineRule="auto"/>
        <w:tabs>
          <w:tab w:leader="none" w:pos="891" w:val="left"/>
        </w:tabs>
        <w:numPr>
          <w:ilvl w:val="0"/>
          <w:numId w:val="7"/>
        </w:numPr>
        <w:rPr>
          <w:rFonts w:ascii="Arial" w:cs="Arial" w:eastAsia="Arial" w:hAnsi="Arial"/>
          <w:sz w:val="17"/>
          <w:szCs w:val="17"/>
          <w:color w:val="auto"/>
        </w:rPr>
      </w:pPr>
      <w:r>
        <w:rPr>
          <w:rFonts w:ascii="Arial" w:cs="Arial" w:eastAsia="Arial" w:hAnsi="Arial"/>
          <w:sz w:val="17"/>
          <w:szCs w:val="17"/>
          <w:color w:val="auto"/>
        </w:rPr>
        <w:t>Engage any suppliers found to be supplying necessary 3TG from sources in the DRC or any adjoining country that is not definitively “DRC conflict free”, to establish an alternative source of 3TG that they can definitively identify as “DRC conflict free”.</w:t>
      </w:r>
    </w:p>
    <w:p>
      <w:pPr>
        <w:ind w:left="900" w:right="520" w:hanging="244"/>
        <w:spacing w:after="0" w:line="360" w:lineRule="auto"/>
        <w:tabs>
          <w:tab w:leader="none" w:pos="89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consider the European Union Conflict Minerals Rule within our conflict mineral program and when applicable to LivaNova, comply with the relevant requirements.</w:t>
      </w:r>
    </w:p>
    <w:p>
      <w:pPr>
        <w:ind w:left="900" w:right="780" w:hanging="244"/>
        <w:spacing w:after="0" w:line="387" w:lineRule="auto"/>
        <w:tabs>
          <w:tab w:leader="none" w:pos="89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evaluate our conflict mineral program and, if necessary, implement relevant updates, e.g., if cobalt becomes a mandatory regulation compliance requirement.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440" w:right="339" w:bottom="1440" w:gutter="0" w:footer="0" w:header="0"/>
          <w:type w:val="continuous"/>
        </w:sectPr>
      </w:pPr>
    </w:p>
    <w:bookmarkStart w:id="10" w:name="page11"/>
    <w:bookmarkEnd w:id="10"/>
    <w:p>
      <w:pPr>
        <w:jc w:val="center"/>
        <w:ind w:right="-219"/>
        <w:spacing w:after="0"/>
        <w:rPr>
          <w:sz w:val="20"/>
          <w:szCs w:val="20"/>
          <w:color w:val="auto"/>
        </w:rPr>
      </w:pPr>
      <w:r>
        <w:rPr>
          <w:rFonts w:ascii="Arial" w:cs="Arial" w:eastAsia="Arial" w:hAnsi="Arial"/>
          <w:sz w:val="18"/>
          <w:szCs w:val="18"/>
          <w:b w:val="1"/>
          <w:bCs w:val="1"/>
          <w:u w:val="single" w:color="auto"/>
          <w:color w:val="auto"/>
        </w:rPr>
        <w:t>Appendix A 2021 Smelter or Refiner (SOR) List</w:t>
      </w:r>
    </w:p>
    <w:p>
      <w:pPr>
        <w:spacing w:after="0" w:line="243" w:lineRule="exact"/>
        <w:rPr>
          <w:sz w:val="20"/>
          <w:szCs w:val="20"/>
          <w:color w:val="auto"/>
        </w:rPr>
      </w:pPr>
    </w:p>
    <w:p>
      <w:pPr>
        <w:spacing w:after="0" w:line="295" w:lineRule="auto"/>
        <w:rPr>
          <w:sz w:val="20"/>
          <w:szCs w:val="20"/>
          <w:color w:val="auto"/>
        </w:rPr>
      </w:pPr>
      <w:r>
        <w:rPr>
          <w:rFonts w:ascii="Arial" w:cs="Arial" w:eastAsia="Arial" w:hAnsi="Arial"/>
          <w:sz w:val="18"/>
          <w:szCs w:val="18"/>
          <w:color w:val="auto"/>
        </w:rPr>
        <w:t>The following smelters and refiners were reported by our suppliers as being in their supply chains. Only those validated as being legitimate are provided. The validation process involves cross-referencing incoming data from our suppliers with the Assent Compliance database, as well as the latest publicly available Responsible Minerals Initiative (RMI) smelter data.</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340" w:type="dxa"/>
            <w:vAlign w:val="bottom"/>
            <w:tcBorders>
              <w:top w:val="single" w:sz="8" w:color="auto"/>
              <w:left w:val="single" w:sz="8" w:color="auto"/>
              <w:bottom w:val="single" w:sz="8" w:color="auto"/>
              <w:right w:val="single" w:sz="8" w:color="auto"/>
            </w:tcBorders>
            <w:shd w:val="clear" w:color="auto" w:fill="B4C6E7"/>
          </w:tcPr>
          <w:p>
            <w:pPr>
              <w:ind w:left="40"/>
              <w:spacing w:after="0"/>
              <w:rPr>
                <w:sz w:val="20"/>
                <w:szCs w:val="20"/>
                <w:color w:val="auto"/>
              </w:rPr>
            </w:pPr>
            <w:r>
              <w:rPr>
                <w:rFonts w:ascii="Arial" w:cs="Arial" w:eastAsia="Arial" w:hAnsi="Arial"/>
                <w:sz w:val="16"/>
                <w:szCs w:val="16"/>
                <w:b w:val="1"/>
                <w:bCs w:val="1"/>
                <w:color w:val="auto"/>
              </w:rPr>
              <w:t>Metal</w:t>
            </w:r>
          </w:p>
        </w:tc>
        <w:tc>
          <w:tcPr>
            <w:tcW w:w="6300" w:type="dxa"/>
            <w:vAlign w:val="bottom"/>
            <w:tcBorders>
              <w:top w:val="single" w:sz="8" w:color="auto"/>
              <w:bottom w:val="single" w:sz="8" w:color="auto"/>
              <w:right w:val="single" w:sz="8" w:color="auto"/>
            </w:tcBorders>
            <w:shd w:val="clear" w:color="auto" w:fill="B4C6E7"/>
          </w:tcPr>
          <w:p>
            <w:pPr>
              <w:spacing w:after="0"/>
              <w:rPr>
                <w:sz w:val="20"/>
                <w:szCs w:val="20"/>
                <w:color w:val="auto"/>
              </w:rPr>
            </w:pPr>
            <w:r>
              <w:rPr>
                <w:rFonts w:ascii="Arial" w:cs="Arial" w:eastAsia="Arial" w:hAnsi="Arial"/>
                <w:sz w:val="16"/>
                <w:szCs w:val="16"/>
                <w:b w:val="1"/>
                <w:bCs w:val="1"/>
                <w:color w:val="auto"/>
              </w:rPr>
              <w:t>Smelter Name</w:t>
            </w:r>
          </w:p>
        </w:tc>
        <w:tc>
          <w:tcPr>
            <w:tcW w:w="2120" w:type="dxa"/>
            <w:vAlign w:val="bottom"/>
            <w:tcBorders>
              <w:top w:val="single" w:sz="8" w:color="auto"/>
              <w:bottom w:val="single" w:sz="8" w:color="auto"/>
              <w:right w:val="single" w:sz="8" w:color="auto"/>
            </w:tcBorders>
            <w:shd w:val="clear" w:color="auto" w:fill="B4C6E7"/>
          </w:tcPr>
          <w:p>
            <w:pPr>
              <w:ind w:left="20"/>
              <w:spacing w:after="0"/>
              <w:rPr>
                <w:sz w:val="20"/>
                <w:szCs w:val="20"/>
                <w:color w:val="auto"/>
              </w:rPr>
            </w:pPr>
            <w:r>
              <w:rPr>
                <w:rFonts w:ascii="Arial" w:cs="Arial" w:eastAsia="Arial" w:hAnsi="Arial"/>
                <w:sz w:val="16"/>
                <w:szCs w:val="16"/>
                <w:b w:val="1"/>
                <w:bCs w:val="1"/>
                <w:color w:val="auto"/>
              </w:rPr>
              <w:t>Country</w:t>
            </w:r>
          </w:p>
        </w:tc>
        <w:tc>
          <w:tcPr>
            <w:tcW w:w="1180" w:type="dxa"/>
            <w:vAlign w:val="bottom"/>
            <w:tcBorders>
              <w:top w:val="single" w:sz="8" w:color="auto"/>
              <w:bottom w:val="single" w:sz="8" w:color="auto"/>
              <w:right w:val="single" w:sz="8" w:color="auto"/>
            </w:tcBorders>
            <w:shd w:val="clear" w:color="auto" w:fill="B4C6E7"/>
          </w:tcPr>
          <w:p>
            <w:pPr>
              <w:ind w:left="20"/>
              <w:spacing w:after="0"/>
              <w:rPr>
                <w:sz w:val="20"/>
                <w:szCs w:val="20"/>
                <w:color w:val="auto"/>
              </w:rPr>
            </w:pPr>
            <w:r>
              <w:rPr>
                <w:rFonts w:ascii="Arial" w:cs="Arial" w:eastAsia="Arial" w:hAnsi="Arial"/>
                <w:sz w:val="16"/>
                <w:szCs w:val="16"/>
                <w:b w:val="1"/>
                <w:bCs w:val="1"/>
                <w:color w:val="auto"/>
              </w:rPr>
              <w:t>Smelter ID</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8853 S.p.A.</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Italy</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CID002763</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Abington Reldan Metals, LLC</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CID002708</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Advanced Chemical Company</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CID000015</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African Gold Refinery</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Uganda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CID003185</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Aida Chemical Industries Co., Ltd.</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CID000019</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Al Etihad Gold Refinery DMCC</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United Arab Emirates</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CID002560</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Alexy Metals</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CID003500</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Allgemeine Gold-und Silberscheideanstalt A.G.</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CID000035</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Almalyk Mining and Metallurgical Complex (AMMC)</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Uzbekistan</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CID000041</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AngloGold Ashanti Corrego do Sitio Mineracao</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CID000058</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Argor-Heraeus S.A.</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Switzerland</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CID000077</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Asahi Pretec Corp.</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CID000082</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Asahi Refining Canada Ltd.</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Canada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CID000924</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Asahi Refining USA Inc.</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CID000920</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Asaka Riken Co., Ltd.</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CID000090</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Atasay Kuyumculuk Sanayi Ve Ticaret A.S.</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Turkey</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CID000103</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AU Traders and Refiners</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South Africa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CID002850</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Augmont Enterprises Private Limited</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CID003461</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Aurubis AG</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CID000113</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Bangalore Refinery</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CID002863</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Bangko Sentral ng Pilipinas (Central Bank of the Philippines)</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Philippines</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CID000128</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Bauer Walser AG</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CID000141</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Boliden AB</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Sweden</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CID000157</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 Hafner GmbH + Co. KG</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CID000176</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C.I Metales Procesados Industriales SAS</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Colombia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CID003421</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Caridad</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Mexico</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CID000180</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CCR Refinery - Glencore Canada Corporation</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Canada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CID000185</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Cendres + Metaux S.A.</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Switzerland</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CID000189</w:t>
            </w:r>
          </w:p>
        </w:tc>
      </w:tr>
      <w:tr>
        <w:trPr>
          <w:trHeight w:val="182"/>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CGR Metalloys Pvt Ltd.</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CID003382</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Chimet S.p.A.</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Italy</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CID000233</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Chugai Mining</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CID000264</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Daejin Indus Co., Ltd.</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Korea, Republic of</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CID000328</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Daye Non-Ferrous Metals Mining Ltd.</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CID000343</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Degussa Sonne / Mond Goldhandel GmbH</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CID002867</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Dijllah Gold Refinery FZC</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United Arab Emirates</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CID003348</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DODUCO Contacts and Refining GmbH</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CID000362</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Dowa</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CID000401</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DS PRETECH Co., Ltd.</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Korea, Republic of</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CID003195</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DSC (Do Sung Corporation)</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Korea, Republic of</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CID000359</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Eco-System Recycling Co., Ltd. East Plant</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CID000425</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Eco-System Recycling Co., Ltd. North Plant</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CID003424</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Eco-System Recycling Co., Ltd. West Plant</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CID003425</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Emerald Jewel Industry India Limited (Unit 1)</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CID003487</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Emerald Jewel Industry India Limited (Unit 2)</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CID003488</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Emerald Jewel Industry India Limited (Unit 3)</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CID003489</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Emerald Jewel Industry India Limited (Unit 4)</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CID003490</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1404" w:right="559" w:bottom="1440" w:gutter="0" w:footer="0" w:header="0"/>
        </w:sectPr>
      </w:pPr>
    </w:p>
    <w:bookmarkStart w:id="11" w:name="page12"/>
    <w:bookmarkEnd w:id="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340" w:type="dxa"/>
            <w:vAlign w:val="bottom"/>
            <w:tcBorders>
              <w:top w:val="single" w:sz="8" w:color="auto"/>
              <w:left w:val="single" w:sz="8" w:color="auto"/>
              <w:bottom w:val="single" w:sz="8" w:color="auto"/>
              <w:right w:val="single" w:sz="8" w:color="auto"/>
            </w:tcBorders>
            <w:shd w:val="clear" w:color="auto" w:fill="B4C6E7"/>
          </w:tcPr>
          <w:p>
            <w:pPr>
              <w:ind w:left="40"/>
              <w:spacing w:after="0"/>
              <w:rPr>
                <w:sz w:val="20"/>
                <w:szCs w:val="20"/>
                <w:color w:val="auto"/>
              </w:rPr>
            </w:pPr>
            <w:r>
              <w:rPr>
                <w:rFonts w:ascii="Arial" w:cs="Arial" w:eastAsia="Arial" w:hAnsi="Arial"/>
                <w:sz w:val="16"/>
                <w:szCs w:val="16"/>
                <w:b w:val="1"/>
                <w:bCs w:val="1"/>
                <w:color w:val="auto"/>
              </w:rPr>
              <w:t>Metal</w:t>
            </w:r>
          </w:p>
        </w:tc>
        <w:tc>
          <w:tcPr>
            <w:tcW w:w="6300" w:type="dxa"/>
            <w:vAlign w:val="bottom"/>
            <w:tcBorders>
              <w:top w:val="single" w:sz="8" w:color="auto"/>
              <w:bottom w:val="single" w:sz="8" w:color="auto"/>
              <w:right w:val="single" w:sz="8" w:color="auto"/>
            </w:tcBorders>
            <w:shd w:val="clear" w:color="auto" w:fill="B4C6E7"/>
          </w:tcPr>
          <w:p>
            <w:pPr>
              <w:spacing w:after="0"/>
              <w:rPr>
                <w:sz w:val="20"/>
                <w:szCs w:val="20"/>
                <w:color w:val="auto"/>
              </w:rPr>
            </w:pPr>
            <w:r>
              <w:rPr>
                <w:rFonts w:ascii="Arial" w:cs="Arial" w:eastAsia="Arial" w:hAnsi="Arial"/>
                <w:sz w:val="16"/>
                <w:szCs w:val="16"/>
                <w:b w:val="1"/>
                <w:bCs w:val="1"/>
                <w:color w:val="auto"/>
              </w:rPr>
              <w:t>Smelter Name</w:t>
            </w:r>
          </w:p>
        </w:tc>
        <w:tc>
          <w:tcPr>
            <w:tcW w:w="2120" w:type="dxa"/>
            <w:vAlign w:val="bottom"/>
            <w:tcBorders>
              <w:top w:val="single" w:sz="8" w:color="auto"/>
              <w:bottom w:val="single" w:sz="8" w:color="auto"/>
              <w:right w:val="single" w:sz="8" w:color="auto"/>
            </w:tcBorders>
            <w:shd w:val="clear" w:color="auto" w:fill="B4C6E7"/>
          </w:tcPr>
          <w:p>
            <w:pPr>
              <w:ind w:left="20"/>
              <w:spacing w:after="0"/>
              <w:rPr>
                <w:sz w:val="20"/>
                <w:szCs w:val="20"/>
                <w:color w:val="auto"/>
              </w:rPr>
            </w:pPr>
            <w:r>
              <w:rPr>
                <w:rFonts w:ascii="Arial" w:cs="Arial" w:eastAsia="Arial" w:hAnsi="Arial"/>
                <w:sz w:val="16"/>
                <w:szCs w:val="16"/>
                <w:b w:val="1"/>
                <w:bCs w:val="1"/>
                <w:color w:val="auto"/>
              </w:rPr>
              <w:t>Country</w:t>
            </w:r>
          </w:p>
        </w:tc>
        <w:tc>
          <w:tcPr>
            <w:tcW w:w="1180" w:type="dxa"/>
            <w:vAlign w:val="bottom"/>
            <w:tcBorders>
              <w:top w:val="single" w:sz="8" w:color="auto"/>
              <w:bottom w:val="single" w:sz="8" w:color="auto"/>
              <w:right w:val="single" w:sz="8" w:color="auto"/>
            </w:tcBorders>
            <w:shd w:val="clear" w:color="auto" w:fill="B4C6E7"/>
          </w:tcPr>
          <w:p>
            <w:pPr>
              <w:ind w:left="20"/>
              <w:spacing w:after="0"/>
              <w:rPr>
                <w:sz w:val="20"/>
                <w:szCs w:val="20"/>
                <w:color w:val="auto"/>
              </w:rPr>
            </w:pPr>
            <w:r>
              <w:rPr>
                <w:rFonts w:ascii="Arial" w:cs="Arial" w:eastAsia="Arial" w:hAnsi="Arial"/>
                <w:sz w:val="16"/>
                <w:szCs w:val="16"/>
                <w:b w:val="1"/>
                <w:bCs w:val="1"/>
                <w:color w:val="auto"/>
              </w:rPr>
              <w:t>Smelter ID</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Emirates Gold DMCC</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United Arab Emirates</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CID002561</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Fidelity Printers and Refiners Ltd.</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Zimbabwe</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CID002515</w:t>
            </w:r>
          </w:p>
        </w:tc>
      </w:tr>
      <w:tr>
        <w:trPr>
          <w:trHeight w:val="183"/>
        </w:trPr>
        <w:tc>
          <w:tcPr>
            <w:tcW w:w="134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Fujairah Gold FZC</w:t>
            </w:r>
          </w:p>
        </w:tc>
        <w:tc>
          <w:tcPr>
            <w:tcW w:w="21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United Arab Emirates</w:t>
            </w:r>
          </w:p>
        </w:tc>
        <w:tc>
          <w:tcPr>
            <w:tcW w:w="11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CID002584</w:t>
            </w:r>
          </w:p>
        </w:tc>
      </w:tr>
      <w:tr>
        <w:trPr>
          <w:trHeight w:val="217"/>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GCC Gujrat Gold Centre Pvt.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CID002852</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Geib Refining Corporation</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CID002459</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Gold Coast Refinery</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Ghana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CID003186</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Gold Refinery of Zijin Mining Group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CID002243</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Great Wall Precious Metals Co., Ltd. of CBPM</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CID001909</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Guangdong Jinding Gold Limited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CID002312</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Guoda Safina High-Tech Environmental Refinery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CID000651</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Hangzhou Fuchunjiang Smelting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CID000671</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Heimerle + Meule GmbH</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CID000694</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Heraeus Metals Hong Kong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CID000707</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Heraeus Precious Metals GmbH &amp; Co. KG</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CID000711</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Hunan Chenzhou Mining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CID000767</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Hunan Guiyang yinxing Nonferrous Smelting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CID000773</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HwaSeong CJ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CID000778</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Industrial Refining Company</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Belgium</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CID002587</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Inner Mongolia Qiankun Gold and Silver Refinery Share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CID000801</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 Precious Metal Refiners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CID002562</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Ishifuku Metal Industry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CID000807</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Istanbul Gold Refinery</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Turkey</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CID000814</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Italpreziosi</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Italy</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CID002765</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JALAN &amp; Company</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CID002893</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 Mint</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CID000823</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Jiangxi Copper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CID000855</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JSC Ekaterinburg Non-Ferrous Metal Processing Plant</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CID000927</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JSC Uralelectromed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CID000929</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JX Nippon Mining &amp; Metals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CID000937</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K.A. Rasmussen</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Norway</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CID003497</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Kaloti Precious Metals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CID002563</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Kazakhmys Smelting LLC</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CID000956</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Kazzinc</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CID000957</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Kennecott Utah Copper LLC</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CID000969</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KGHM Polska Miedz Spolka Akcyjna</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Poland</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CID002511</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Kojima Chemicals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CID000981</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Zinc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CID002605</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Kundan Care Products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CID003463</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Kyrgyzaltyn JSC</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Kyrgyzstan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CID001029</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Kyshtym Copper-Electrolytic Plant ZAO</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CID002865</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L'azurde Company For Jewelry</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Saudi Arabia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CID001032</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Lingbao Gold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CID001056</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Lingbao Jinyuan Tonghui Refinery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CID001058</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L'Orfebre S.A.</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Andorra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CID002762</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LS-NIKKO Copper Inc.</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CID001078</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LT Metal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CID000689</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Luoyang Zijin Yinhui Gold Refinery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CID001093</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Marsam Metals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CID002606</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Materion</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CID001113</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Matsuda Sangyo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CID001119</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MD Overseas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CID003548</w:t>
            </w:r>
          </w:p>
        </w:tc>
      </w:tr>
    </w:tbl>
    <w:p>
      <w:pPr>
        <w:spacing w:after="0" w:line="200" w:lineRule="exact"/>
        <w:rPr>
          <w:sz w:val="20"/>
          <w:szCs w:val="20"/>
          <w:color w:val="auto"/>
        </w:rPr>
      </w:pP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920"/>
          </w:cols>
          <w:pgMar w:left="320" w:top="1440" w:right="659" w:bottom="1440" w:gutter="0" w:footer="0" w:header="0"/>
          <w:type w:val="continuous"/>
        </w:sectPr>
      </w:pPr>
    </w:p>
    <w:bookmarkStart w:id="12" w:name="page13"/>
    <w:bookmarkEnd w:id="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340" w:type="dxa"/>
            <w:vAlign w:val="bottom"/>
            <w:tcBorders>
              <w:top w:val="single" w:sz="8" w:color="auto"/>
              <w:left w:val="single" w:sz="8" w:color="auto"/>
              <w:bottom w:val="single" w:sz="8" w:color="auto"/>
              <w:right w:val="single" w:sz="8" w:color="auto"/>
            </w:tcBorders>
            <w:shd w:val="clear" w:color="auto" w:fill="B4C6E7"/>
          </w:tcPr>
          <w:p>
            <w:pPr>
              <w:ind w:left="40"/>
              <w:spacing w:after="0"/>
              <w:rPr>
                <w:sz w:val="20"/>
                <w:szCs w:val="20"/>
                <w:color w:val="auto"/>
              </w:rPr>
            </w:pPr>
            <w:r>
              <w:rPr>
                <w:rFonts w:ascii="Arial" w:cs="Arial" w:eastAsia="Arial" w:hAnsi="Arial"/>
                <w:sz w:val="16"/>
                <w:szCs w:val="16"/>
                <w:b w:val="1"/>
                <w:bCs w:val="1"/>
                <w:color w:val="auto"/>
              </w:rPr>
              <w:t>Metal</w:t>
            </w:r>
          </w:p>
        </w:tc>
        <w:tc>
          <w:tcPr>
            <w:tcW w:w="6300" w:type="dxa"/>
            <w:vAlign w:val="bottom"/>
            <w:tcBorders>
              <w:top w:val="single" w:sz="8" w:color="auto"/>
              <w:bottom w:val="single" w:sz="8" w:color="auto"/>
              <w:right w:val="single" w:sz="8" w:color="auto"/>
            </w:tcBorders>
            <w:shd w:val="clear" w:color="auto" w:fill="B4C6E7"/>
          </w:tcPr>
          <w:p>
            <w:pPr>
              <w:spacing w:after="0"/>
              <w:rPr>
                <w:sz w:val="20"/>
                <w:szCs w:val="20"/>
                <w:color w:val="auto"/>
              </w:rPr>
            </w:pPr>
            <w:r>
              <w:rPr>
                <w:rFonts w:ascii="Arial" w:cs="Arial" w:eastAsia="Arial" w:hAnsi="Arial"/>
                <w:sz w:val="16"/>
                <w:szCs w:val="16"/>
                <w:b w:val="1"/>
                <w:bCs w:val="1"/>
                <w:color w:val="auto"/>
              </w:rPr>
              <w:t>Smelter Name</w:t>
            </w:r>
          </w:p>
        </w:tc>
        <w:tc>
          <w:tcPr>
            <w:tcW w:w="2120" w:type="dxa"/>
            <w:vAlign w:val="bottom"/>
            <w:tcBorders>
              <w:top w:val="single" w:sz="8" w:color="auto"/>
              <w:bottom w:val="single" w:sz="8" w:color="auto"/>
              <w:right w:val="single" w:sz="8" w:color="auto"/>
            </w:tcBorders>
            <w:shd w:val="clear" w:color="auto" w:fill="B4C6E7"/>
          </w:tcPr>
          <w:p>
            <w:pPr>
              <w:ind w:left="20"/>
              <w:spacing w:after="0"/>
              <w:rPr>
                <w:sz w:val="20"/>
                <w:szCs w:val="20"/>
                <w:color w:val="auto"/>
              </w:rPr>
            </w:pPr>
            <w:r>
              <w:rPr>
                <w:rFonts w:ascii="Arial" w:cs="Arial" w:eastAsia="Arial" w:hAnsi="Arial"/>
                <w:sz w:val="16"/>
                <w:szCs w:val="16"/>
                <w:b w:val="1"/>
                <w:bCs w:val="1"/>
                <w:color w:val="auto"/>
              </w:rPr>
              <w:t>Country</w:t>
            </w:r>
          </w:p>
        </w:tc>
        <w:tc>
          <w:tcPr>
            <w:tcW w:w="1180" w:type="dxa"/>
            <w:vAlign w:val="bottom"/>
            <w:tcBorders>
              <w:top w:val="single" w:sz="8" w:color="auto"/>
              <w:bottom w:val="single" w:sz="8" w:color="auto"/>
              <w:right w:val="single" w:sz="8" w:color="auto"/>
            </w:tcBorders>
            <w:shd w:val="clear" w:color="auto" w:fill="B4C6E7"/>
          </w:tcPr>
          <w:p>
            <w:pPr>
              <w:ind w:left="20"/>
              <w:spacing w:after="0"/>
              <w:rPr>
                <w:sz w:val="20"/>
                <w:szCs w:val="20"/>
                <w:color w:val="auto"/>
              </w:rPr>
            </w:pPr>
            <w:r>
              <w:rPr>
                <w:rFonts w:ascii="Arial" w:cs="Arial" w:eastAsia="Arial" w:hAnsi="Arial"/>
                <w:sz w:val="16"/>
                <w:szCs w:val="16"/>
                <w:b w:val="1"/>
                <w:bCs w:val="1"/>
                <w:color w:val="auto"/>
              </w:rPr>
              <w:t>Smelter ID</w:t>
            </w:r>
          </w:p>
        </w:tc>
      </w:tr>
      <w:tr>
        <w:trPr>
          <w:trHeight w:val="217"/>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Metal Concentrators SA (Pty)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CID003575</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Metallix Refining Inc.</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CID003557</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Metalor Technologies (Hong Kong)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CID001149</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Metalor Technologies (Singapore) Pte.,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Singapore</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CID001152</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Metalor Technologies (Suzhou)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CID001147</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Metalor Technologies S.A.</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CID001153</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Metalor USA Refining Corporation</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CID001157</w:t>
            </w:r>
          </w:p>
        </w:tc>
      </w:tr>
      <w:tr>
        <w:trPr>
          <w:trHeight w:val="22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Metalurgica Met-Mex Penoles S.A. De C.V.</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Mexico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CID001161</w:t>
            </w:r>
          </w:p>
        </w:tc>
      </w:tr>
      <w:tr>
        <w:trPr>
          <w:trHeight w:val="21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Mitsubishi Materials Corporation</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CID001188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Mitsui Mining and Smelting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CID001193</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MMTC-PAMP India Pvt.,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CID002509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Modeltech Sdn Bhd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Malaysia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CID002857</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Morris and Watson</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New Zealand</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CID002282</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Morris and Watson Gold Coast</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CID002866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Moscow Special Alloys Processing Plant</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CID001204</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Nadir Metal Rafineri San. Ve Tic. A.S.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Turkey</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CID001220</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Navoi Mining and Metallurgical Combinat</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Uzbekistan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CID001236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NH Recytech Company</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CID003189</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Nihon Material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CID001259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Ogussa Osterreichische Gold- und Silber-Scheideanstalt GmbH</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CID002779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Ohura Precious Metal Industry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CID001325</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OJSC "The Gulidov Krasnoyarsk Non-Ferrous Metals Plant" (OJSC Krastsvetmet)</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CID001326</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OJSC Novosibirsk Refinery</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CID000493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PAMP S.A.</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CID001352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Pease &amp; Curren</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CID002872</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Penglai Penggang Gold Industry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CID001362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Planta Recuperadora de Metales SpA</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Chile</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CID002919</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Prioksky Plant of Non-Ferrous Metals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CID001386</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PT Aneka Tambang (Persero) Tbk</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CID001397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PX Precinox S.A.</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CID001498</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QG Refining, LLC</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CID003324</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Rand Refinery (Pty)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CID001512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Refinery of Seemine Gold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CID000522</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REMONDIS PMR B.V.</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CID002582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Republic Metals Corporation</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CID002510</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Royal Canadian Mint</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Canada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CID001534</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SAAMP</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France</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CID002761</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Sabin Metal Corp.</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CID001546</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Safimet S.p.A</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Italy</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CID002973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SAFINA A.S.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Czechia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CID002290</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Sai Refinery</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CID002853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Samduck Precious Metals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CID001555</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Samwon Metals Corp.</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CID001562</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Sancus ZFS (L’Orfebre, SA)</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Colombia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CID003529</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SAXONIA Edelmetalle GmbH</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CID002777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Schone Edelmetaal B.V.</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CID001573</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Sellem Industries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Mauritania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CID003540</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SEMPSA Joyeria Plateria S.A.</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Spain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CID001585</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Shandong Humon Smelting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CID002525</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Shandong Tiancheng Biological Gold Industrial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CID001619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Shandong Zhaojin Gold &amp; Silver Refinery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CID001622</w:t>
            </w:r>
          </w:p>
        </w:tc>
      </w:tr>
    </w:tbl>
    <w:p>
      <w:pPr>
        <w:spacing w:after="0" w:line="200" w:lineRule="exact"/>
        <w:rPr>
          <w:sz w:val="20"/>
          <w:szCs w:val="20"/>
          <w:color w:val="auto"/>
        </w:rPr>
      </w:pP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20"/>
          </w:cols>
          <w:pgMar w:left="320" w:top="1440" w:right="659" w:bottom="1440" w:gutter="0" w:footer="0" w:header="0"/>
          <w:type w:val="continuous"/>
        </w:sectPr>
      </w:pPr>
    </w:p>
    <w:bookmarkStart w:id="13" w:name="page14"/>
    <w:bookmarkEnd w:id="1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1340" w:type="dxa"/>
            <w:vAlign w:val="bottom"/>
            <w:tcBorders>
              <w:top w:val="single" w:sz="8" w:color="auto"/>
              <w:left w:val="single" w:sz="8" w:color="auto"/>
              <w:bottom w:val="single" w:sz="8" w:color="auto"/>
              <w:right w:val="single" w:sz="8" w:color="auto"/>
            </w:tcBorders>
            <w:shd w:val="clear" w:color="auto" w:fill="B4C6E7"/>
          </w:tcPr>
          <w:p>
            <w:pPr>
              <w:ind w:left="80"/>
              <w:spacing w:after="0"/>
              <w:rPr>
                <w:sz w:val="20"/>
                <w:szCs w:val="20"/>
                <w:color w:val="auto"/>
              </w:rPr>
            </w:pPr>
            <w:r>
              <w:rPr>
                <w:rFonts w:ascii="Arial" w:cs="Arial" w:eastAsia="Arial" w:hAnsi="Arial"/>
                <w:sz w:val="16"/>
                <w:szCs w:val="16"/>
                <w:b w:val="1"/>
                <w:bCs w:val="1"/>
                <w:color w:val="auto"/>
              </w:rPr>
              <w:t>Metal</w:t>
            </w:r>
          </w:p>
        </w:tc>
        <w:tc>
          <w:tcPr>
            <w:tcW w:w="6300" w:type="dxa"/>
            <w:vAlign w:val="bottom"/>
            <w:tcBorders>
              <w:top w:val="single" w:sz="8" w:color="auto"/>
              <w:bottom w:val="single" w:sz="8" w:color="auto"/>
              <w:right w:val="single" w:sz="8" w:color="auto"/>
            </w:tcBorders>
            <w:shd w:val="clear" w:color="auto" w:fill="B4C6E7"/>
          </w:tcPr>
          <w:p>
            <w:pPr>
              <w:ind w:left="60"/>
              <w:spacing w:after="0"/>
              <w:rPr>
                <w:sz w:val="20"/>
                <w:szCs w:val="20"/>
                <w:color w:val="auto"/>
              </w:rPr>
            </w:pPr>
            <w:r>
              <w:rPr>
                <w:rFonts w:ascii="Arial" w:cs="Arial" w:eastAsia="Arial" w:hAnsi="Arial"/>
                <w:sz w:val="16"/>
                <w:szCs w:val="16"/>
                <w:b w:val="1"/>
                <w:bCs w:val="1"/>
                <w:color w:val="auto"/>
              </w:rPr>
              <w:t>Smelter Name</w:t>
            </w:r>
          </w:p>
        </w:tc>
        <w:tc>
          <w:tcPr>
            <w:tcW w:w="2120" w:type="dxa"/>
            <w:vAlign w:val="bottom"/>
            <w:tcBorders>
              <w:top w:val="single" w:sz="8" w:color="auto"/>
              <w:bottom w:val="single" w:sz="8" w:color="auto"/>
              <w:right w:val="single" w:sz="8" w:color="auto"/>
            </w:tcBorders>
            <w:shd w:val="clear" w:color="auto" w:fill="B4C6E7"/>
          </w:tcPr>
          <w:p>
            <w:pPr>
              <w:ind w:left="60"/>
              <w:spacing w:after="0"/>
              <w:rPr>
                <w:sz w:val="20"/>
                <w:szCs w:val="20"/>
                <w:color w:val="auto"/>
              </w:rPr>
            </w:pPr>
            <w:r>
              <w:rPr>
                <w:rFonts w:ascii="Arial" w:cs="Arial" w:eastAsia="Arial" w:hAnsi="Arial"/>
                <w:sz w:val="16"/>
                <w:szCs w:val="16"/>
                <w:b w:val="1"/>
                <w:bCs w:val="1"/>
                <w:color w:val="auto"/>
              </w:rPr>
              <w:t>Country</w:t>
            </w:r>
          </w:p>
        </w:tc>
        <w:tc>
          <w:tcPr>
            <w:tcW w:w="1180" w:type="dxa"/>
            <w:vAlign w:val="bottom"/>
            <w:tcBorders>
              <w:top w:val="single" w:sz="8" w:color="auto"/>
              <w:bottom w:val="single" w:sz="8" w:color="auto"/>
              <w:right w:val="single" w:sz="8" w:color="auto"/>
            </w:tcBorders>
            <w:shd w:val="clear" w:color="auto" w:fill="B4C6E7"/>
          </w:tcPr>
          <w:p>
            <w:pPr>
              <w:ind w:left="60"/>
              <w:spacing w:after="0"/>
              <w:rPr>
                <w:sz w:val="20"/>
                <w:szCs w:val="20"/>
                <w:color w:val="auto"/>
              </w:rPr>
            </w:pPr>
            <w:r>
              <w:rPr>
                <w:rFonts w:ascii="Arial" w:cs="Arial" w:eastAsia="Arial" w:hAnsi="Arial"/>
                <w:sz w:val="16"/>
                <w:szCs w:val="16"/>
                <w:b w:val="1"/>
                <w:bCs w:val="1"/>
                <w:color w:val="auto"/>
              </w:rPr>
              <w:t>Smelter ID</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Shenzhen Zhonghenglong Real Industry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CID002527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Shirpur Gold Refinery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CID002588</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Sichuan Tianze Precious Metals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CID001736</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Singway Technology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CID002516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SOE Shyolkovsky Factory of Secondary Precious Metals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CID001756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Solar Applied Materials Technology Corp.</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CID001761</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Sovereign Metals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CID003383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Lithuania</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CID003153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Sudan Gold Refinery</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Sudan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CID002567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Sumitomo Metal Mining Co., Ltd.</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CID001798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SungEel HiMetal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Korea, Republic of</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CID002918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Super Dragon Technology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Taiwan, Province of 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CID001810</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T.C.A S.p.A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Italy</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CID002580</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Tai Perng</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Taiwan, Province of 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CID001840</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Tanaka Kikinzoku Kogyo K.K.</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CID001875</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The Refinery of Shandong Gold Mining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CID001916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Tokuriki Honten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CID001938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Tongling Nonferrous Metals Group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CID001947</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TOO Tau-Ken-Altyn</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Kazakhstan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CID002615</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Torecom</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Korea, Republic of</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CID001955</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Umicore Brasil Ltda.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CID001977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Umicore Precious Metals Thailand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Thailand</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CID002314</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Umicore S.A. Business Unit Precious Metals Refining</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Belgium</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CID001980</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United Precious Metal Refining, Inc.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CID001993</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Universal Precious Metals Refining Zambia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Zambia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CID002854</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Valcambi S.A.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Switzerland</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CID002003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Value Trading</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Belgium</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CID003617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WEEEREFINING</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France</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CID003615</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Western Australian Mint (T/a The Perth Mint)</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Australia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CID002030</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WIELAND Edelmetalle GmbH</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CID002778</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Yamakin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CID002100</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Yokohama Metal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CID002129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Yunnan Copper Industry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CID000197</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Gold</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Zhongyuan Gold Smelter of Zhongjin Gold Corporation</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CID002224</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Asaka Riken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CID000092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Changsha South Tantalum Niobium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CID000211</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CP Metals Inc.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CID003402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 Block Metals, LLC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CID002504</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Exotech Inc.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CID000456</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F&amp;X Electro-Materials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CID000460</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FIR Metals &amp; Resource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CID002505</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Global Advanced Metals Aizu</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CID002558</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Global Advanced Metals Boyertown</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CID002557</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Guangdong Rising Rare Metals-EO Materials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CID000291</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Guangdong Zhiyuan New Material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CID000616</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H.C. Starck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Thailand</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CID002544</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H.C. Starck Hermsdorf GmbH</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CID002547</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H.C. Starck Inc.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CID002548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H.C. Starck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CID002549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H.C. Starck Smelting GmbH &amp; Co. KG</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CID002550</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H.C. Starck Tantalum and Niobium GmbH</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CID002545</w:t>
            </w:r>
          </w:p>
        </w:tc>
      </w:tr>
    </w:tbl>
    <w:p>
      <w:pPr>
        <w:spacing w:after="0" w:line="200" w:lineRule="exact"/>
        <w:rPr>
          <w:sz w:val="20"/>
          <w:szCs w:val="20"/>
          <w:color w:val="auto"/>
        </w:rPr>
      </w:pP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20"/>
          </w:cols>
          <w:pgMar w:left="320" w:top="1440" w:right="659" w:bottom="1440" w:gutter="0" w:footer="0" w:header="0"/>
          <w:type w:val="continuous"/>
        </w:sectPr>
      </w:pPr>
    </w:p>
    <w:bookmarkStart w:id="14" w:name="page15"/>
    <w:bookmarkEnd w:id="1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340" w:type="dxa"/>
            <w:vAlign w:val="bottom"/>
            <w:tcBorders>
              <w:top w:val="single" w:sz="8" w:color="auto"/>
              <w:left w:val="single" w:sz="8" w:color="auto"/>
              <w:bottom w:val="single" w:sz="8" w:color="auto"/>
              <w:right w:val="single" w:sz="8" w:color="auto"/>
            </w:tcBorders>
            <w:shd w:val="clear" w:color="auto" w:fill="B4C6E7"/>
          </w:tcPr>
          <w:p>
            <w:pPr>
              <w:ind w:left="40"/>
              <w:spacing w:after="0"/>
              <w:rPr>
                <w:sz w:val="20"/>
                <w:szCs w:val="20"/>
                <w:color w:val="auto"/>
              </w:rPr>
            </w:pPr>
            <w:r>
              <w:rPr>
                <w:rFonts w:ascii="Arial" w:cs="Arial" w:eastAsia="Arial" w:hAnsi="Arial"/>
                <w:sz w:val="16"/>
                <w:szCs w:val="16"/>
                <w:b w:val="1"/>
                <w:bCs w:val="1"/>
                <w:color w:val="auto"/>
              </w:rPr>
              <w:t>Metal</w:t>
            </w:r>
          </w:p>
        </w:tc>
        <w:tc>
          <w:tcPr>
            <w:tcW w:w="6300" w:type="dxa"/>
            <w:vAlign w:val="bottom"/>
            <w:tcBorders>
              <w:top w:val="single" w:sz="8" w:color="auto"/>
              <w:bottom w:val="single" w:sz="8" w:color="auto"/>
              <w:right w:val="single" w:sz="8" w:color="auto"/>
            </w:tcBorders>
            <w:shd w:val="clear" w:color="auto" w:fill="B4C6E7"/>
          </w:tcPr>
          <w:p>
            <w:pPr>
              <w:spacing w:after="0"/>
              <w:rPr>
                <w:sz w:val="20"/>
                <w:szCs w:val="20"/>
                <w:color w:val="auto"/>
              </w:rPr>
            </w:pPr>
            <w:r>
              <w:rPr>
                <w:rFonts w:ascii="Arial" w:cs="Arial" w:eastAsia="Arial" w:hAnsi="Arial"/>
                <w:sz w:val="16"/>
                <w:szCs w:val="16"/>
                <w:b w:val="1"/>
                <w:bCs w:val="1"/>
                <w:color w:val="auto"/>
              </w:rPr>
              <w:t>Smelter Name</w:t>
            </w:r>
          </w:p>
        </w:tc>
        <w:tc>
          <w:tcPr>
            <w:tcW w:w="2120" w:type="dxa"/>
            <w:vAlign w:val="bottom"/>
            <w:tcBorders>
              <w:top w:val="single" w:sz="8" w:color="auto"/>
              <w:bottom w:val="single" w:sz="8" w:color="auto"/>
              <w:right w:val="single" w:sz="8" w:color="auto"/>
            </w:tcBorders>
            <w:shd w:val="clear" w:color="auto" w:fill="B4C6E7"/>
          </w:tcPr>
          <w:p>
            <w:pPr>
              <w:ind w:left="20"/>
              <w:spacing w:after="0"/>
              <w:rPr>
                <w:sz w:val="20"/>
                <w:szCs w:val="20"/>
                <w:color w:val="auto"/>
              </w:rPr>
            </w:pPr>
            <w:r>
              <w:rPr>
                <w:rFonts w:ascii="Arial" w:cs="Arial" w:eastAsia="Arial" w:hAnsi="Arial"/>
                <w:sz w:val="16"/>
                <w:szCs w:val="16"/>
                <w:b w:val="1"/>
                <w:bCs w:val="1"/>
                <w:color w:val="auto"/>
              </w:rPr>
              <w:t>Country</w:t>
            </w:r>
          </w:p>
        </w:tc>
        <w:tc>
          <w:tcPr>
            <w:tcW w:w="1180" w:type="dxa"/>
            <w:vAlign w:val="bottom"/>
            <w:tcBorders>
              <w:top w:val="single" w:sz="8" w:color="auto"/>
              <w:bottom w:val="single" w:sz="8" w:color="auto"/>
              <w:right w:val="single" w:sz="8" w:color="auto"/>
            </w:tcBorders>
            <w:shd w:val="clear" w:color="auto" w:fill="B4C6E7"/>
          </w:tcPr>
          <w:p>
            <w:pPr>
              <w:ind w:left="20"/>
              <w:spacing w:after="0"/>
              <w:rPr>
                <w:sz w:val="20"/>
                <w:szCs w:val="20"/>
                <w:color w:val="auto"/>
              </w:rPr>
            </w:pPr>
            <w:r>
              <w:rPr>
                <w:rFonts w:ascii="Arial" w:cs="Arial" w:eastAsia="Arial" w:hAnsi="Arial"/>
                <w:sz w:val="16"/>
                <w:szCs w:val="16"/>
                <w:b w:val="1"/>
                <w:bCs w:val="1"/>
                <w:color w:val="auto"/>
              </w:rPr>
              <w:t>Smelter ID</w:t>
            </w:r>
          </w:p>
        </w:tc>
      </w:tr>
      <w:tr>
        <w:trPr>
          <w:trHeight w:val="207"/>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Hengyang King Xing Lifeng New Materials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CID002492</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Jiangxi Dinghai Tantalum &amp; Niobium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CID002512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Jiangxi Tuohong New Raw Material</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CID002842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Jiujiang Janny New Material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CID003191</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JiuJiang JinXin Nonferrous Metals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CID000914</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Jiujiang Tanbre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CID000917</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Jiujiang Zhongao Tantalum &amp; Niobium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CID002506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KEMET Blue Metals</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Mexico</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CID002539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KEMET Blue Powder</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CID002568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King-Tan Tantalum Industry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CID000973</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LSM Brasil S.A.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CID001076</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Metallurgical Products India Pvt.,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CID001163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Mineracao Taboca S.A.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CID001175</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Mitsui Mining and Smelting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CID001192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Ningxia Orient Tantalum Industry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CID001277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NPM Silmet AS</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Estonia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CID001200</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Power Resources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North Macedonia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CID002847</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QuantumClean</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CID001508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Resind Industria e Comercio Ltda.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CID002707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Solikamsk Magnesium Works OAO</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CID001769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Taki Chemical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CID001869</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Telex Metals</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CID001891</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Tranzact, Inc.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CID002571</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Ulba Metallurgical Plant JSC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Kazakhstan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CID001969</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XinXing HaoRong Electronic Material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CID002508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Yancheng Jinye New Material Technology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CID003583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Yanling Jincheng Tantalum &amp; Niobium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CID001522</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Tantalum</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Yichun Jin Yang Rare Metal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CID002307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Alpha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CID000292</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An Vinh Joint Stock Mineral Processing Company</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Viet Nam</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CID002703</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Chenzhou Yunxiang Mining and Metallurgy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CID000228</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Chifeng Dajingzi Tin Industry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CID003190</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 Tin Group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CID001070</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CNMC (Guangxi) PGMA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CID000278</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Cooperativa Metalurgica de Rondonia Ltda.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CID000295</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CRM Fundicao De Metais E Comercio De Equipamentos Eletronicos Do Brasil Ltda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CID003486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CRM Synergies</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Spain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CID003524</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CV Ayi Jaya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CID002570</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CV Dua Sekawan</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CID002592</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CV Gita Pesona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CID000306</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CV United Smelting</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CID000315</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CV Venus Inti Perkasa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CID002455</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Dongguan CiEXPO Environmental Engineering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CID003356</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Dowa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CID000402</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9"/>
              </w:rPr>
              <w:t>Electro-Mechanical Facility of the Cao Bang Minerals &amp; Metallurgy Joint Stock Company</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Viet Nam</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CID002572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EM Vinto</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Bolivia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CID000438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Estanho de Rondonia S.A.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CID000448</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Fabrica Auricchio Industria e Comercio Ltda.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CID003582</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Fenix Metals</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Poland</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CID000468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Gejiu City Fuxiang Industry and Trade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CID003410</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Gejiu Fengming Metallurgy Chemical Plant</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CID002848</w:t>
            </w:r>
          </w:p>
        </w:tc>
      </w:tr>
    </w:tbl>
    <w:p>
      <w:pPr>
        <w:spacing w:after="0" w:line="200" w:lineRule="exact"/>
        <w:rPr>
          <w:sz w:val="20"/>
          <w:szCs w:val="20"/>
          <w:color w:val="auto"/>
        </w:rPr>
      </w:pP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20"/>
          </w:cols>
          <w:pgMar w:left="320" w:top="1440" w:right="659" w:bottom="1440" w:gutter="0" w:footer="0" w:header="0"/>
          <w:type w:val="continuous"/>
        </w:sectPr>
      </w:pPr>
    </w:p>
    <w:bookmarkStart w:id="15" w:name="page16"/>
    <w:bookmarkEnd w:id="1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340" w:type="dxa"/>
            <w:vAlign w:val="bottom"/>
            <w:tcBorders>
              <w:top w:val="single" w:sz="8" w:color="auto"/>
              <w:left w:val="single" w:sz="8" w:color="auto"/>
              <w:bottom w:val="single" w:sz="8" w:color="auto"/>
              <w:right w:val="single" w:sz="8" w:color="auto"/>
            </w:tcBorders>
            <w:shd w:val="clear" w:color="auto" w:fill="B4C6E7"/>
          </w:tcPr>
          <w:p>
            <w:pPr>
              <w:ind w:left="40"/>
              <w:spacing w:after="0"/>
              <w:rPr>
                <w:sz w:val="20"/>
                <w:szCs w:val="20"/>
                <w:color w:val="auto"/>
              </w:rPr>
            </w:pPr>
            <w:r>
              <w:rPr>
                <w:rFonts w:ascii="Arial" w:cs="Arial" w:eastAsia="Arial" w:hAnsi="Arial"/>
                <w:sz w:val="16"/>
                <w:szCs w:val="16"/>
                <w:b w:val="1"/>
                <w:bCs w:val="1"/>
                <w:color w:val="auto"/>
              </w:rPr>
              <w:t>Metal</w:t>
            </w:r>
          </w:p>
        </w:tc>
        <w:tc>
          <w:tcPr>
            <w:tcW w:w="6300" w:type="dxa"/>
            <w:vAlign w:val="bottom"/>
            <w:tcBorders>
              <w:top w:val="single" w:sz="8" w:color="auto"/>
              <w:bottom w:val="single" w:sz="8" w:color="auto"/>
              <w:right w:val="single" w:sz="8" w:color="auto"/>
            </w:tcBorders>
            <w:shd w:val="clear" w:color="auto" w:fill="B4C6E7"/>
          </w:tcPr>
          <w:p>
            <w:pPr>
              <w:ind w:left="60"/>
              <w:spacing w:after="0"/>
              <w:rPr>
                <w:sz w:val="20"/>
                <w:szCs w:val="20"/>
                <w:color w:val="auto"/>
              </w:rPr>
            </w:pPr>
            <w:r>
              <w:rPr>
                <w:rFonts w:ascii="Arial" w:cs="Arial" w:eastAsia="Arial" w:hAnsi="Arial"/>
                <w:sz w:val="16"/>
                <w:szCs w:val="16"/>
                <w:b w:val="1"/>
                <w:bCs w:val="1"/>
                <w:color w:val="auto"/>
              </w:rPr>
              <w:t>Smelter Name</w:t>
            </w:r>
          </w:p>
        </w:tc>
        <w:tc>
          <w:tcPr>
            <w:tcW w:w="2120" w:type="dxa"/>
            <w:vAlign w:val="bottom"/>
            <w:tcBorders>
              <w:top w:val="single" w:sz="8" w:color="auto"/>
              <w:bottom w:val="single" w:sz="8" w:color="auto"/>
              <w:right w:val="single" w:sz="8" w:color="auto"/>
            </w:tcBorders>
            <w:shd w:val="clear" w:color="auto" w:fill="B4C6E7"/>
          </w:tcPr>
          <w:p>
            <w:pPr>
              <w:ind w:left="60"/>
              <w:spacing w:after="0"/>
              <w:rPr>
                <w:sz w:val="20"/>
                <w:szCs w:val="20"/>
                <w:color w:val="auto"/>
              </w:rPr>
            </w:pPr>
            <w:r>
              <w:rPr>
                <w:rFonts w:ascii="Arial" w:cs="Arial" w:eastAsia="Arial" w:hAnsi="Arial"/>
                <w:sz w:val="16"/>
                <w:szCs w:val="16"/>
                <w:b w:val="1"/>
                <w:bCs w:val="1"/>
                <w:color w:val="auto"/>
              </w:rPr>
              <w:t>Country</w:t>
            </w:r>
          </w:p>
        </w:tc>
        <w:tc>
          <w:tcPr>
            <w:tcW w:w="1180" w:type="dxa"/>
            <w:vAlign w:val="bottom"/>
            <w:tcBorders>
              <w:top w:val="single" w:sz="8" w:color="auto"/>
              <w:bottom w:val="single" w:sz="8" w:color="auto"/>
              <w:right w:val="single" w:sz="8" w:color="auto"/>
            </w:tcBorders>
            <w:shd w:val="clear" w:color="auto" w:fill="B4C6E7"/>
          </w:tcPr>
          <w:p>
            <w:pPr>
              <w:ind w:left="60"/>
              <w:spacing w:after="0"/>
              <w:rPr>
                <w:sz w:val="20"/>
                <w:szCs w:val="20"/>
                <w:color w:val="auto"/>
              </w:rPr>
            </w:pPr>
            <w:r>
              <w:rPr>
                <w:rFonts w:ascii="Arial" w:cs="Arial" w:eastAsia="Arial" w:hAnsi="Arial"/>
                <w:sz w:val="16"/>
                <w:szCs w:val="16"/>
                <w:b w:val="1"/>
                <w:bCs w:val="1"/>
                <w:color w:val="auto"/>
              </w:rPr>
              <w:t>Smelter ID</w:t>
            </w:r>
          </w:p>
        </w:tc>
      </w:tr>
      <w:tr>
        <w:trPr>
          <w:trHeight w:val="21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Gejiu Kai Meng Industry and Trade LLC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CID000942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Gejiu Non-Ferrous Metal Processing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CID000538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Gejiu Yunxin Nonferrous Electrolysis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CID001908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Gejiu Zili Mining And Metallurgy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CID000555</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Guangdong Hanhe Non-Ferrous Metal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CID003116</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Guanyang Guida Nonferrous Metal Smelting Plant</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CID002849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HuiChang Hill Tin Industry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CID002844</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Huichang Jinshunda Tin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CID000760</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Jiangxi Ketai Advanced Material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CID000244</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Jiangxi New Nanshan Technology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CID001231</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Luna Smelter,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Rwanda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CID003387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Ma'anshan Weitai Tin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CID003379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Magnu's Minerais Metais e Ligas Ltda.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CID002468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Malaysia Smelting Corporation (MSC)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Malaysia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CID001105</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Melt Metais e Ligas S.A.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CID002500</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Metallic Resources, Inc.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CID001142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Metallo Belgium N.V.</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Belgium</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CID002773</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Metallo Spain S.L.U.</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Spain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CID002774</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Mineracao Taboca S.A.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CID001173</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Minsur</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Peru</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CID001182</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Mitsubishi Materials Corporation</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CID001188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Mitsubishi Materials Corporation</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CID001191</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Modeltech Sdn Bhd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Malaysia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CID002858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Nghe Tinh Non-Ferrous Metals Joint Stock Company</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Viet Nam</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CID002573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Novosibirsk Processing Plant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CID001305</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O.M. Manufacturing (Thailand)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Thailand</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CID001314</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O.M. Manufacturing Philippines, Inc.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Philippines</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CID002517</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Operaciones Metalurgicas S.A.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Bolivia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CID001337</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Pongpipat Company Limited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Myanmar</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CID003208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Precious Minerals and Smelting Limited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CID003409</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Aries Kencana Sejahtera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CID000309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Artha Cipta Langgeng</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CID001399</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ATD Makmur Mandiri Jaya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CID002503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Babel Inti Perkasa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CID001402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Babel Inti Perkasa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Viet Nam</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CID001402</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Babel Surya Alam Lestari</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CID001406</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Bangka Prima Tin</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CID002776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Bangka Serumpun</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CID003205</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Bangka Tin Industry</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CID001419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Belitung Industri Sejahtera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CID001421</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Bukit Timah</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CID001428</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Cipta Persada Mulia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CID002696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DS Jaya Abadi</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CID001434</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Eunindo Usaha Mandiri</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CID001438</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Inti Stania Prima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CID002530</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Karimun Mining</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CID001448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Kijang Jaya Mandiri</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CID002829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Lautan Harmonis Sejahtera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CID002870</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Masbro Alam Stania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CID003380</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Menara Cipta Mulia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CID002835</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Mitra Stania Prima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CID001453</w:t>
            </w:r>
          </w:p>
        </w:tc>
      </w:tr>
    </w:tbl>
    <w:p>
      <w:pPr>
        <w:spacing w:after="0" w:line="200" w:lineRule="exact"/>
        <w:rPr>
          <w:sz w:val="20"/>
          <w:szCs w:val="20"/>
          <w:color w:val="auto"/>
        </w:rPr>
      </w:pP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20"/>
          </w:cols>
          <w:pgMar w:left="320" w:top="1440" w:right="659" w:bottom="1440" w:gutter="0" w:footer="0" w:header="0"/>
          <w:type w:val="continuous"/>
        </w:sectPr>
      </w:pPr>
    </w:p>
    <w:bookmarkStart w:id="16" w:name="page17"/>
    <w:bookmarkEnd w:id="1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340" w:type="dxa"/>
            <w:vAlign w:val="bottom"/>
            <w:tcBorders>
              <w:top w:val="single" w:sz="8" w:color="auto"/>
              <w:left w:val="single" w:sz="8" w:color="auto"/>
              <w:bottom w:val="single" w:sz="8" w:color="auto"/>
              <w:right w:val="single" w:sz="8" w:color="auto"/>
            </w:tcBorders>
            <w:shd w:val="clear" w:color="auto" w:fill="B4C6E7"/>
          </w:tcPr>
          <w:p>
            <w:pPr>
              <w:ind w:left="40"/>
              <w:spacing w:after="0"/>
              <w:rPr>
                <w:sz w:val="20"/>
                <w:szCs w:val="20"/>
                <w:color w:val="auto"/>
              </w:rPr>
            </w:pPr>
            <w:r>
              <w:rPr>
                <w:rFonts w:ascii="Arial" w:cs="Arial" w:eastAsia="Arial" w:hAnsi="Arial"/>
                <w:sz w:val="16"/>
                <w:szCs w:val="16"/>
                <w:b w:val="1"/>
                <w:bCs w:val="1"/>
                <w:color w:val="auto"/>
              </w:rPr>
              <w:t>Metal</w:t>
            </w:r>
          </w:p>
        </w:tc>
        <w:tc>
          <w:tcPr>
            <w:tcW w:w="6300" w:type="dxa"/>
            <w:vAlign w:val="bottom"/>
            <w:tcBorders>
              <w:top w:val="single" w:sz="8" w:color="auto"/>
              <w:bottom w:val="single" w:sz="8" w:color="auto"/>
              <w:right w:val="single" w:sz="8" w:color="auto"/>
            </w:tcBorders>
            <w:shd w:val="clear" w:color="auto" w:fill="B4C6E7"/>
          </w:tcPr>
          <w:p>
            <w:pPr>
              <w:ind w:left="60"/>
              <w:spacing w:after="0"/>
              <w:rPr>
                <w:sz w:val="20"/>
                <w:szCs w:val="20"/>
                <w:color w:val="auto"/>
              </w:rPr>
            </w:pPr>
            <w:r>
              <w:rPr>
                <w:rFonts w:ascii="Arial" w:cs="Arial" w:eastAsia="Arial" w:hAnsi="Arial"/>
                <w:sz w:val="16"/>
                <w:szCs w:val="16"/>
                <w:b w:val="1"/>
                <w:bCs w:val="1"/>
                <w:color w:val="auto"/>
              </w:rPr>
              <w:t>Smelter Name</w:t>
            </w:r>
          </w:p>
        </w:tc>
        <w:tc>
          <w:tcPr>
            <w:tcW w:w="2120" w:type="dxa"/>
            <w:vAlign w:val="bottom"/>
            <w:tcBorders>
              <w:top w:val="single" w:sz="8" w:color="auto"/>
              <w:bottom w:val="single" w:sz="8" w:color="auto"/>
              <w:right w:val="single" w:sz="8" w:color="auto"/>
            </w:tcBorders>
            <w:shd w:val="clear" w:color="auto" w:fill="B4C6E7"/>
          </w:tcPr>
          <w:p>
            <w:pPr>
              <w:ind w:left="60"/>
              <w:spacing w:after="0"/>
              <w:rPr>
                <w:sz w:val="20"/>
                <w:szCs w:val="20"/>
                <w:color w:val="auto"/>
              </w:rPr>
            </w:pPr>
            <w:r>
              <w:rPr>
                <w:rFonts w:ascii="Arial" w:cs="Arial" w:eastAsia="Arial" w:hAnsi="Arial"/>
                <w:sz w:val="16"/>
                <w:szCs w:val="16"/>
                <w:b w:val="1"/>
                <w:bCs w:val="1"/>
                <w:color w:val="auto"/>
              </w:rPr>
              <w:t>Country</w:t>
            </w:r>
          </w:p>
        </w:tc>
        <w:tc>
          <w:tcPr>
            <w:tcW w:w="1180" w:type="dxa"/>
            <w:vAlign w:val="bottom"/>
            <w:tcBorders>
              <w:top w:val="single" w:sz="8" w:color="auto"/>
              <w:bottom w:val="single" w:sz="8" w:color="auto"/>
              <w:right w:val="single" w:sz="8" w:color="auto"/>
            </w:tcBorders>
            <w:shd w:val="clear" w:color="auto" w:fill="B4C6E7"/>
          </w:tcPr>
          <w:p>
            <w:pPr>
              <w:ind w:left="60"/>
              <w:spacing w:after="0"/>
              <w:rPr>
                <w:sz w:val="20"/>
                <w:szCs w:val="20"/>
                <w:color w:val="auto"/>
              </w:rPr>
            </w:pPr>
            <w:r>
              <w:rPr>
                <w:rFonts w:ascii="Arial" w:cs="Arial" w:eastAsia="Arial" w:hAnsi="Arial"/>
                <w:sz w:val="16"/>
                <w:szCs w:val="16"/>
                <w:b w:val="1"/>
                <w:bCs w:val="1"/>
                <w:color w:val="auto"/>
              </w:rPr>
              <w:t>Smelter ID</w:t>
            </w:r>
          </w:p>
        </w:tc>
      </w:tr>
      <w:tr>
        <w:trPr>
          <w:trHeight w:val="21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Mitra Sukses Globalindo</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CID003449</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O.M. Indonesia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CID002757</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Panca Mega Persada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CID001457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Premium Tin Indonesia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CID000313</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Prima Timah Utama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CID001458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Rajawali Rimba Perkasa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CID003381</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Rajehan Ariq</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CID002593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Refined Bangka Tin</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CID001460</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Sariwiguna Binasentosa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CID001463</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Stanindo Inti Perkasa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CID001468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Sukses Inti Makmur</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CID002816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Sumber Jaya Indah</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CID001471</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Timah Nusantara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CID001486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Timah Tbk Kundur</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CID001477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Timah Tbk Mentok</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CID001482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Tinindo Inter Nusa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CID001490</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Tirus Putra Mandiri</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CID002478</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PT Tommy Utama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Indonesia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CID001493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Resind Industria e Comercio Ltda.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CID002706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Rui Da Hung</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Taiwan, Province of 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CID001539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Soft Metais Ltda.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CID001758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Super Ligas</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CID002756</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Thai Nguyen Mining and Metallurgy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Viet Nam</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CID002834</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Thaisarco</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Thailand</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CID001898</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Tin Technology &amp; Refining</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CID003325</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Tuyen Quang Non-Ferrous Metals Joint Stock Company</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Viet Nam</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CID002574</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VQB Mineral and Trading Group JSC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Viet Nam</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CID002015</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White Solder Metalurgia e Mineracao Ltda.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CID002036</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Yunnan Chengfeng Non-ferrous Metals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CID002158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Yunnan Tin Company Limited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CID002180</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Yunnan Yunfan Non-ferrous Metals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CID003397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A.L.M.T. Corp.</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CID000004</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ACL Metais Eireli</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CID002833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Albasteel Industria e Comercio de Ligas Para Fundicao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CID003427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Artek LLC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CID003553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Asia Tungsten Products Vietnam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Viet Nam</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CID002502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Chenzhou Diamond Tungsten Products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CID002513</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 Molybdenum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CID002641</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Chongyi Zhangyuan Tungsten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CID000258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CNMC (Guangxi) PGMA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CID000281</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CP Metals Inc.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CID003448</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Cronimet Brasil Ltda</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Brazil</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CID003468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Fujian Ganmin RareMetal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CID003401</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Fujian Jinxin Tungsten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CID000499</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Fujian Xinlu Tungsten</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CID003609</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Ganzhou Haichuang Tungsten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CID002645</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Ganzhou Huaxing Tungsten Products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CID000875</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Ganzhou Jiangwu Ferrotungsten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CID002315</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Ganzhou Seadragon W &amp; Mo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CID002494</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Ganzhou Yatai Tungsten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CID002536</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GEM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CID003417</w:t>
            </w:r>
          </w:p>
        </w:tc>
      </w:tr>
    </w:tbl>
    <w:p>
      <w:pPr>
        <w:spacing w:after="0" w:line="200" w:lineRule="exact"/>
        <w:rPr>
          <w:sz w:val="20"/>
          <w:szCs w:val="20"/>
          <w:color w:val="auto"/>
        </w:rPr>
      </w:pP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20"/>
          </w:cols>
          <w:pgMar w:left="320" w:top="1440" w:right="659" w:bottom="1440" w:gutter="0" w:footer="0" w:header="0"/>
          <w:type w:val="continuous"/>
        </w:sectPr>
      </w:pPr>
    </w:p>
    <w:bookmarkStart w:id="17" w:name="page18"/>
    <w:bookmarkEnd w:id="1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340" w:type="dxa"/>
            <w:vAlign w:val="bottom"/>
            <w:tcBorders>
              <w:top w:val="single" w:sz="8" w:color="auto"/>
              <w:left w:val="single" w:sz="8" w:color="auto"/>
              <w:bottom w:val="single" w:sz="8" w:color="auto"/>
              <w:right w:val="single" w:sz="8" w:color="auto"/>
            </w:tcBorders>
            <w:shd w:val="clear" w:color="auto" w:fill="B4C6E7"/>
          </w:tcPr>
          <w:p>
            <w:pPr>
              <w:ind w:left="40"/>
              <w:spacing w:after="0"/>
              <w:rPr>
                <w:sz w:val="20"/>
                <w:szCs w:val="20"/>
                <w:color w:val="auto"/>
              </w:rPr>
            </w:pPr>
            <w:r>
              <w:rPr>
                <w:rFonts w:ascii="Arial" w:cs="Arial" w:eastAsia="Arial" w:hAnsi="Arial"/>
                <w:sz w:val="16"/>
                <w:szCs w:val="16"/>
                <w:b w:val="1"/>
                <w:bCs w:val="1"/>
                <w:color w:val="auto"/>
              </w:rPr>
              <w:t>Metal</w:t>
            </w:r>
          </w:p>
        </w:tc>
        <w:tc>
          <w:tcPr>
            <w:tcW w:w="6300" w:type="dxa"/>
            <w:vAlign w:val="bottom"/>
            <w:tcBorders>
              <w:top w:val="single" w:sz="8" w:color="auto"/>
              <w:bottom w:val="single" w:sz="8" w:color="auto"/>
              <w:right w:val="single" w:sz="8" w:color="auto"/>
            </w:tcBorders>
            <w:shd w:val="clear" w:color="auto" w:fill="B4C6E7"/>
          </w:tcPr>
          <w:p>
            <w:pPr>
              <w:ind w:left="60"/>
              <w:spacing w:after="0"/>
              <w:rPr>
                <w:sz w:val="20"/>
                <w:szCs w:val="20"/>
                <w:color w:val="auto"/>
              </w:rPr>
            </w:pPr>
            <w:r>
              <w:rPr>
                <w:rFonts w:ascii="Arial" w:cs="Arial" w:eastAsia="Arial" w:hAnsi="Arial"/>
                <w:sz w:val="16"/>
                <w:szCs w:val="16"/>
                <w:b w:val="1"/>
                <w:bCs w:val="1"/>
                <w:color w:val="auto"/>
              </w:rPr>
              <w:t>Smelter Name</w:t>
            </w:r>
          </w:p>
        </w:tc>
        <w:tc>
          <w:tcPr>
            <w:tcW w:w="2120" w:type="dxa"/>
            <w:vAlign w:val="bottom"/>
            <w:tcBorders>
              <w:top w:val="single" w:sz="8" w:color="auto"/>
              <w:bottom w:val="single" w:sz="8" w:color="auto"/>
              <w:right w:val="single" w:sz="8" w:color="auto"/>
            </w:tcBorders>
            <w:shd w:val="clear" w:color="auto" w:fill="B4C6E7"/>
          </w:tcPr>
          <w:p>
            <w:pPr>
              <w:ind w:left="60"/>
              <w:spacing w:after="0"/>
              <w:rPr>
                <w:sz w:val="20"/>
                <w:szCs w:val="20"/>
                <w:color w:val="auto"/>
              </w:rPr>
            </w:pPr>
            <w:r>
              <w:rPr>
                <w:rFonts w:ascii="Arial" w:cs="Arial" w:eastAsia="Arial" w:hAnsi="Arial"/>
                <w:sz w:val="16"/>
                <w:szCs w:val="16"/>
                <w:b w:val="1"/>
                <w:bCs w:val="1"/>
                <w:color w:val="auto"/>
              </w:rPr>
              <w:t>Country</w:t>
            </w:r>
          </w:p>
        </w:tc>
        <w:tc>
          <w:tcPr>
            <w:tcW w:w="1180" w:type="dxa"/>
            <w:vAlign w:val="bottom"/>
            <w:tcBorders>
              <w:top w:val="single" w:sz="8" w:color="auto"/>
              <w:bottom w:val="single" w:sz="8" w:color="auto"/>
              <w:right w:val="single" w:sz="8" w:color="auto"/>
            </w:tcBorders>
            <w:shd w:val="clear" w:color="auto" w:fill="B4C6E7"/>
          </w:tcPr>
          <w:p>
            <w:pPr>
              <w:ind w:left="60"/>
              <w:spacing w:after="0"/>
              <w:rPr>
                <w:sz w:val="20"/>
                <w:szCs w:val="20"/>
                <w:color w:val="auto"/>
              </w:rPr>
            </w:pPr>
            <w:r>
              <w:rPr>
                <w:rFonts w:ascii="Arial" w:cs="Arial" w:eastAsia="Arial" w:hAnsi="Arial"/>
                <w:sz w:val="16"/>
                <w:szCs w:val="16"/>
                <w:b w:val="1"/>
                <w:bCs w:val="1"/>
                <w:color w:val="auto"/>
              </w:rPr>
              <w:t>Smelter ID</w:t>
            </w:r>
          </w:p>
        </w:tc>
      </w:tr>
      <w:tr>
        <w:trPr>
          <w:trHeight w:val="213"/>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Global Tungsten &amp; Powders Corp.</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CID000568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Guangdong Xianglu Tungsten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CID000218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H.C. Starck Smelting GmbH &amp; Co. KG</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CID002542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H.C. Starck Smelting GmbH &amp; Co. KG</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CID002550</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H.C. Starck Tungsten GmbH</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Germany</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CID002541</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Hunan Chenzhou Mining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CID000766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Hunan Chuangda Vanadium Tungsten Co., Ltd. Wuji</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CID002579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Hunan Chunchang Nonferrous Metals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CID000769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Hunan Litian Tungsten Industry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CID003182</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Hydrometallurg, JSC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CID002649</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Japan New Metals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Japan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CID000825</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Jiangwu H.C. Starck Tungsten Products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CID002551</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Jiangxi Gan Bei Tungsten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CID002321</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Jiangxi Minmetals Gao'an Non-ferrous Metals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CID002313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Jiangxi Tonggu Non-ferrous Metallurgical &amp; Chemical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CID002318</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Jiangxi Xianglu Tungsten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CID002647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Jiangxi Xinsheng Tungsten Industry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CID002317</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Jiangxi Xiushui Xianggan Nonferrous Metals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CID002535</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Jiangxi Yaosheng Tungsten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CID002316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JSC "Kirovgrad Hard Alloys Plant"</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CID003408</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Kennametal Fallon</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CID000966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Kennametal Huntsville</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CID000105</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KGETS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Korea, Republic of</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CID003388</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Lianyou Metals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Taiwan, Province of 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CID003407</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Malipo Haiyu Tungsten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CID002319</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Masan Tungsten Chemical LLC (MTC)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Viet Nam</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CID002543</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Moliren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CID002845</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Niagara Refining LLC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CID002589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NPP Tyazhmetprom LLC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CID003416</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OOO “Technolom” 1</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CID003614</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OOO “Technolom” 2</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CID003612</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Philippine Chuangxin Industrial Co., Inc.</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Philippines</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CID002827</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South-East Nonferrous Metal Company Limited of Hengyang City</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CID002815</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Tejing (Vietnam) Tungsten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Viet Nam</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CID001889</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Unecha Refractory metals plant</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CID002724</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Vietnam Youngsun Tungsten Industry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Viet Nam</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CID002011</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Wolfram Bergbau und Hutten AG</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Austria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CID002044</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Woltech Korea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Korea, Republic of</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CID002843</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Xiamen Tungsten (H.C.)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CID002320</w:t>
            </w: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Xiamen Tungsten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CID002082</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Xinfeng Huarui Tungsten &amp; Molybdenum New Material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CID002830</w:t>
            </w: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Tungsten</w:t>
            </w:r>
          </w:p>
        </w:tc>
        <w:tc>
          <w:tcPr>
            <w:tcW w:w="6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Xinhai Rendan Shaoguan Tungsten Co., Ltd.</w:t>
            </w:r>
          </w:p>
        </w:tc>
        <w:tc>
          <w:tcPr>
            <w:tcW w:w="2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China</w:t>
            </w:r>
          </w:p>
        </w:tc>
        <w:tc>
          <w:tcPr>
            <w:tcW w:w="1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CID002095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1440" w:right="6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u w:val="single" w:color="auto"/>
          <w:color w:val="auto"/>
        </w:rPr>
        <w:t>Appendix B 2021 Countries of Origin List</w:t>
      </w:r>
    </w:p>
    <w:p>
      <w:pPr>
        <w:spacing w:after="0" w:line="200" w:lineRule="exact"/>
        <w:rPr>
          <w:sz w:val="20"/>
          <w:szCs w:val="20"/>
          <w:color w:val="auto"/>
        </w:rPr>
      </w:pPr>
    </w:p>
    <w:p>
      <w:pPr>
        <w:spacing w:after="0" w:line="272" w:lineRule="exact"/>
        <w:rPr>
          <w:sz w:val="20"/>
          <w:szCs w:val="20"/>
          <w:color w:val="auto"/>
        </w:rPr>
      </w:pPr>
    </w:p>
    <w:p>
      <w:pPr>
        <w:spacing w:after="0" w:line="259" w:lineRule="auto"/>
        <w:rPr>
          <w:sz w:val="20"/>
          <w:szCs w:val="20"/>
          <w:color w:val="auto"/>
        </w:rPr>
      </w:pPr>
      <w:r>
        <w:rPr>
          <w:rFonts w:ascii="Arial" w:cs="Arial" w:eastAsia="Arial" w:hAnsi="Arial"/>
          <w:sz w:val="18"/>
          <w:szCs w:val="18"/>
          <w:color w:val="222222"/>
        </w:rPr>
        <w:t xml:space="preserve">This list of potential countries of origin is populated based on information provided through the CMRT data collection process, from direct smelter outreach and the RMAP. It is important to note that the below list includes every potential country reported by our suppliers, regardless of whether the materials at issue used by LivaNova originated from that particular country. </w:t>
      </w:r>
      <w:r>
        <w:rPr>
          <w:rFonts w:ascii="Arial" w:cs="Arial" w:eastAsia="Arial" w:hAnsi="Arial"/>
          <w:sz w:val="18"/>
          <w:szCs w:val="18"/>
          <w:color w:val="000000"/>
        </w:rPr>
        <w:t>As a result,</w:t>
      </w:r>
      <w:r>
        <w:rPr>
          <w:rFonts w:ascii="Arial" w:cs="Arial" w:eastAsia="Arial" w:hAnsi="Arial"/>
          <w:sz w:val="18"/>
          <w:szCs w:val="18"/>
          <w:color w:val="222222"/>
        </w:rPr>
        <w:t xml:space="preserve"> </w:t>
      </w:r>
      <w:r>
        <w:rPr>
          <w:rFonts w:ascii="Arial" w:cs="Arial" w:eastAsia="Arial" w:hAnsi="Arial"/>
          <w:sz w:val="18"/>
          <w:szCs w:val="18"/>
          <w:u w:val="single" w:color="auto"/>
          <w:color w:val="000000"/>
        </w:rPr>
        <w:t>Appendix B</w:t>
      </w:r>
      <w:r>
        <w:rPr>
          <w:rFonts w:ascii="Arial" w:cs="Arial" w:eastAsia="Arial" w:hAnsi="Arial"/>
          <w:sz w:val="18"/>
          <w:szCs w:val="18"/>
          <w:color w:val="222222"/>
        </w:rPr>
        <w:t xml:space="preserve"> </w:t>
      </w:r>
      <w:r>
        <w:rPr>
          <w:rFonts w:ascii="Arial" w:cs="Arial" w:eastAsia="Arial" w:hAnsi="Arial"/>
          <w:sz w:val="18"/>
          <w:szCs w:val="18"/>
          <w:color w:val="000000"/>
        </w:rPr>
        <w:t>may contain more countries than those from which our</w:t>
      </w:r>
      <w:r>
        <w:rPr>
          <w:rFonts w:ascii="Arial" w:cs="Arial" w:eastAsia="Arial" w:hAnsi="Arial"/>
          <w:sz w:val="18"/>
          <w:szCs w:val="18"/>
          <w:color w:val="222222"/>
        </w:rPr>
        <w:t xml:space="preserve"> </w:t>
      </w:r>
      <w:r>
        <w:rPr>
          <w:rFonts w:ascii="Arial" w:cs="Arial" w:eastAsia="Arial" w:hAnsi="Arial"/>
          <w:sz w:val="18"/>
          <w:szCs w:val="18"/>
          <w:color w:val="000000"/>
        </w:rPr>
        <w:t>products are being sourced.</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2900" w:type="dxa"/>
            <w:vAlign w:val="bottom"/>
            <w:tcBorders>
              <w:top w:val="single" w:sz="8" w:color="auto"/>
              <w:left w:val="single" w:sz="8" w:color="auto"/>
              <w:bottom w:val="single" w:sz="8" w:color="auto"/>
              <w:right w:val="single" w:sz="8" w:color="auto"/>
            </w:tcBorders>
            <w:shd w:val="clear" w:color="auto" w:fill="B4C6E7"/>
          </w:tcPr>
          <w:p>
            <w:pPr>
              <w:ind w:left="80"/>
              <w:spacing w:after="0"/>
              <w:rPr>
                <w:sz w:val="20"/>
                <w:szCs w:val="20"/>
                <w:color w:val="auto"/>
              </w:rPr>
            </w:pPr>
            <w:r>
              <w:rPr>
                <w:rFonts w:ascii="Arial" w:cs="Arial" w:eastAsia="Arial" w:hAnsi="Arial"/>
                <w:sz w:val="16"/>
                <w:szCs w:val="16"/>
                <w:b w:val="1"/>
                <w:bCs w:val="1"/>
                <w:color w:val="auto"/>
              </w:rPr>
              <w:t>Country</w:t>
            </w:r>
          </w:p>
        </w:tc>
        <w:tc>
          <w:tcPr>
            <w:tcW w:w="2900" w:type="dxa"/>
            <w:vAlign w:val="bottom"/>
            <w:tcBorders>
              <w:top w:val="single" w:sz="8" w:color="auto"/>
              <w:bottom w:val="single" w:sz="8" w:color="auto"/>
              <w:right w:val="single" w:sz="8" w:color="auto"/>
            </w:tcBorders>
            <w:shd w:val="clear" w:color="auto" w:fill="B4C6E7"/>
          </w:tcPr>
          <w:p>
            <w:pPr>
              <w:ind w:left="60"/>
              <w:spacing w:after="0"/>
              <w:rPr>
                <w:sz w:val="20"/>
                <w:szCs w:val="20"/>
                <w:color w:val="auto"/>
              </w:rPr>
            </w:pPr>
            <w:r>
              <w:rPr>
                <w:rFonts w:ascii="Arial" w:cs="Arial" w:eastAsia="Arial" w:hAnsi="Arial"/>
                <w:sz w:val="16"/>
                <w:szCs w:val="16"/>
                <w:b w:val="1"/>
                <w:bCs w:val="1"/>
                <w:color w:val="auto"/>
              </w:rPr>
              <w:t>Country</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Andorra</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Netherlands</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Australia</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New Zealand</w:t>
            </w:r>
          </w:p>
        </w:tc>
      </w:tr>
      <w:tr>
        <w:trPr>
          <w:trHeight w:val="210"/>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Austria</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North Macedonia</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Belgium</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Norway</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Bolivia</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Peru</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Brazil</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Philippines</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Canada</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Poland</w:t>
            </w:r>
          </w:p>
        </w:tc>
      </w:tr>
      <w:tr>
        <w:trPr>
          <w:trHeight w:val="210"/>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Chile</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Russian Federation</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China</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Rwanda</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Colombia</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Saudi Arabia</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Czechia</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Singapore</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Estonia</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South Africa</w:t>
            </w:r>
          </w:p>
        </w:tc>
      </w:tr>
      <w:tr>
        <w:trPr>
          <w:trHeight w:val="210"/>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France</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Spain</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Germany</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Sudan</w:t>
            </w:r>
          </w:p>
        </w:tc>
      </w:tr>
      <w:tr>
        <w:trPr>
          <w:trHeight w:val="210"/>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Ghana</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Sweden</w:t>
            </w:r>
          </w:p>
        </w:tc>
      </w:tr>
      <w:tr>
        <w:trPr>
          <w:trHeight w:val="210"/>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India</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Switzerland</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Indonesia</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Taiwan, Province of China</w:t>
            </w:r>
          </w:p>
        </w:tc>
      </w:tr>
      <w:tr>
        <w:trPr>
          <w:trHeight w:val="210"/>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Italy</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Thailand</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Japan</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Turkey</w:t>
            </w:r>
          </w:p>
        </w:tc>
      </w:tr>
      <w:tr>
        <w:trPr>
          <w:trHeight w:val="210"/>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Kazakhstan</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Uganda</w:t>
            </w:r>
          </w:p>
        </w:tc>
      </w:tr>
      <w:tr>
        <w:trPr>
          <w:trHeight w:val="210"/>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Korea, Republic Of</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United Arab Emirates</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Kyrgyzstan</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USA</w:t>
            </w:r>
          </w:p>
        </w:tc>
      </w:tr>
      <w:tr>
        <w:trPr>
          <w:trHeight w:val="210"/>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Lithuania</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Uzbekistan</w:t>
            </w:r>
          </w:p>
        </w:tc>
      </w:tr>
      <w:tr>
        <w:trPr>
          <w:trHeight w:val="210"/>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Malaysia</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Viet Nam</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Mauritania</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Zambia</w:t>
            </w:r>
          </w:p>
        </w:tc>
      </w:tr>
      <w:tr>
        <w:trPr>
          <w:trHeight w:val="210"/>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Mexico</w:t>
            </w:r>
          </w:p>
        </w:tc>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Zimbabwe</w:t>
            </w:r>
          </w:p>
        </w:tc>
      </w:tr>
      <w:tr>
        <w:trPr>
          <w:trHeight w:val="209"/>
        </w:trPr>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Myanmar</w:t>
            </w:r>
          </w:p>
        </w:tc>
        <w:tc>
          <w:tcPr>
            <w:tcW w:w="29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sectPr>
      <w:pgSz w:w="11900" w:h="16838" w:orient="portrait"/>
      <w:cols w:equalWidth="0" w:num="1">
        <w:col w:w="11220"/>
      </w:cols>
      <w:pgMar w:left="320" w:top="14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2022-05-28T12:26:02Z</dcterms:created>
  <dcterms:modified xsi:type="dcterms:W3CDTF">2022-05-28T12:26:02Z</dcterms:modified>
</cp:coreProperties>
</file>