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3,182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71,012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03/15/2021</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1,496</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76.76</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69,516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3,182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4"/>
              </w:rPr>
              <w:t>3,182</w:t>
            </w:r>
            <w:r>
              <w:rPr>
                <w:rFonts w:ascii="Arial" w:cs="Arial" w:eastAsia="Arial" w:hAnsi="Arial"/>
                <w:sz w:val="21"/>
                <w:szCs w:val="21"/>
                <w:color w:val="008000"/>
                <w:w w:val="84"/>
                <w:vertAlign w:val="superscript"/>
              </w:rPr>
              <w:t>(5)</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03/15/2021</w:t>
            </w:r>
          </w:p>
        </w:tc>
        <w:tc>
          <w:tcPr>
            <w:tcW w:w="108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3,182</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2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March 15, 2018, subject to a four-year vesting schedule, which began on March 15, 2019.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03/17/2021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2021-03-17T15:09:27Z</dcterms:created>
  <dcterms:modified xsi:type="dcterms:W3CDTF">2021-03-17T15:09:27Z</dcterms:modified>
</cp:coreProperties>
</file>